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customXml/itemProps6.xml" ContentType="application/vnd.openxmlformats-officedocument.customXmlProperties+xml"/>
  <Override PartName="/word/header2.xml" ContentType="application/vnd.openxmlformats-officedocument.wordprocessingml.header+xml"/>
  <Override PartName="/word/header3.xml" ContentType="application/vnd.openxmlformats-officedocument.wordprocessingml.header+xml"/>
  <Override PartName="/word/charts/chart2.xml" ContentType="application/vnd.openxmlformats-officedocument.drawingml.chart+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3382" w:rsidRDefault="001E5D7A">
      <w:r>
        <w:rPr>
          <w:noProof/>
          <w:lang w:eastAsia="en-AU"/>
        </w:rPr>
        <w:drawing>
          <wp:anchor distT="0" distB="0" distL="114300" distR="114300" simplePos="0" relativeHeight="251648512" behindDoc="0" locked="0" layoutInCell="1" allowOverlap="1">
            <wp:simplePos x="0" y="0"/>
            <wp:positionH relativeFrom="column">
              <wp:posOffset>-1222375</wp:posOffset>
            </wp:positionH>
            <wp:positionV relativeFrom="paragraph">
              <wp:posOffset>-4109403</wp:posOffset>
            </wp:positionV>
            <wp:extent cx="7649210" cy="10801985"/>
            <wp:effectExtent l="0" t="0" r="8890" b="0"/>
            <wp:wrapNone/>
            <wp:docPr id="18" name="Picture 17" descr="light-passing-through-trees-portra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passing-through-trees-portrait.jpg"/>
                    <pic:cNvPicPr/>
                  </pic:nvPicPr>
                  <pic:blipFill>
                    <a:blip r:embed="rId13" cstate="print"/>
                    <a:stretch>
                      <a:fillRect/>
                    </a:stretch>
                  </pic:blipFill>
                  <pic:spPr>
                    <a:xfrm>
                      <a:off x="0" y="0"/>
                      <a:ext cx="7649210" cy="10801985"/>
                    </a:xfrm>
                    <a:prstGeom prst="rect">
                      <a:avLst/>
                    </a:prstGeom>
                  </pic:spPr>
                </pic:pic>
              </a:graphicData>
            </a:graphic>
          </wp:anchor>
        </w:drawing>
      </w:r>
    </w:p>
    <w:tbl>
      <w:tblPr>
        <w:tblW w:w="4536" w:type="dxa"/>
        <w:jc w:val="center"/>
        <w:tblLayout w:type="fixed"/>
        <w:tblCellMar>
          <w:left w:w="0" w:type="dxa"/>
          <w:right w:w="0" w:type="dxa"/>
        </w:tblCellMar>
        <w:tblLook w:val="0000"/>
      </w:tblPr>
      <w:tblGrid>
        <w:gridCol w:w="4536"/>
      </w:tblGrid>
      <w:tr w:rsidR="00AC5F4D">
        <w:trPr>
          <w:cantSplit/>
          <w:jc w:val="center"/>
        </w:trPr>
        <w:tc>
          <w:tcPr>
            <w:tcW w:w="4536" w:type="dxa"/>
          </w:tcPr>
          <w:p w:rsidR="00AC5F4D" w:rsidRDefault="00586F30">
            <w:pPr>
              <w:pStyle w:val="zcompanyname"/>
            </w:pPr>
            <w:bookmarkStart w:id="0" w:name="CompanyName1" w:colFirst="0" w:colLast="0"/>
            <w:r>
              <w:rPr>
                <w:lang w:eastAsia="en-AU"/>
              </w:rPr>
              <w:pict>
                <v:shapetype id="_x0000_t202" coordsize="21600,21600" o:spt="202" path="m,l,21600r21600,l21600,xe">
                  <v:stroke joinstyle="miter"/>
                  <v:path gradientshapeok="t" o:connecttype="rect"/>
                </v:shapetype>
                <v:shape id="Text Box 28" o:spid="_x0000_s1026" type="#_x0000_t202" style="position:absolute;left:0;text-align:left;margin-left:-155.1pt;margin-top:-175.05pt;width:222.4pt;height:316.8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nc/tgIAALw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" filled="f" stroked="f">
                  <v:textbox>
                    <w:txbxContent>
                      <w:p w:rsidR="00055F48" w:rsidRPr="009A025D" w:rsidRDefault="00055F48" w:rsidP="009A60D0">
                        <w:pPr>
                          <w:rPr>
                            <w:rFonts w:ascii="Arial" w:hAnsi="Arial" w:cs="Arial"/>
                            <w:b/>
                            <w:color w:val="FFFFFF" w:themeColor="background1"/>
                            <w:sz w:val="32"/>
                          </w:rPr>
                        </w:pPr>
                        <w:r w:rsidRPr="009A025D">
                          <w:rPr>
                            <w:rFonts w:ascii="Arial" w:hAnsi="Arial" w:cs="Arial"/>
                            <w:b/>
                            <w:color w:val="FFFFFF" w:themeColor="background1"/>
                            <w:sz w:val="32"/>
                          </w:rPr>
                          <w:t xml:space="preserve">Cost Benefit Analysis: </w:t>
                        </w:r>
                      </w:p>
                      <w:p w:rsidR="00055F48" w:rsidRPr="009A025D" w:rsidRDefault="00055F48" w:rsidP="009A60D0">
                        <w:pPr>
                          <w:rPr>
                            <w:rFonts w:ascii="Arial" w:hAnsi="Arial" w:cs="Arial"/>
                            <w:b/>
                            <w:color w:val="FFFFFF" w:themeColor="background1"/>
                            <w:sz w:val="32"/>
                          </w:rPr>
                        </w:pPr>
                      </w:p>
                      <w:p w:rsidR="00055F48" w:rsidRPr="009A025D" w:rsidRDefault="00055F48" w:rsidP="009A60D0">
                        <w:pPr>
                          <w:rPr>
                            <w:rFonts w:ascii="Arial" w:hAnsi="Arial" w:cs="Arial"/>
                            <w:b/>
                            <w:color w:val="FFFFFF" w:themeColor="background1"/>
                            <w:sz w:val="32"/>
                          </w:rPr>
                        </w:pPr>
                        <w:r w:rsidRPr="009A025D">
                          <w:rPr>
                            <w:rFonts w:ascii="Arial" w:hAnsi="Arial" w:cs="Arial"/>
                            <w:b/>
                            <w:color w:val="FFFFFF" w:themeColor="background1"/>
                            <w:sz w:val="32"/>
                          </w:rPr>
                          <w:t>Product Stewardship for Domestic Refrigerators and Air Conditioners at End-of-Life</w:t>
                        </w:r>
                      </w:p>
                      <w:p w:rsidR="00055F48" w:rsidRPr="009A025D" w:rsidRDefault="00055F48" w:rsidP="009A60D0">
                        <w:pPr>
                          <w:rPr>
                            <w:rFonts w:ascii="Arial" w:hAnsi="Arial" w:cs="Arial"/>
                            <w:color w:val="FFFFFF" w:themeColor="background1"/>
                          </w:rPr>
                        </w:pPr>
                      </w:p>
                      <w:p w:rsidR="00055F48" w:rsidRPr="009A025D" w:rsidRDefault="00055F48" w:rsidP="009A60D0">
                        <w:pPr>
                          <w:rPr>
                            <w:rFonts w:ascii="Arial" w:hAnsi="Arial" w:cs="Arial"/>
                            <w:color w:val="FFFFFF" w:themeColor="background1"/>
                          </w:rPr>
                        </w:pPr>
                      </w:p>
                      <w:p w:rsidR="00055F48" w:rsidRPr="009A025D" w:rsidRDefault="00055F48" w:rsidP="009A60D0">
                        <w:pPr>
                          <w:rPr>
                            <w:rFonts w:ascii="Arial" w:hAnsi="Arial" w:cs="Arial"/>
                            <w:color w:val="FFFFFF" w:themeColor="background1"/>
                          </w:rPr>
                        </w:pPr>
                      </w:p>
                      <w:p w:rsidR="00055F48" w:rsidRPr="009A025D" w:rsidRDefault="00055F48" w:rsidP="009A60D0">
                        <w:pPr>
                          <w:rPr>
                            <w:rFonts w:ascii="Arial" w:hAnsi="Arial" w:cs="Arial"/>
                            <w:color w:val="FFFFFF" w:themeColor="background1"/>
                            <w:sz w:val="24"/>
                          </w:rPr>
                        </w:pPr>
                        <w:r w:rsidRPr="009A025D">
                          <w:rPr>
                            <w:rFonts w:ascii="Arial" w:hAnsi="Arial" w:cs="Arial"/>
                            <w:color w:val="FFFFFF" w:themeColor="background1"/>
                            <w:sz w:val="24"/>
                          </w:rPr>
                          <w:t>Report prepared for the Department of the Environment</w:t>
                        </w:r>
                      </w:p>
                      <w:p w:rsidR="00055F48" w:rsidRPr="009A025D" w:rsidRDefault="00055F48" w:rsidP="009A60D0">
                        <w:pPr>
                          <w:rPr>
                            <w:rFonts w:ascii="Arial" w:hAnsi="Arial" w:cs="Arial"/>
                            <w:color w:val="FFFFFF" w:themeColor="background1"/>
                          </w:rPr>
                        </w:pPr>
                      </w:p>
                      <w:p w:rsidR="00055F48" w:rsidRPr="009A025D" w:rsidRDefault="00055F48" w:rsidP="009A60D0">
                        <w:pPr>
                          <w:rPr>
                            <w:rFonts w:ascii="Arial" w:hAnsi="Arial" w:cs="Arial"/>
                            <w:color w:val="FFFFFF" w:themeColor="background1"/>
                          </w:rPr>
                        </w:pPr>
                      </w:p>
                      <w:p w:rsidR="00055F48" w:rsidRPr="009A025D" w:rsidRDefault="00055F48" w:rsidP="009A60D0">
                        <w:pPr>
                          <w:rPr>
                            <w:rFonts w:ascii="Arial" w:hAnsi="Arial" w:cs="Arial"/>
                            <w:color w:val="FFFFFF" w:themeColor="background1"/>
                          </w:rPr>
                        </w:pPr>
                      </w:p>
                      <w:p w:rsidR="00055F48" w:rsidRPr="009A025D" w:rsidRDefault="00055F48">
                        <w:pPr>
                          <w:rPr>
                            <w:rFonts w:ascii="Arial" w:hAnsi="Arial" w:cs="Arial"/>
                            <w:color w:val="FFFFFF" w:themeColor="background1"/>
                          </w:rPr>
                        </w:pPr>
                        <w:r>
                          <w:rPr>
                            <w:rFonts w:ascii="Arial" w:hAnsi="Arial" w:cs="Arial"/>
                            <w:color w:val="FFFFFF" w:themeColor="background1"/>
                          </w:rPr>
                          <w:t>25 September 2014</w:t>
                        </w:r>
                      </w:p>
                      <w:p w:rsidR="00055F48" w:rsidRPr="009A025D" w:rsidRDefault="00055F48">
                        <w:pPr>
                          <w:rPr>
                            <w:rFonts w:ascii="Arial" w:hAnsi="Arial" w:cs="Arial"/>
                            <w:color w:val="FFFFFF" w:themeColor="background1"/>
                          </w:rPr>
                        </w:pPr>
                      </w:p>
                      <w:p w:rsidR="00055F48" w:rsidRPr="009A025D" w:rsidRDefault="00055F48">
                        <w:pPr>
                          <w:rPr>
                            <w:rFonts w:ascii="Arial" w:hAnsi="Arial" w:cs="Arial"/>
                            <w:color w:val="FFFFFF" w:themeColor="background1"/>
                          </w:rPr>
                        </w:pPr>
                      </w:p>
                      <w:p w:rsidR="00055F48" w:rsidRPr="009A025D" w:rsidRDefault="00055F48">
                        <w:pPr>
                          <w:rPr>
                            <w:rFonts w:ascii="Arial" w:hAnsi="Arial" w:cs="Arial"/>
                            <w:color w:val="FFFFFF" w:themeColor="background1"/>
                          </w:rPr>
                        </w:pPr>
                      </w:p>
                      <w:p w:rsidR="00055F48" w:rsidRPr="009A025D" w:rsidRDefault="00055F48">
                        <w:pPr>
                          <w:rPr>
                            <w:rFonts w:ascii="Arial" w:hAnsi="Arial" w:cs="Arial"/>
                            <w:color w:val="FFFFFF" w:themeColor="background1"/>
                          </w:rPr>
                        </w:pPr>
                      </w:p>
                      <w:p w:rsidR="00055F48" w:rsidRPr="009A025D" w:rsidRDefault="00055F48">
                        <w:pPr>
                          <w:rPr>
                            <w:rFonts w:ascii="Arial" w:hAnsi="Arial" w:cs="Arial"/>
                            <w:color w:val="FFFFFF" w:themeColor="background1"/>
                          </w:rPr>
                        </w:pPr>
                      </w:p>
                      <w:p w:rsidR="00055F48" w:rsidRPr="009A025D" w:rsidRDefault="00055F48">
                        <w:pPr>
                          <w:rPr>
                            <w:rFonts w:ascii="Arial" w:hAnsi="Arial" w:cs="Arial"/>
                            <w:color w:val="FFFFFF" w:themeColor="background1"/>
                          </w:rPr>
                        </w:pPr>
                      </w:p>
                      <w:p w:rsidR="00055F48" w:rsidRPr="009A025D" w:rsidRDefault="00055F48">
                        <w:pPr>
                          <w:rPr>
                            <w:rFonts w:ascii="Arial" w:hAnsi="Arial" w:cs="Arial"/>
                            <w:color w:val="FFFFFF" w:themeColor="background1"/>
                          </w:rPr>
                        </w:pPr>
                      </w:p>
                      <w:p w:rsidR="00055F48" w:rsidRPr="009A025D" w:rsidRDefault="00055F48">
                        <w:pPr>
                          <w:rPr>
                            <w:rFonts w:ascii="Arial" w:hAnsi="Arial" w:cs="Arial"/>
                            <w:color w:val="FFFFFF" w:themeColor="background1"/>
                          </w:rPr>
                        </w:pPr>
                      </w:p>
                      <w:p w:rsidR="00055F48" w:rsidRPr="009A025D" w:rsidRDefault="00586F30" w:rsidP="003335DD">
                        <w:pPr>
                          <w:rPr>
                            <w:rFonts w:ascii="Arial" w:hAnsi="Arial" w:cs="Arial"/>
                            <w:color w:val="FFFFFF" w:themeColor="background1"/>
                          </w:rPr>
                        </w:pPr>
                        <w:r>
                          <w:rPr>
                            <w:rFonts w:ascii="Arial" w:hAnsi="Arial" w:cs="Arial"/>
                            <w:color w:val="FFFFFF" w:themeColor="background1"/>
                          </w:rPr>
                          <w:fldChar w:fldCharType="begin"/>
                        </w:r>
                        <w:r w:rsidR="00055F48">
                          <w:rPr>
                            <w:rFonts w:ascii="Arial" w:hAnsi="Arial" w:cs="Arial"/>
                            <w:color w:val="FFFFFF" w:themeColor="background1"/>
                          </w:rPr>
                          <w:instrText xml:space="preserve"> DATE  \@ "d MMMM yyyy"  \* MERGEFORMAT </w:instrText>
                        </w:r>
                        <w:r>
                          <w:rPr>
                            <w:rFonts w:ascii="Arial" w:hAnsi="Arial" w:cs="Arial"/>
                            <w:color w:val="FFFFFF" w:themeColor="background1"/>
                          </w:rPr>
                          <w:fldChar w:fldCharType="separate"/>
                        </w:r>
                        <w:r w:rsidR="00096E01">
                          <w:rPr>
                            <w:rFonts w:ascii="Arial" w:hAnsi="Arial" w:cs="Arial"/>
                            <w:noProof/>
                            <w:color w:val="FFFFFF" w:themeColor="background1"/>
                          </w:rPr>
                          <w:t>23 February 2015</w:t>
                        </w:r>
                        <w:r>
                          <w:rPr>
                            <w:rFonts w:ascii="Arial" w:hAnsi="Arial" w:cs="Arial"/>
                            <w:color w:val="FFFFFF" w:themeColor="background1"/>
                          </w:rPr>
                          <w:fldChar w:fldCharType="end"/>
                        </w:r>
                      </w:p>
                    </w:txbxContent>
                  </v:textbox>
                </v:shape>
              </w:pict>
            </w:r>
            <w:r w:rsidR="008E5E83">
              <w:t>ly</w:t>
            </w:r>
            <w:r>
              <w:fldChar w:fldCharType="begin"/>
            </w:r>
            <w:r w:rsidR="00AC5F4D">
              <w:instrText xml:space="preserve"> DocProperty KISClient \* charformat </w:instrText>
            </w:r>
            <w:r>
              <w:fldChar w:fldCharType="separate"/>
            </w:r>
            <w:r w:rsidR="00EE3E0D">
              <w:t>Department of the Environment</w:t>
            </w:r>
            <w:r>
              <w:fldChar w:fldCharType="end"/>
            </w:r>
          </w:p>
        </w:tc>
      </w:tr>
      <w:bookmarkStart w:id="1" w:name="ReportName1" w:colFirst="0" w:colLast="0"/>
      <w:bookmarkEnd w:id="0"/>
      <w:tr w:rsidR="00AC5F4D">
        <w:trPr>
          <w:cantSplit/>
          <w:jc w:val="center"/>
        </w:trPr>
        <w:tc>
          <w:tcPr>
            <w:tcW w:w="4536" w:type="dxa"/>
          </w:tcPr>
          <w:p w:rsidR="00AC5F4D" w:rsidRDefault="00586F30">
            <w:pPr>
              <w:pStyle w:val="zreportname"/>
            </w:pPr>
            <w:r>
              <w:fldChar w:fldCharType="begin"/>
            </w:r>
            <w:r w:rsidR="00AC5F4D">
              <w:instrText xml:space="preserve"> DocProperty KISSubject  \* CHARFORMAT </w:instrText>
            </w:r>
            <w:r>
              <w:fldChar w:fldCharType="end"/>
            </w:r>
          </w:p>
        </w:tc>
      </w:tr>
      <w:tr w:rsidR="00AC5F4D">
        <w:trPr>
          <w:cantSplit/>
          <w:jc w:val="center"/>
        </w:trPr>
        <w:tc>
          <w:tcPr>
            <w:tcW w:w="4536" w:type="dxa"/>
          </w:tcPr>
          <w:p w:rsidR="00AC5F4D" w:rsidRDefault="00AC5F4D">
            <w:pPr>
              <w:pStyle w:val="zreportsubtitle"/>
            </w:pPr>
            <w:bookmarkStart w:id="2" w:name="Subtitle" w:colFirst="0" w:colLast="0"/>
            <w:bookmarkEnd w:id="1"/>
          </w:p>
        </w:tc>
      </w:tr>
      <w:bookmarkEnd w:id="2"/>
    </w:tbl>
    <w:p w:rsidR="00AC5F4D" w:rsidRDefault="00AC5F4D">
      <w:pPr>
        <w:rPr>
          <w:szCs w:val="22"/>
        </w:rPr>
      </w:pPr>
    </w:p>
    <w:tbl>
      <w:tblPr>
        <w:tblW w:w="0" w:type="auto"/>
        <w:jc w:val="center"/>
        <w:tblLayout w:type="fixed"/>
        <w:tblCellMar>
          <w:left w:w="80" w:type="dxa"/>
          <w:right w:w="80" w:type="dxa"/>
        </w:tblCellMar>
        <w:tblLook w:val="0000"/>
      </w:tblPr>
      <w:tblGrid>
        <w:gridCol w:w="5320"/>
      </w:tblGrid>
      <w:tr w:rsidR="00AC5F4D" w:rsidTr="00EE3E0D">
        <w:trPr>
          <w:cantSplit/>
          <w:jc w:val="center"/>
        </w:trPr>
        <w:tc>
          <w:tcPr>
            <w:tcW w:w="5320" w:type="dxa"/>
          </w:tcPr>
          <w:p w:rsidR="00AC2630" w:rsidRDefault="00AC2630" w:rsidP="00AC2630">
            <w:pPr>
              <w:pStyle w:val="zreportaddinfo"/>
              <w:framePr w:wrap="around"/>
            </w:pPr>
            <w:bookmarkStart w:id="3" w:name="CoreService1" w:colFirst="0" w:colLast="0"/>
          </w:p>
          <w:p w:rsidR="00AC5F4D" w:rsidRDefault="00586F30">
            <w:pPr>
              <w:pStyle w:val="zreportaddinfo"/>
              <w:framePr w:wrap="around"/>
            </w:pPr>
            <w:r>
              <w:fldChar w:fldCharType="begin"/>
            </w:r>
            <w:r w:rsidR="005413FE">
              <w:instrText xml:space="preserve"> DocProperty KISHdrInfo \* charformat </w:instrText>
            </w:r>
            <w:r>
              <w:fldChar w:fldCharType="separate"/>
            </w:r>
            <w:r w:rsidR="00EE3E0D">
              <w:t>June 2014</w:t>
            </w:r>
            <w:r>
              <w:fldChar w:fldCharType="end"/>
            </w:r>
          </w:p>
        </w:tc>
      </w:tr>
      <w:bookmarkEnd w:id="3"/>
      <w:tr w:rsidR="00AC5F4D" w:rsidTr="00EE3E0D">
        <w:trPr>
          <w:cantSplit/>
          <w:jc w:val="center"/>
        </w:trPr>
        <w:tc>
          <w:tcPr>
            <w:tcW w:w="5320" w:type="dxa"/>
          </w:tcPr>
          <w:p w:rsidR="00AC5F4D" w:rsidRDefault="00AC5F4D">
            <w:pPr>
              <w:pStyle w:val="zreportaddinfo"/>
              <w:framePr w:wrap="around"/>
            </w:pPr>
            <w:r>
              <w:t xml:space="preserve">This report contains </w:t>
            </w:r>
            <w:fldSimple w:instr=" NUMPAGES \* Arabic \* MERGEFORMAT ">
              <w:r w:rsidR="001E5D7A">
                <w:t>76</w:t>
              </w:r>
            </w:fldSimple>
            <w:r>
              <w:t xml:space="preserve"> pages</w:t>
            </w:r>
          </w:p>
        </w:tc>
      </w:tr>
      <w:tr w:rsidR="00AC5F4D" w:rsidTr="00EE3E0D">
        <w:trPr>
          <w:cantSplit/>
          <w:trHeight w:hRule="exact" w:val="20"/>
          <w:jc w:val="center"/>
        </w:trPr>
        <w:tc>
          <w:tcPr>
            <w:tcW w:w="5320" w:type="dxa"/>
          </w:tcPr>
          <w:p w:rsidR="00AC5F4D" w:rsidRDefault="00AC5F4D">
            <w:pPr>
              <w:pStyle w:val="zreportaddinfo"/>
              <w:framePr w:wrap="around"/>
            </w:pPr>
            <w:bookmarkStart w:id="4" w:name="AppendPages" w:colFirst="0" w:colLast="0"/>
          </w:p>
        </w:tc>
      </w:tr>
      <w:bookmarkStart w:id="5" w:name="DocRef1"/>
      <w:bookmarkEnd w:id="4"/>
      <w:bookmarkEnd w:id="5"/>
      <w:tr w:rsidR="00AC5F4D" w:rsidTr="00EE3E0D">
        <w:trPr>
          <w:cantSplit/>
          <w:jc w:val="center"/>
        </w:trPr>
        <w:tc>
          <w:tcPr>
            <w:tcW w:w="5320" w:type="dxa"/>
          </w:tcPr>
          <w:p w:rsidR="00AC5F4D" w:rsidRDefault="00586F30">
            <w:pPr>
              <w:pStyle w:val="zreportaddinfo"/>
              <w:framePr w:wrap="around"/>
            </w:pPr>
            <w:r>
              <w:fldChar w:fldCharType="begin"/>
            </w:r>
            <w:r w:rsidR="00AC5F4D">
              <w:instrText xml:space="preserve"> FILENAME  \* MERGEFORMAT </w:instrText>
            </w:r>
            <w:r>
              <w:fldChar w:fldCharType="separate"/>
            </w:r>
            <w:r w:rsidR="00EE3E0D">
              <w:t>KPMG_RAC EOL CBA_Final Draft_250814.docx</w:t>
            </w:r>
            <w:r>
              <w:fldChar w:fldCharType="end"/>
            </w:r>
          </w:p>
        </w:tc>
      </w:tr>
    </w:tbl>
    <w:p w:rsidR="00AC5F4D" w:rsidRDefault="00AC5F4D"/>
    <w:p w:rsidR="00AC5F4D" w:rsidRDefault="00AC5F4D">
      <w:pPr>
        <w:sectPr w:rsidR="00AC5F4D" w:rsidSect="00077C9D">
          <w:headerReference w:type="even" r:id="rId14"/>
          <w:headerReference w:type="default" r:id="rId15"/>
          <w:footerReference w:type="even" r:id="rId16"/>
          <w:headerReference w:type="first" r:id="rId17"/>
          <w:pgSz w:w="11907" w:h="16840" w:code="9"/>
          <w:pgMar w:top="6464" w:right="1474" w:bottom="1588" w:left="1474" w:header="737" w:footer="1304" w:gutter="454"/>
          <w:pgNumType w:start="1"/>
          <w:cols w:space="720"/>
        </w:sectPr>
      </w:pPr>
    </w:p>
    <w:p w:rsidR="00AC5F4D" w:rsidRPr="00822251" w:rsidRDefault="00822251" w:rsidP="00822251">
      <w:pPr>
        <w:pStyle w:val="BodyText"/>
        <w:rPr>
          <w:b/>
          <w:sz w:val="32"/>
          <w:szCs w:val="32"/>
        </w:rPr>
      </w:pPr>
      <w:r w:rsidRPr="00822251">
        <w:rPr>
          <w:b/>
          <w:sz w:val="32"/>
          <w:szCs w:val="32"/>
        </w:rPr>
        <w:lastRenderedPageBreak/>
        <w:t>Disclaimer</w:t>
      </w:r>
    </w:p>
    <w:p w:rsidR="00822251" w:rsidRPr="00822251" w:rsidRDefault="00822251" w:rsidP="00C478AE">
      <w:pPr>
        <w:pStyle w:val="Heading5"/>
        <w:spacing w:before="120"/>
      </w:pPr>
      <w:r w:rsidRPr="00822251">
        <w:t>Inherent Limitations</w:t>
      </w:r>
    </w:p>
    <w:p w:rsidR="00822251" w:rsidRPr="00822251" w:rsidRDefault="00822251" w:rsidP="00822251">
      <w:pPr>
        <w:pStyle w:val="zcontents"/>
        <w:rPr>
          <w:b w:val="0"/>
          <w:sz w:val="22"/>
          <w:szCs w:val="22"/>
        </w:rPr>
      </w:pPr>
      <w:r w:rsidRPr="00822251">
        <w:rPr>
          <w:b w:val="0"/>
          <w:sz w:val="22"/>
          <w:szCs w:val="22"/>
        </w:rPr>
        <w:t xml:space="preserve">This report has been prepared as outlined in the </w:t>
      </w:r>
      <w:r w:rsidR="00055F48" w:rsidRPr="00055F48">
        <w:rPr>
          <w:b w:val="0"/>
          <w:sz w:val="22"/>
          <w:szCs w:val="22"/>
        </w:rPr>
        <w:t>Introduction, Objectives and Scope Sections</w:t>
      </w:r>
      <w:r w:rsidRPr="00822251">
        <w:rPr>
          <w:b w:val="0"/>
          <w:sz w:val="22"/>
          <w:szCs w:val="22"/>
        </w:rPr>
        <w:t xml:space="preserve">.  The services provided in connection with this engagement comprise an advisory engagement, which is not subject to assurance or other standards issued by the Australian Auditing and Assurance Standards Board and, consequently no opinions or conclusions intended to convey assurance have been expressed. </w:t>
      </w:r>
    </w:p>
    <w:p w:rsidR="00822251" w:rsidRPr="00822251" w:rsidRDefault="00822251" w:rsidP="00822251">
      <w:pPr>
        <w:pStyle w:val="zcontents"/>
        <w:rPr>
          <w:b w:val="0"/>
          <w:sz w:val="22"/>
          <w:szCs w:val="22"/>
        </w:rPr>
      </w:pPr>
      <w:r w:rsidRPr="00822251">
        <w:rPr>
          <w:b w:val="0"/>
          <w:sz w:val="22"/>
          <w:szCs w:val="22"/>
        </w:rPr>
        <w:t xml:space="preserve">No warranty of completeness, accuracy or reliability is given in relation to the statements and representations made by, and the information and documentation provided by, </w:t>
      </w:r>
      <w:r>
        <w:rPr>
          <w:b w:val="0"/>
          <w:sz w:val="22"/>
          <w:szCs w:val="22"/>
        </w:rPr>
        <w:t>the Department of the Environment</w:t>
      </w:r>
      <w:r w:rsidRPr="00822251">
        <w:rPr>
          <w:b w:val="0"/>
          <w:sz w:val="22"/>
          <w:szCs w:val="22"/>
        </w:rPr>
        <w:t xml:space="preserve"> management and personnel consulted as part of the process.</w:t>
      </w:r>
    </w:p>
    <w:p w:rsidR="00822251" w:rsidRPr="00822251" w:rsidRDefault="00822251" w:rsidP="00822251">
      <w:pPr>
        <w:pStyle w:val="zcontents"/>
        <w:rPr>
          <w:b w:val="0"/>
          <w:sz w:val="22"/>
          <w:szCs w:val="22"/>
        </w:rPr>
      </w:pPr>
      <w:r w:rsidRPr="00822251">
        <w:rPr>
          <w:b w:val="0"/>
          <w:sz w:val="22"/>
          <w:szCs w:val="22"/>
        </w:rPr>
        <w:t>KPMG have indicated within this report the sources of the information provided.  We have not sought to independently verify those sources unless otherwise noted within the report.</w:t>
      </w:r>
      <w:r w:rsidR="00C478AE">
        <w:rPr>
          <w:b w:val="0"/>
          <w:sz w:val="22"/>
          <w:szCs w:val="22"/>
        </w:rPr>
        <w:t xml:space="preserve"> </w:t>
      </w:r>
      <w:r w:rsidRPr="00822251">
        <w:rPr>
          <w:b w:val="0"/>
          <w:sz w:val="22"/>
          <w:szCs w:val="22"/>
        </w:rPr>
        <w:t>KPMG is under no obligation in any circumstance to update this report, in either oral or written form, for events occurring after the report has been issued in final form.</w:t>
      </w:r>
    </w:p>
    <w:p w:rsidR="00822251" w:rsidRPr="00822251" w:rsidRDefault="00822251" w:rsidP="00822251">
      <w:pPr>
        <w:pStyle w:val="zcontents"/>
        <w:rPr>
          <w:b w:val="0"/>
          <w:sz w:val="22"/>
          <w:szCs w:val="22"/>
        </w:rPr>
      </w:pPr>
      <w:r w:rsidRPr="00822251">
        <w:rPr>
          <w:b w:val="0"/>
          <w:sz w:val="22"/>
          <w:szCs w:val="22"/>
        </w:rPr>
        <w:t>The findings in this report have been formed on the above basis.</w:t>
      </w:r>
    </w:p>
    <w:p w:rsidR="00822251" w:rsidRPr="00822251" w:rsidRDefault="00822251" w:rsidP="00C478AE">
      <w:pPr>
        <w:pStyle w:val="Heading5"/>
        <w:spacing w:before="120"/>
      </w:pPr>
      <w:r w:rsidRPr="00822251">
        <w:t>Third Party Reliance</w:t>
      </w:r>
    </w:p>
    <w:p w:rsidR="00822251" w:rsidRPr="006F3822" w:rsidRDefault="00822251" w:rsidP="00822251">
      <w:pPr>
        <w:pStyle w:val="zcontents"/>
        <w:rPr>
          <w:b w:val="0"/>
          <w:sz w:val="22"/>
          <w:szCs w:val="22"/>
        </w:rPr>
      </w:pPr>
      <w:r w:rsidRPr="00822251">
        <w:rPr>
          <w:b w:val="0"/>
          <w:sz w:val="22"/>
          <w:szCs w:val="22"/>
        </w:rPr>
        <w:t xml:space="preserve">This report is solely for the purpose set out in the Scope Section and for </w:t>
      </w:r>
      <w:r>
        <w:rPr>
          <w:b w:val="0"/>
          <w:sz w:val="22"/>
          <w:szCs w:val="22"/>
        </w:rPr>
        <w:t>the Department of the Environment’s</w:t>
      </w:r>
      <w:r w:rsidRPr="00822251">
        <w:rPr>
          <w:b w:val="0"/>
          <w:sz w:val="22"/>
          <w:szCs w:val="22"/>
        </w:rPr>
        <w:t xml:space="preserve"> information, and is not to be used for any other purpose or distributed to any </w:t>
      </w:r>
      <w:r w:rsidRPr="006F3822">
        <w:rPr>
          <w:b w:val="0"/>
          <w:sz w:val="22"/>
          <w:szCs w:val="22"/>
        </w:rPr>
        <w:t>other party without KPMG’s prior written consent.</w:t>
      </w:r>
    </w:p>
    <w:p w:rsidR="006F3822" w:rsidRPr="006F3822" w:rsidRDefault="006F3822" w:rsidP="006F3822">
      <w:pPr>
        <w:pStyle w:val="zcontents"/>
        <w:spacing w:after="120"/>
        <w:rPr>
          <w:b w:val="0"/>
          <w:sz w:val="22"/>
          <w:szCs w:val="22"/>
        </w:rPr>
      </w:pPr>
      <w:r w:rsidRPr="006F3822">
        <w:rPr>
          <w:b w:val="0"/>
          <w:sz w:val="22"/>
          <w:szCs w:val="22"/>
        </w:rPr>
        <w:t>This report has been prepared at the request of the Department of the Environment, in accordance with the Service Order SON458758 which was signed on 28 May 2014. Other than our responsibility to the Department of the Environment, neither KPMG nor any member or employee of KPMG undertakes responsibility arising in any way from reliance placed by a third party on this report.  Any reliance placed is that party’s sole responsibility.</w:t>
      </w:r>
    </w:p>
    <w:p w:rsidR="0081406E" w:rsidRDefault="00DC1CC1" w:rsidP="00C478AE">
      <w:pPr>
        <w:pStyle w:val="Heading5"/>
        <w:spacing w:before="120"/>
        <w:rPr>
          <w:i w:val="0"/>
        </w:rPr>
      </w:pPr>
      <w:r w:rsidRPr="00DC1CC1">
        <w:t xml:space="preserve">Electronic Distribution of Reports </w:t>
      </w:r>
    </w:p>
    <w:p w:rsidR="006F3822" w:rsidRPr="006F3822" w:rsidRDefault="006F3822" w:rsidP="006F3822">
      <w:pPr>
        <w:pStyle w:val="BodyText"/>
        <w:spacing w:before="0" w:after="120"/>
        <w:jc w:val="left"/>
        <w:rPr>
          <w:iCs/>
        </w:rPr>
      </w:pPr>
      <w:r w:rsidRPr="006F3822">
        <w:rPr>
          <w:iCs/>
        </w:rPr>
        <w:t xml:space="preserve">This KPMG report was produced solely for the use and benefit of the Department of the Environment and cannot be relied on or distributed, in whole or in part, in any format by any other party. The report is dated </w:t>
      </w:r>
      <w:r w:rsidR="005F22AC">
        <w:rPr>
          <w:iCs/>
        </w:rPr>
        <w:t>25 September 2014</w:t>
      </w:r>
      <w:r w:rsidRPr="006F3822">
        <w:rPr>
          <w:iCs/>
        </w:rPr>
        <w:t xml:space="preserve"> and KPMG accepts no liability for and has not undertaken work in respect of any event subsequent to that date which may affect the report.</w:t>
      </w:r>
    </w:p>
    <w:p w:rsidR="006F3822" w:rsidRPr="006F3822" w:rsidRDefault="006F3822" w:rsidP="006F3822">
      <w:pPr>
        <w:pStyle w:val="BodyText"/>
        <w:spacing w:before="0" w:after="120"/>
        <w:jc w:val="left"/>
        <w:rPr>
          <w:iCs/>
        </w:rPr>
      </w:pPr>
      <w:r w:rsidRPr="006F3822">
        <w:rPr>
          <w:iCs/>
        </w:rPr>
        <w:t>Any redistribution of this report requires the prior written approval of KPMG and in any event is to be complete and unaltered version of the report and accompanied only by such other materials as KPMG may agree.</w:t>
      </w:r>
    </w:p>
    <w:p w:rsidR="006F3822" w:rsidRDefault="006F3822" w:rsidP="006F3822">
      <w:pPr>
        <w:pStyle w:val="BodyText"/>
        <w:spacing w:before="0" w:after="120"/>
        <w:jc w:val="left"/>
        <w:rPr>
          <w:iCs/>
        </w:rPr>
      </w:pPr>
      <w:r w:rsidRPr="006F3822">
        <w:rPr>
          <w:iCs/>
        </w:rPr>
        <w:t>Responsibility for the security of any electronic distribution of this report remains the responsibility of Department of the Environment and KPMG accepts no liability if the report is or has been altered in any way by any person.</w:t>
      </w:r>
    </w:p>
    <w:p w:rsidR="00C478AE" w:rsidRPr="00C478AE" w:rsidRDefault="00C478AE" w:rsidP="00C478AE">
      <w:pPr>
        <w:pStyle w:val="Heading5"/>
        <w:spacing w:before="120"/>
      </w:pPr>
      <w:r w:rsidRPr="00C478AE">
        <w:t>Accessibility</w:t>
      </w:r>
    </w:p>
    <w:p w:rsidR="00C478AE" w:rsidRDefault="00C478AE" w:rsidP="00C478AE">
      <w:pPr>
        <w:pStyle w:val="BodyText"/>
        <w:spacing w:before="0" w:after="120"/>
        <w:jc w:val="left"/>
        <w:rPr>
          <w:iCs/>
        </w:rPr>
      </w:pPr>
      <w:r w:rsidRPr="00C478AE">
        <w:rPr>
          <w:iCs/>
        </w:rPr>
        <w:t>To comply with the Commonwealth Government’s accessibility requirements for publishing on the internet, two version of this Report are available: a KPMG-branded PDF version and an unbranded Microsoft Word version. The KPMG-branded PDF version of this Report remains the def</w:t>
      </w:r>
      <w:r>
        <w:rPr>
          <w:iCs/>
        </w:rPr>
        <w:t>initive version of this Report.</w:t>
      </w:r>
    </w:p>
    <w:p w:rsidR="00AC5F4D" w:rsidRPr="00C478AE" w:rsidRDefault="00AC5F4D" w:rsidP="00C478AE">
      <w:pPr>
        <w:pStyle w:val="BodyText0"/>
        <w:rPr>
          <w:rFonts w:ascii="Times New Roman" w:hAnsi="Times New Roman" w:cs="Times New Roman"/>
          <w:b/>
          <w:color w:val="1F497D" w:themeColor="text2"/>
          <w:sz w:val="32"/>
          <w:szCs w:val="32"/>
        </w:rPr>
      </w:pPr>
      <w:r w:rsidRPr="00C478AE">
        <w:rPr>
          <w:rFonts w:ascii="Times New Roman" w:hAnsi="Times New Roman" w:cs="Times New Roman"/>
          <w:b/>
          <w:color w:val="1F497D" w:themeColor="text2"/>
          <w:sz w:val="32"/>
          <w:szCs w:val="32"/>
        </w:rPr>
        <w:lastRenderedPageBreak/>
        <w:t>Contents</w:t>
      </w:r>
    </w:p>
    <w:bookmarkStart w:id="6" w:name="_GoBack"/>
    <w:bookmarkEnd w:id="6"/>
    <w:p w:rsidR="00C478AE" w:rsidRDefault="00586F30">
      <w:pPr>
        <w:pStyle w:val="TOC1"/>
        <w:rPr>
          <w:rFonts w:asciiTheme="minorHAnsi" w:eastAsiaTheme="minorEastAsia" w:hAnsiTheme="minorHAnsi" w:cstheme="minorBidi"/>
          <w:noProof/>
          <w:sz w:val="22"/>
          <w:szCs w:val="22"/>
          <w:lang w:eastAsia="en-AU"/>
        </w:rPr>
      </w:pPr>
      <w:r>
        <w:fldChar w:fldCharType="begin"/>
      </w:r>
      <w:r w:rsidR="00013197">
        <w:instrText xml:space="preserve"> TOC \o "1-2" \h \z \u </w:instrText>
      </w:r>
      <w:r>
        <w:fldChar w:fldCharType="separate"/>
      </w:r>
      <w:hyperlink w:anchor="_Toc403647577" w:history="1">
        <w:r w:rsidR="00C478AE" w:rsidRPr="007259A2">
          <w:rPr>
            <w:rStyle w:val="Hyperlink"/>
            <w:noProof/>
          </w:rPr>
          <w:t>Glossary of Terms</w:t>
        </w:r>
        <w:r w:rsidR="00C478AE">
          <w:rPr>
            <w:noProof/>
            <w:webHidden/>
          </w:rPr>
          <w:tab/>
        </w:r>
        <w:r>
          <w:rPr>
            <w:noProof/>
            <w:webHidden/>
          </w:rPr>
          <w:fldChar w:fldCharType="begin"/>
        </w:r>
        <w:r w:rsidR="00C478AE">
          <w:rPr>
            <w:noProof/>
            <w:webHidden/>
          </w:rPr>
          <w:instrText xml:space="preserve"> PAGEREF _Toc403647577 \h </w:instrText>
        </w:r>
        <w:r>
          <w:rPr>
            <w:noProof/>
            <w:webHidden/>
          </w:rPr>
        </w:r>
        <w:r>
          <w:rPr>
            <w:noProof/>
            <w:webHidden/>
          </w:rPr>
          <w:fldChar w:fldCharType="separate"/>
        </w:r>
        <w:r w:rsidR="00C478AE">
          <w:rPr>
            <w:noProof/>
            <w:webHidden/>
          </w:rPr>
          <w:t>3</w:t>
        </w:r>
        <w:r>
          <w:rPr>
            <w:noProof/>
            <w:webHidden/>
          </w:rPr>
          <w:fldChar w:fldCharType="end"/>
        </w:r>
      </w:hyperlink>
    </w:p>
    <w:p w:rsidR="00C478AE" w:rsidRDefault="00586F30">
      <w:pPr>
        <w:pStyle w:val="TOC1"/>
        <w:rPr>
          <w:rFonts w:asciiTheme="minorHAnsi" w:eastAsiaTheme="minorEastAsia" w:hAnsiTheme="minorHAnsi" w:cstheme="minorBidi"/>
          <w:noProof/>
          <w:sz w:val="22"/>
          <w:szCs w:val="22"/>
          <w:lang w:eastAsia="en-AU"/>
        </w:rPr>
      </w:pPr>
      <w:hyperlink w:anchor="_Toc403647578" w:history="1">
        <w:r w:rsidR="00C478AE" w:rsidRPr="007259A2">
          <w:rPr>
            <w:rStyle w:val="Hyperlink"/>
            <w:noProof/>
          </w:rPr>
          <w:t>Executive Summary</w:t>
        </w:r>
        <w:r w:rsidR="00C478AE">
          <w:rPr>
            <w:noProof/>
            <w:webHidden/>
          </w:rPr>
          <w:tab/>
        </w:r>
        <w:r>
          <w:rPr>
            <w:noProof/>
            <w:webHidden/>
          </w:rPr>
          <w:fldChar w:fldCharType="begin"/>
        </w:r>
        <w:r w:rsidR="00C478AE">
          <w:rPr>
            <w:noProof/>
            <w:webHidden/>
          </w:rPr>
          <w:instrText xml:space="preserve"> PAGEREF _Toc403647578 \h </w:instrText>
        </w:r>
        <w:r>
          <w:rPr>
            <w:noProof/>
            <w:webHidden/>
          </w:rPr>
        </w:r>
        <w:r>
          <w:rPr>
            <w:noProof/>
            <w:webHidden/>
          </w:rPr>
          <w:fldChar w:fldCharType="separate"/>
        </w:r>
        <w:r w:rsidR="00C478AE">
          <w:rPr>
            <w:noProof/>
            <w:webHidden/>
          </w:rPr>
          <w:t>5</w:t>
        </w:r>
        <w:r>
          <w:rPr>
            <w:noProof/>
            <w:webHidden/>
          </w:rPr>
          <w:fldChar w:fldCharType="end"/>
        </w:r>
      </w:hyperlink>
    </w:p>
    <w:p w:rsidR="00C478AE" w:rsidRDefault="00586F30">
      <w:pPr>
        <w:pStyle w:val="TOC1"/>
        <w:rPr>
          <w:rFonts w:asciiTheme="minorHAnsi" w:eastAsiaTheme="minorEastAsia" w:hAnsiTheme="minorHAnsi" w:cstheme="minorBidi"/>
          <w:noProof/>
          <w:sz w:val="22"/>
          <w:szCs w:val="22"/>
          <w:lang w:eastAsia="en-AU"/>
        </w:rPr>
      </w:pPr>
      <w:hyperlink w:anchor="_Toc403647579" w:history="1">
        <w:r w:rsidR="00C478AE" w:rsidRPr="007259A2">
          <w:rPr>
            <w:rStyle w:val="Hyperlink"/>
            <w:noProof/>
          </w:rPr>
          <w:t>1</w:t>
        </w:r>
        <w:r w:rsidR="00C478AE">
          <w:rPr>
            <w:rFonts w:asciiTheme="minorHAnsi" w:eastAsiaTheme="minorEastAsia" w:hAnsiTheme="minorHAnsi" w:cstheme="minorBidi"/>
            <w:noProof/>
            <w:sz w:val="22"/>
            <w:szCs w:val="22"/>
            <w:lang w:eastAsia="en-AU"/>
          </w:rPr>
          <w:tab/>
        </w:r>
        <w:r w:rsidR="00C478AE" w:rsidRPr="007259A2">
          <w:rPr>
            <w:rStyle w:val="Hyperlink"/>
            <w:noProof/>
          </w:rPr>
          <w:t>Introduction</w:t>
        </w:r>
        <w:r w:rsidR="00C478AE">
          <w:rPr>
            <w:noProof/>
            <w:webHidden/>
          </w:rPr>
          <w:tab/>
        </w:r>
        <w:r>
          <w:rPr>
            <w:noProof/>
            <w:webHidden/>
          </w:rPr>
          <w:fldChar w:fldCharType="begin"/>
        </w:r>
        <w:r w:rsidR="00C478AE">
          <w:rPr>
            <w:noProof/>
            <w:webHidden/>
          </w:rPr>
          <w:instrText xml:space="preserve"> PAGEREF _Toc403647579 \h </w:instrText>
        </w:r>
        <w:r>
          <w:rPr>
            <w:noProof/>
            <w:webHidden/>
          </w:rPr>
        </w:r>
        <w:r>
          <w:rPr>
            <w:noProof/>
            <w:webHidden/>
          </w:rPr>
          <w:fldChar w:fldCharType="separate"/>
        </w:r>
        <w:r w:rsidR="00C478AE">
          <w:rPr>
            <w:noProof/>
            <w:webHidden/>
          </w:rPr>
          <w:t>11</w:t>
        </w:r>
        <w:r>
          <w:rPr>
            <w:noProof/>
            <w:webHidden/>
          </w:rPr>
          <w:fldChar w:fldCharType="end"/>
        </w:r>
      </w:hyperlink>
    </w:p>
    <w:p w:rsidR="00C478AE" w:rsidRDefault="00586F30">
      <w:pPr>
        <w:pStyle w:val="TOC2"/>
        <w:rPr>
          <w:rFonts w:asciiTheme="minorHAnsi" w:eastAsiaTheme="minorEastAsia" w:hAnsiTheme="minorHAnsi" w:cstheme="minorBidi"/>
          <w:noProof/>
          <w:sz w:val="22"/>
          <w:szCs w:val="22"/>
          <w:lang w:eastAsia="en-AU"/>
        </w:rPr>
      </w:pPr>
      <w:hyperlink w:anchor="_Toc403647580" w:history="1">
        <w:r w:rsidR="00C478AE" w:rsidRPr="007259A2">
          <w:rPr>
            <w:rStyle w:val="Hyperlink"/>
            <w:noProof/>
          </w:rPr>
          <w:t>1.1</w:t>
        </w:r>
        <w:r w:rsidR="00C478AE">
          <w:rPr>
            <w:rFonts w:asciiTheme="minorHAnsi" w:eastAsiaTheme="minorEastAsia" w:hAnsiTheme="minorHAnsi" w:cstheme="minorBidi"/>
            <w:noProof/>
            <w:sz w:val="22"/>
            <w:szCs w:val="22"/>
            <w:lang w:eastAsia="en-AU"/>
          </w:rPr>
          <w:tab/>
        </w:r>
        <w:r w:rsidR="00C478AE" w:rsidRPr="007259A2">
          <w:rPr>
            <w:rStyle w:val="Hyperlink"/>
            <w:noProof/>
          </w:rPr>
          <w:t>Objectives and Scope</w:t>
        </w:r>
        <w:r w:rsidR="00C478AE">
          <w:rPr>
            <w:noProof/>
            <w:webHidden/>
          </w:rPr>
          <w:tab/>
        </w:r>
        <w:r>
          <w:rPr>
            <w:noProof/>
            <w:webHidden/>
          </w:rPr>
          <w:fldChar w:fldCharType="begin"/>
        </w:r>
        <w:r w:rsidR="00C478AE">
          <w:rPr>
            <w:noProof/>
            <w:webHidden/>
          </w:rPr>
          <w:instrText xml:space="preserve"> PAGEREF _Toc403647580 \h </w:instrText>
        </w:r>
        <w:r>
          <w:rPr>
            <w:noProof/>
            <w:webHidden/>
          </w:rPr>
        </w:r>
        <w:r>
          <w:rPr>
            <w:noProof/>
            <w:webHidden/>
          </w:rPr>
          <w:fldChar w:fldCharType="separate"/>
        </w:r>
        <w:r w:rsidR="00C478AE">
          <w:rPr>
            <w:noProof/>
            <w:webHidden/>
          </w:rPr>
          <w:t>11</w:t>
        </w:r>
        <w:r>
          <w:rPr>
            <w:noProof/>
            <w:webHidden/>
          </w:rPr>
          <w:fldChar w:fldCharType="end"/>
        </w:r>
      </w:hyperlink>
    </w:p>
    <w:p w:rsidR="00C478AE" w:rsidRDefault="00586F30">
      <w:pPr>
        <w:pStyle w:val="TOC2"/>
        <w:rPr>
          <w:rFonts w:asciiTheme="minorHAnsi" w:eastAsiaTheme="minorEastAsia" w:hAnsiTheme="minorHAnsi" w:cstheme="minorBidi"/>
          <w:noProof/>
          <w:sz w:val="22"/>
          <w:szCs w:val="22"/>
          <w:lang w:eastAsia="en-AU"/>
        </w:rPr>
      </w:pPr>
      <w:hyperlink w:anchor="_Toc403647581" w:history="1">
        <w:r w:rsidR="00C478AE" w:rsidRPr="007259A2">
          <w:rPr>
            <w:rStyle w:val="Hyperlink"/>
            <w:noProof/>
          </w:rPr>
          <w:t>1.2</w:t>
        </w:r>
        <w:r w:rsidR="00C478AE">
          <w:rPr>
            <w:rFonts w:asciiTheme="minorHAnsi" w:eastAsiaTheme="minorEastAsia" w:hAnsiTheme="minorHAnsi" w:cstheme="minorBidi"/>
            <w:noProof/>
            <w:sz w:val="22"/>
            <w:szCs w:val="22"/>
            <w:lang w:eastAsia="en-AU"/>
          </w:rPr>
          <w:tab/>
        </w:r>
        <w:r w:rsidR="00C478AE" w:rsidRPr="007259A2">
          <w:rPr>
            <w:rStyle w:val="Hyperlink"/>
            <w:noProof/>
          </w:rPr>
          <w:t>Report Structure</w:t>
        </w:r>
        <w:r w:rsidR="00C478AE">
          <w:rPr>
            <w:noProof/>
            <w:webHidden/>
          </w:rPr>
          <w:tab/>
        </w:r>
        <w:r>
          <w:rPr>
            <w:noProof/>
            <w:webHidden/>
          </w:rPr>
          <w:fldChar w:fldCharType="begin"/>
        </w:r>
        <w:r w:rsidR="00C478AE">
          <w:rPr>
            <w:noProof/>
            <w:webHidden/>
          </w:rPr>
          <w:instrText xml:space="preserve"> PAGEREF _Toc403647581 \h </w:instrText>
        </w:r>
        <w:r>
          <w:rPr>
            <w:noProof/>
            <w:webHidden/>
          </w:rPr>
        </w:r>
        <w:r>
          <w:rPr>
            <w:noProof/>
            <w:webHidden/>
          </w:rPr>
          <w:fldChar w:fldCharType="separate"/>
        </w:r>
        <w:r w:rsidR="00C478AE">
          <w:rPr>
            <w:noProof/>
            <w:webHidden/>
          </w:rPr>
          <w:t>12</w:t>
        </w:r>
        <w:r>
          <w:rPr>
            <w:noProof/>
            <w:webHidden/>
          </w:rPr>
          <w:fldChar w:fldCharType="end"/>
        </w:r>
      </w:hyperlink>
    </w:p>
    <w:p w:rsidR="00C478AE" w:rsidRDefault="00586F30">
      <w:pPr>
        <w:pStyle w:val="TOC1"/>
        <w:rPr>
          <w:rFonts w:asciiTheme="minorHAnsi" w:eastAsiaTheme="minorEastAsia" w:hAnsiTheme="minorHAnsi" w:cstheme="minorBidi"/>
          <w:noProof/>
          <w:sz w:val="22"/>
          <w:szCs w:val="22"/>
          <w:lang w:eastAsia="en-AU"/>
        </w:rPr>
      </w:pPr>
      <w:hyperlink w:anchor="_Toc403647582" w:history="1">
        <w:r w:rsidR="00C478AE" w:rsidRPr="007259A2">
          <w:rPr>
            <w:rStyle w:val="Hyperlink"/>
            <w:noProof/>
          </w:rPr>
          <w:t>2</w:t>
        </w:r>
        <w:r w:rsidR="00C478AE">
          <w:rPr>
            <w:rFonts w:asciiTheme="minorHAnsi" w:eastAsiaTheme="minorEastAsia" w:hAnsiTheme="minorHAnsi" w:cstheme="minorBidi"/>
            <w:noProof/>
            <w:sz w:val="22"/>
            <w:szCs w:val="22"/>
            <w:lang w:eastAsia="en-AU"/>
          </w:rPr>
          <w:tab/>
        </w:r>
        <w:r w:rsidR="00C478AE" w:rsidRPr="007259A2">
          <w:rPr>
            <w:rStyle w:val="Hyperlink"/>
            <w:noProof/>
          </w:rPr>
          <w:t>Background</w:t>
        </w:r>
        <w:r w:rsidR="00C478AE">
          <w:rPr>
            <w:noProof/>
            <w:webHidden/>
          </w:rPr>
          <w:tab/>
        </w:r>
        <w:r>
          <w:rPr>
            <w:noProof/>
            <w:webHidden/>
          </w:rPr>
          <w:fldChar w:fldCharType="begin"/>
        </w:r>
        <w:r w:rsidR="00C478AE">
          <w:rPr>
            <w:noProof/>
            <w:webHidden/>
          </w:rPr>
          <w:instrText xml:space="preserve"> PAGEREF _Toc403647582 \h </w:instrText>
        </w:r>
        <w:r>
          <w:rPr>
            <w:noProof/>
            <w:webHidden/>
          </w:rPr>
        </w:r>
        <w:r>
          <w:rPr>
            <w:noProof/>
            <w:webHidden/>
          </w:rPr>
          <w:fldChar w:fldCharType="separate"/>
        </w:r>
        <w:r w:rsidR="00C478AE">
          <w:rPr>
            <w:noProof/>
            <w:webHidden/>
          </w:rPr>
          <w:t>13</w:t>
        </w:r>
        <w:r>
          <w:rPr>
            <w:noProof/>
            <w:webHidden/>
          </w:rPr>
          <w:fldChar w:fldCharType="end"/>
        </w:r>
      </w:hyperlink>
    </w:p>
    <w:p w:rsidR="00C478AE" w:rsidRDefault="00586F30">
      <w:pPr>
        <w:pStyle w:val="TOC1"/>
        <w:rPr>
          <w:rFonts w:asciiTheme="minorHAnsi" w:eastAsiaTheme="minorEastAsia" w:hAnsiTheme="minorHAnsi" w:cstheme="minorBidi"/>
          <w:noProof/>
          <w:sz w:val="22"/>
          <w:szCs w:val="22"/>
          <w:lang w:eastAsia="en-AU"/>
        </w:rPr>
      </w:pPr>
      <w:hyperlink w:anchor="_Toc403647583" w:history="1">
        <w:r w:rsidR="00C478AE" w:rsidRPr="007259A2">
          <w:rPr>
            <w:rStyle w:val="Hyperlink"/>
            <w:noProof/>
          </w:rPr>
          <w:t>3</w:t>
        </w:r>
        <w:r w:rsidR="00C478AE">
          <w:rPr>
            <w:rFonts w:asciiTheme="minorHAnsi" w:eastAsiaTheme="minorEastAsia" w:hAnsiTheme="minorHAnsi" w:cstheme="minorBidi"/>
            <w:noProof/>
            <w:sz w:val="22"/>
            <w:szCs w:val="22"/>
            <w:lang w:eastAsia="en-AU"/>
          </w:rPr>
          <w:tab/>
        </w:r>
        <w:r w:rsidR="00C478AE" w:rsidRPr="007259A2">
          <w:rPr>
            <w:rStyle w:val="Hyperlink"/>
            <w:noProof/>
          </w:rPr>
          <w:t>Approach</w:t>
        </w:r>
        <w:r w:rsidR="00C478AE">
          <w:rPr>
            <w:noProof/>
            <w:webHidden/>
          </w:rPr>
          <w:tab/>
        </w:r>
        <w:r>
          <w:rPr>
            <w:noProof/>
            <w:webHidden/>
          </w:rPr>
          <w:fldChar w:fldCharType="begin"/>
        </w:r>
        <w:r w:rsidR="00C478AE">
          <w:rPr>
            <w:noProof/>
            <w:webHidden/>
          </w:rPr>
          <w:instrText xml:space="preserve"> PAGEREF _Toc403647583 \h </w:instrText>
        </w:r>
        <w:r>
          <w:rPr>
            <w:noProof/>
            <w:webHidden/>
          </w:rPr>
        </w:r>
        <w:r>
          <w:rPr>
            <w:noProof/>
            <w:webHidden/>
          </w:rPr>
          <w:fldChar w:fldCharType="separate"/>
        </w:r>
        <w:r w:rsidR="00C478AE">
          <w:rPr>
            <w:noProof/>
            <w:webHidden/>
          </w:rPr>
          <w:t>16</w:t>
        </w:r>
        <w:r>
          <w:rPr>
            <w:noProof/>
            <w:webHidden/>
          </w:rPr>
          <w:fldChar w:fldCharType="end"/>
        </w:r>
      </w:hyperlink>
    </w:p>
    <w:p w:rsidR="00C478AE" w:rsidRDefault="00586F30">
      <w:pPr>
        <w:pStyle w:val="TOC2"/>
        <w:rPr>
          <w:rFonts w:asciiTheme="minorHAnsi" w:eastAsiaTheme="minorEastAsia" w:hAnsiTheme="minorHAnsi" w:cstheme="minorBidi"/>
          <w:noProof/>
          <w:sz w:val="22"/>
          <w:szCs w:val="22"/>
          <w:lang w:eastAsia="en-AU"/>
        </w:rPr>
      </w:pPr>
      <w:hyperlink w:anchor="_Toc403647584" w:history="1">
        <w:r w:rsidR="00C478AE" w:rsidRPr="007259A2">
          <w:rPr>
            <w:rStyle w:val="Hyperlink"/>
            <w:noProof/>
          </w:rPr>
          <w:t>3.1</w:t>
        </w:r>
        <w:r w:rsidR="00C478AE">
          <w:rPr>
            <w:rFonts w:asciiTheme="minorHAnsi" w:eastAsiaTheme="minorEastAsia" w:hAnsiTheme="minorHAnsi" w:cstheme="minorBidi"/>
            <w:noProof/>
            <w:sz w:val="22"/>
            <w:szCs w:val="22"/>
            <w:lang w:eastAsia="en-AU"/>
          </w:rPr>
          <w:tab/>
        </w:r>
        <w:r w:rsidR="00C478AE" w:rsidRPr="007259A2">
          <w:rPr>
            <w:rStyle w:val="Hyperlink"/>
            <w:noProof/>
          </w:rPr>
          <w:t>Method of Analysis</w:t>
        </w:r>
        <w:r w:rsidR="00C478AE">
          <w:rPr>
            <w:noProof/>
            <w:webHidden/>
          </w:rPr>
          <w:tab/>
        </w:r>
        <w:r>
          <w:rPr>
            <w:noProof/>
            <w:webHidden/>
          </w:rPr>
          <w:fldChar w:fldCharType="begin"/>
        </w:r>
        <w:r w:rsidR="00C478AE">
          <w:rPr>
            <w:noProof/>
            <w:webHidden/>
          </w:rPr>
          <w:instrText xml:space="preserve"> PAGEREF _Toc403647584 \h </w:instrText>
        </w:r>
        <w:r>
          <w:rPr>
            <w:noProof/>
            <w:webHidden/>
          </w:rPr>
        </w:r>
        <w:r>
          <w:rPr>
            <w:noProof/>
            <w:webHidden/>
          </w:rPr>
          <w:fldChar w:fldCharType="separate"/>
        </w:r>
        <w:r w:rsidR="00C478AE">
          <w:rPr>
            <w:noProof/>
            <w:webHidden/>
          </w:rPr>
          <w:t>16</w:t>
        </w:r>
        <w:r>
          <w:rPr>
            <w:noProof/>
            <w:webHidden/>
          </w:rPr>
          <w:fldChar w:fldCharType="end"/>
        </w:r>
      </w:hyperlink>
    </w:p>
    <w:p w:rsidR="00C478AE" w:rsidRDefault="00586F30">
      <w:pPr>
        <w:pStyle w:val="TOC2"/>
        <w:rPr>
          <w:rFonts w:asciiTheme="minorHAnsi" w:eastAsiaTheme="minorEastAsia" w:hAnsiTheme="minorHAnsi" w:cstheme="minorBidi"/>
          <w:noProof/>
          <w:sz w:val="22"/>
          <w:szCs w:val="22"/>
          <w:lang w:eastAsia="en-AU"/>
        </w:rPr>
      </w:pPr>
      <w:hyperlink w:anchor="_Toc403647585" w:history="1">
        <w:r w:rsidR="00C478AE" w:rsidRPr="007259A2">
          <w:rPr>
            <w:rStyle w:val="Hyperlink"/>
            <w:noProof/>
          </w:rPr>
          <w:t>3.2</w:t>
        </w:r>
        <w:r w:rsidR="00C478AE">
          <w:rPr>
            <w:rFonts w:asciiTheme="minorHAnsi" w:eastAsiaTheme="minorEastAsia" w:hAnsiTheme="minorHAnsi" w:cstheme="minorBidi"/>
            <w:noProof/>
            <w:sz w:val="22"/>
            <w:szCs w:val="22"/>
            <w:lang w:eastAsia="en-AU"/>
          </w:rPr>
          <w:tab/>
        </w:r>
        <w:r w:rsidR="00C478AE" w:rsidRPr="007259A2">
          <w:rPr>
            <w:rStyle w:val="Hyperlink"/>
            <w:noProof/>
          </w:rPr>
          <w:t>Base Case and Options for Analysis</w:t>
        </w:r>
        <w:r w:rsidR="00C478AE">
          <w:rPr>
            <w:noProof/>
            <w:webHidden/>
          </w:rPr>
          <w:tab/>
        </w:r>
        <w:r>
          <w:rPr>
            <w:noProof/>
            <w:webHidden/>
          </w:rPr>
          <w:fldChar w:fldCharType="begin"/>
        </w:r>
        <w:r w:rsidR="00C478AE">
          <w:rPr>
            <w:noProof/>
            <w:webHidden/>
          </w:rPr>
          <w:instrText xml:space="preserve"> PAGEREF _Toc403647585 \h </w:instrText>
        </w:r>
        <w:r>
          <w:rPr>
            <w:noProof/>
            <w:webHidden/>
          </w:rPr>
        </w:r>
        <w:r>
          <w:rPr>
            <w:noProof/>
            <w:webHidden/>
          </w:rPr>
          <w:fldChar w:fldCharType="separate"/>
        </w:r>
        <w:r w:rsidR="00C478AE">
          <w:rPr>
            <w:noProof/>
            <w:webHidden/>
          </w:rPr>
          <w:t>18</w:t>
        </w:r>
        <w:r>
          <w:rPr>
            <w:noProof/>
            <w:webHidden/>
          </w:rPr>
          <w:fldChar w:fldCharType="end"/>
        </w:r>
      </w:hyperlink>
    </w:p>
    <w:p w:rsidR="00C478AE" w:rsidRDefault="00586F30">
      <w:pPr>
        <w:pStyle w:val="TOC1"/>
        <w:rPr>
          <w:rFonts w:asciiTheme="minorHAnsi" w:eastAsiaTheme="minorEastAsia" w:hAnsiTheme="minorHAnsi" w:cstheme="minorBidi"/>
          <w:noProof/>
          <w:sz w:val="22"/>
          <w:szCs w:val="22"/>
          <w:lang w:eastAsia="en-AU"/>
        </w:rPr>
      </w:pPr>
      <w:hyperlink w:anchor="_Toc403647586" w:history="1">
        <w:r w:rsidR="00C478AE" w:rsidRPr="007259A2">
          <w:rPr>
            <w:rStyle w:val="Hyperlink"/>
            <w:noProof/>
          </w:rPr>
          <w:t>4</w:t>
        </w:r>
        <w:r w:rsidR="00C478AE">
          <w:rPr>
            <w:rFonts w:asciiTheme="minorHAnsi" w:eastAsiaTheme="minorEastAsia" w:hAnsiTheme="minorHAnsi" w:cstheme="minorBidi"/>
            <w:noProof/>
            <w:sz w:val="22"/>
            <w:szCs w:val="22"/>
            <w:lang w:eastAsia="en-AU"/>
          </w:rPr>
          <w:tab/>
        </w:r>
        <w:r w:rsidR="00C478AE" w:rsidRPr="007259A2">
          <w:rPr>
            <w:rStyle w:val="Hyperlink"/>
            <w:noProof/>
          </w:rPr>
          <w:t>Identification and Quantification of Costs and Benefits</w:t>
        </w:r>
        <w:r w:rsidR="00C478AE">
          <w:rPr>
            <w:noProof/>
            <w:webHidden/>
          </w:rPr>
          <w:tab/>
        </w:r>
        <w:r>
          <w:rPr>
            <w:noProof/>
            <w:webHidden/>
          </w:rPr>
          <w:fldChar w:fldCharType="begin"/>
        </w:r>
        <w:r w:rsidR="00C478AE">
          <w:rPr>
            <w:noProof/>
            <w:webHidden/>
          </w:rPr>
          <w:instrText xml:space="preserve"> PAGEREF _Toc403647586 \h </w:instrText>
        </w:r>
        <w:r>
          <w:rPr>
            <w:noProof/>
            <w:webHidden/>
          </w:rPr>
        </w:r>
        <w:r>
          <w:rPr>
            <w:noProof/>
            <w:webHidden/>
          </w:rPr>
          <w:fldChar w:fldCharType="separate"/>
        </w:r>
        <w:r w:rsidR="00C478AE">
          <w:rPr>
            <w:noProof/>
            <w:webHidden/>
          </w:rPr>
          <w:t>32</w:t>
        </w:r>
        <w:r>
          <w:rPr>
            <w:noProof/>
            <w:webHidden/>
          </w:rPr>
          <w:fldChar w:fldCharType="end"/>
        </w:r>
      </w:hyperlink>
    </w:p>
    <w:p w:rsidR="00C478AE" w:rsidRDefault="00586F30">
      <w:pPr>
        <w:pStyle w:val="TOC2"/>
        <w:rPr>
          <w:rFonts w:asciiTheme="minorHAnsi" w:eastAsiaTheme="minorEastAsia" w:hAnsiTheme="minorHAnsi" w:cstheme="minorBidi"/>
          <w:noProof/>
          <w:sz w:val="22"/>
          <w:szCs w:val="22"/>
          <w:lang w:eastAsia="en-AU"/>
        </w:rPr>
      </w:pPr>
      <w:hyperlink w:anchor="_Toc403647587" w:history="1">
        <w:r w:rsidR="00C478AE" w:rsidRPr="007259A2">
          <w:rPr>
            <w:rStyle w:val="Hyperlink"/>
            <w:noProof/>
          </w:rPr>
          <w:t>4.1</w:t>
        </w:r>
        <w:r w:rsidR="00C478AE">
          <w:rPr>
            <w:rFonts w:asciiTheme="minorHAnsi" w:eastAsiaTheme="minorEastAsia" w:hAnsiTheme="minorHAnsi" w:cstheme="minorBidi"/>
            <w:noProof/>
            <w:sz w:val="22"/>
            <w:szCs w:val="22"/>
            <w:lang w:eastAsia="en-AU"/>
          </w:rPr>
          <w:tab/>
        </w:r>
        <w:r w:rsidR="00C478AE" w:rsidRPr="007259A2">
          <w:rPr>
            <w:rStyle w:val="Hyperlink"/>
            <w:noProof/>
          </w:rPr>
          <w:t>Costs</w:t>
        </w:r>
        <w:r w:rsidR="00C478AE">
          <w:rPr>
            <w:noProof/>
            <w:webHidden/>
          </w:rPr>
          <w:tab/>
        </w:r>
        <w:r>
          <w:rPr>
            <w:noProof/>
            <w:webHidden/>
          </w:rPr>
          <w:fldChar w:fldCharType="begin"/>
        </w:r>
        <w:r w:rsidR="00C478AE">
          <w:rPr>
            <w:noProof/>
            <w:webHidden/>
          </w:rPr>
          <w:instrText xml:space="preserve"> PAGEREF _Toc403647587 \h </w:instrText>
        </w:r>
        <w:r>
          <w:rPr>
            <w:noProof/>
            <w:webHidden/>
          </w:rPr>
        </w:r>
        <w:r>
          <w:rPr>
            <w:noProof/>
            <w:webHidden/>
          </w:rPr>
          <w:fldChar w:fldCharType="separate"/>
        </w:r>
        <w:r w:rsidR="00C478AE">
          <w:rPr>
            <w:noProof/>
            <w:webHidden/>
          </w:rPr>
          <w:t>34</w:t>
        </w:r>
        <w:r>
          <w:rPr>
            <w:noProof/>
            <w:webHidden/>
          </w:rPr>
          <w:fldChar w:fldCharType="end"/>
        </w:r>
      </w:hyperlink>
    </w:p>
    <w:p w:rsidR="00C478AE" w:rsidRDefault="00586F30">
      <w:pPr>
        <w:pStyle w:val="TOC2"/>
        <w:rPr>
          <w:rFonts w:asciiTheme="minorHAnsi" w:eastAsiaTheme="minorEastAsia" w:hAnsiTheme="minorHAnsi" w:cstheme="minorBidi"/>
          <w:noProof/>
          <w:sz w:val="22"/>
          <w:szCs w:val="22"/>
          <w:lang w:eastAsia="en-AU"/>
        </w:rPr>
      </w:pPr>
      <w:hyperlink w:anchor="_Toc403647588" w:history="1">
        <w:r w:rsidR="00C478AE" w:rsidRPr="007259A2">
          <w:rPr>
            <w:rStyle w:val="Hyperlink"/>
            <w:noProof/>
          </w:rPr>
          <w:t>4.2</w:t>
        </w:r>
        <w:r w:rsidR="00C478AE">
          <w:rPr>
            <w:rFonts w:asciiTheme="minorHAnsi" w:eastAsiaTheme="minorEastAsia" w:hAnsiTheme="minorHAnsi" w:cstheme="minorBidi"/>
            <w:noProof/>
            <w:sz w:val="22"/>
            <w:szCs w:val="22"/>
            <w:lang w:eastAsia="en-AU"/>
          </w:rPr>
          <w:tab/>
        </w:r>
        <w:r w:rsidR="00C478AE" w:rsidRPr="007259A2">
          <w:rPr>
            <w:rStyle w:val="Hyperlink"/>
            <w:noProof/>
          </w:rPr>
          <w:t>Benefits</w:t>
        </w:r>
        <w:r w:rsidR="00C478AE">
          <w:rPr>
            <w:noProof/>
            <w:webHidden/>
          </w:rPr>
          <w:tab/>
        </w:r>
        <w:r>
          <w:rPr>
            <w:noProof/>
            <w:webHidden/>
          </w:rPr>
          <w:fldChar w:fldCharType="begin"/>
        </w:r>
        <w:r w:rsidR="00C478AE">
          <w:rPr>
            <w:noProof/>
            <w:webHidden/>
          </w:rPr>
          <w:instrText xml:space="preserve"> PAGEREF _Toc403647588 \h </w:instrText>
        </w:r>
        <w:r>
          <w:rPr>
            <w:noProof/>
            <w:webHidden/>
          </w:rPr>
        </w:r>
        <w:r>
          <w:rPr>
            <w:noProof/>
            <w:webHidden/>
          </w:rPr>
          <w:fldChar w:fldCharType="separate"/>
        </w:r>
        <w:r w:rsidR="00C478AE">
          <w:rPr>
            <w:noProof/>
            <w:webHidden/>
          </w:rPr>
          <w:t>37</w:t>
        </w:r>
        <w:r>
          <w:rPr>
            <w:noProof/>
            <w:webHidden/>
          </w:rPr>
          <w:fldChar w:fldCharType="end"/>
        </w:r>
      </w:hyperlink>
    </w:p>
    <w:p w:rsidR="00C478AE" w:rsidRDefault="00586F30">
      <w:pPr>
        <w:pStyle w:val="TOC1"/>
        <w:rPr>
          <w:rFonts w:asciiTheme="minorHAnsi" w:eastAsiaTheme="minorEastAsia" w:hAnsiTheme="minorHAnsi" w:cstheme="minorBidi"/>
          <w:noProof/>
          <w:sz w:val="22"/>
          <w:szCs w:val="22"/>
          <w:lang w:eastAsia="en-AU"/>
        </w:rPr>
      </w:pPr>
      <w:hyperlink w:anchor="_Toc403647589" w:history="1">
        <w:r w:rsidR="00C478AE" w:rsidRPr="007259A2">
          <w:rPr>
            <w:rStyle w:val="Hyperlink"/>
            <w:noProof/>
          </w:rPr>
          <w:t>5</w:t>
        </w:r>
        <w:r w:rsidR="00C478AE">
          <w:rPr>
            <w:rFonts w:asciiTheme="minorHAnsi" w:eastAsiaTheme="minorEastAsia" w:hAnsiTheme="minorHAnsi" w:cstheme="minorBidi"/>
            <w:noProof/>
            <w:sz w:val="22"/>
            <w:szCs w:val="22"/>
            <w:lang w:eastAsia="en-AU"/>
          </w:rPr>
          <w:tab/>
        </w:r>
        <w:r w:rsidR="00C478AE" w:rsidRPr="007259A2">
          <w:rPr>
            <w:rStyle w:val="Hyperlink"/>
            <w:noProof/>
          </w:rPr>
          <w:t>Assessment of Net Benefit and Sensitivity Analysis</w:t>
        </w:r>
        <w:r w:rsidR="00C478AE">
          <w:rPr>
            <w:noProof/>
            <w:webHidden/>
          </w:rPr>
          <w:tab/>
        </w:r>
        <w:r>
          <w:rPr>
            <w:noProof/>
            <w:webHidden/>
          </w:rPr>
          <w:fldChar w:fldCharType="begin"/>
        </w:r>
        <w:r w:rsidR="00C478AE">
          <w:rPr>
            <w:noProof/>
            <w:webHidden/>
          </w:rPr>
          <w:instrText xml:space="preserve"> PAGEREF _Toc403647589 \h </w:instrText>
        </w:r>
        <w:r>
          <w:rPr>
            <w:noProof/>
            <w:webHidden/>
          </w:rPr>
        </w:r>
        <w:r>
          <w:rPr>
            <w:noProof/>
            <w:webHidden/>
          </w:rPr>
          <w:fldChar w:fldCharType="separate"/>
        </w:r>
        <w:r w:rsidR="00C478AE">
          <w:rPr>
            <w:noProof/>
            <w:webHidden/>
          </w:rPr>
          <w:t>48</w:t>
        </w:r>
        <w:r>
          <w:rPr>
            <w:noProof/>
            <w:webHidden/>
          </w:rPr>
          <w:fldChar w:fldCharType="end"/>
        </w:r>
      </w:hyperlink>
    </w:p>
    <w:p w:rsidR="00C478AE" w:rsidRDefault="00586F30">
      <w:pPr>
        <w:pStyle w:val="TOC2"/>
        <w:rPr>
          <w:rFonts w:asciiTheme="minorHAnsi" w:eastAsiaTheme="minorEastAsia" w:hAnsiTheme="minorHAnsi" w:cstheme="minorBidi"/>
          <w:noProof/>
          <w:sz w:val="22"/>
          <w:szCs w:val="22"/>
          <w:lang w:eastAsia="en-AU"/>
        </w:rPr>
      </w:pPr>
      <w:hyperlink w:anchor="_Toc403647590" w:history="1">
        <w:r w:rsidR="00C478AE" w:rsidRPr="007259A2">
          <w:rPr>
            <w:rStyle w:val="Hyperlink"/>
            <w:noProof/>
          </w:rPr>
          <w:t>5.1</w:t>
        </w:r>
        <w:r w:rsidR="00C478AE">
          <w:rPr>
            <w:rFonts w:asciiTheme="minorHAnsi" w:eastAsiaTheme="minorEastAsia" w:hAnsiTheme="minorHAnsi" w:cstheme="minorBidi"/>
            <w:noProof/>
            <w:sz w:val="22"/>
            <w:szCs w:val="22"/>
            <w:lang w:eastAsia="en-AU"/>
          </w:rPr>
          <w:tab/>
        </w:r>
        <w:r w:rsidR="00C478AE" w:rsidRPr="007259A2">
          <w:rPr>
            <w:rStyle w:val="Hyperlink"/>
            <w:noProof/>
          </w:rPr>
          <w:t>Assessment of Net Benefit</w:t>
        </w:r>
        <w:r w:rsidR="00C478AE">
          <w:rPr>
            <w:noProof/>
            <w:webHidden/>
          </w:rPr>
          <w:tab/>
        </w:r>
        <w:r>
          <w:rPr>
            <w:noProof/>
            <w:webHidden/>
          </w:rPr>
          <w:fldChar w:fldCharType="begin"/>
        </w:r>
        <w:r w:rsidR="00C478AE">
          <w:rPr>
            <w:noProof/>
            <w:webHidden/>
          </w:rPr>
          <w:instrText xml:space="preserve"> PAGEREF _Toc403647590 \h </w:instrText>
        </w:r>
        <w:r>
          <w:rPr>
            <w:noProof/>
            <w:webHidden/>
          </w:rPr>
        </w:r>
        <w:r>
          <w:rPr>
            <w:noProof/>
            <w:webHidden/>
          </w:rPr>
          <w:fldChar w:fldCharType="separate"/>
        </w:r>
        <w:r w:rsidR="00C478AE">
          <w:rPr>
            <w:noProof/>
            <w:webHidden/>
          </w:rPr>
          <w:t>48</w:t>
        </w:r>
        <w:r>
          <w:rPr>
            <w:noProof/>
            <w:webHidden/>
          </w:rPr>
          <w:fldChar w:fldCharType="end"/>
        </w:r>
      </w:hyperlink>
    </w:p>
    <w:p w:rsidR="00C478AE" w:rsidRDefault="00586F30">
      <w:pPr>
        <w:pStyle w:val="TOC2"/>
        <w:rPr>
          <w:rFonts w:asciiTheme="minorHAnsi" w:eastAsiaTheme="minorEastAsia" w:hAnsiTheme="minorHAnsi" w:cstheme="minorBidi"/>
          <w:noProof/>
          <w:sz w:val="22"/>
          <w:szCs w:val="22"/>
          <w:lang w:eastAsia="en-AU"/>
        </w:rPr>
      </w:pPr>
      <w:hyperlink w:anchor="_Toc403647591" w:history="1">
        <w:r w:rsidR="00C478AE" w:rsidRPr="007259A2">
          <w:rPr>
            <w:rStyle w:val="Hyperlink"/>
            <w:noProof/>
          </w:rPr>
          <w:t>5.2</w:t>
        </w:r>
        <w:r w:rsidR="00C478AE">
          <w:rPr>
            <w:rFonts w:asciiTheme="minorHAnsi" w:eastAsiaTheme="minorEastAsia" w:hAnsiTheme="minorHAnsi" w:cstheme="minorBidi"/>
            <w:noProof/>
            <w:sz w:val="22"/>
            <w:szCs w:val="22"/>
            <w:lang w:eastAsia="en-AU"/>
          </w:rPr>
          <w:tab/>
        </w:r>
        <w:r w:rsidR="00C478AE" w:rsidRPr="007259A2">
          <w:rPr>
            <w:rStyle w:val="Hyperlink"/>
            <w:noProof/>
          </w:rPr>
          <w:t>Distributional Analysis</w:t>
        </w:r>
        <w:r w:rsidR="00C478AE">
          <w:rPr>
            <w:noProof/>
            <w:webHidden/>
          </w:rPr>
          <w:tab/>
        </w:r>
        <w:r>
          <w:rPr>
            <w:noProof/>
            <w:webHidden/>
          </w:rPr>
          <w:fldChar w:fldCharType="begin"/>
        </w:r>
        <w:r w:rsidR="00C478AE">
          <w:rPr>
            <w:noProof/>
            <w:webHidden/>
          </w:rPr>
          <w:instrText xml:space="preserve"> PAGEREF _Toc403647591 \h </w:instrText>
        </w:r>
        <w:r>
          <w:rPr>
            <w:noProof/>
            <w:webHidden/>
          </w:rPr>
        </w:r>
        <w:r>
          <w:rPr>
            <w:noProof/>
            <w:webHidden/>
          </w:rPr>
          <w:fldChar w:fldCharType="separate"/>
        </w:r>
        <w:r w:rsidR="00C478AE">
          <w:rPr>
            <w:noProof/>
            <w:webHidden/>
          </w:rPr>
          <w:t>49</w:t>
        </w:r>
        <w:r>
          <w:rPr>
            <w:noProof/>
            <w:webHidden/>
          </w:rPr>
          <w:fldChar w:fldCharType="end"/>
        </w:r>
      </w:hyperlink>
    </w:p>
    <w:p w:rsidR="00C478AE" w:rsidRDefault="00586F30">
      <w:pPr>
        <w:pStyle w:val="TOC2"/>
        <w:rPr>
          <w:rFonts w:asciiTheme="minorHAnsi" w:eastAsiaTheme="minorEastAsia" w:hAnsiTheme="minorHAnsi" w:cstheme="minorBidi"/>
          <w:noProof/>
          <w:sz w:val="22"/>
          <w:szCs w:val="22"/>
          <w:lang w:eastAsia="en-AU"/>
        </w:rPr>
      </w:pPr>
      <w:hyperlink w:anchor="_Toc403647592" w:history="1">
        <w:r w:rsidR="00C478AE" w:rsidRPr="007259A2">
          <w:rPr>
            <w:rStyle w:val="Hyperlink"/>
            <w:noProof/>
          </w:rPr>
          <w:t>5.3</w:t>
        </w:r>
        <w:r w:rsidR="00C478AE">
          <w:rPr>
            <w:rFonts w:asciiTheme="minorHAnsi" w:eastAsiaTheme="minorEastAsia" w:hAnsiTheme="minorHAnsi" w:cstheme="minorBidi"/>
            <w:noProof/>
            <w:sz w:val="22"/>
            <w:szCs w:val="22"/>
            <w:lang w:eastAsia="en-AU"/>
          </w:rPr>
          <w:tab/>
        </w:r>
        <w:r w:rsidR="00C478AE" w:rsidRPr="007259A2">
          <w:rPr>
            <w:rStyle w:val="Hyperlink"/>
            <w:noProof/>
          </w:rPr>
          <w:t>Sensitivity Analysis</w:t>
        </w:r>
        <w:r w:rsidR="00C478AE">
          <w:rPr>
            <w:noProof/>
            <w:webHidden/>
          </w:rPr>
          <w:tab/>
        </w:r>
        <w:r>
          <w:rPr>
            <w:noProof/>
            <w:webHidden/>
          </w:rPr>
          <w:fldChar w:fldCharType="begin"/>
        </w:r>
        <w:r w:rsidR="00C478AE">
          <w:rPr>
            <w:noProof/>
            <w:webHidden/>
          </w:rPr>
          <w:instrText xml:space="preserve"> PAGEREF _Toc403647592 \h </w:instrText>
        </w:r>
        <w:r>
          <w:rPr>
            <w:noProof/>
            <w:webHidden/>
          </w:rPr>
        </w:r>
        <w:r>
          <w:rPr>
            <w:noProof/>
            <w:webHidden/>
          </w:rPr>
          <w:fldChar w:fldCharType="separate"/>
        </w:r>
        <w:r w:rsidR="00C478AE">
          <w:rPr>
            <w:noProof/>
            <w:webHidden/>
          </w:rPr>
          <w:t>52</w:t>
        </w:r>
        <w:r>
          <w:rPr>
            <w:noProof/>
            <w:webHidden/>
          </w:rPr>
          <w:fldChar w:fldCharType="end"/>
        </w:r>
      </w:hyperlink>
    </w:p>
    <w:p w:rsidR="00C478AE" w:rsidRDefault="00586F30">
      <w:pPr>
        <w:pStyle w:val="TOC1"/>
        <w:rPr>
          <w:rFonts w:asciiTheme="minorHAnsi" w:eastAsiaTheme="minorEastAsia" w:hAnsiTheme="minorHAnsi" w:cstheme="minorBidi"/>
          <w:noProof/>
          <w:sz w:val="22"/>
          <w:szCs w:val="22"/>
          <w:lang w:eastAsia="en-AU"/>
        </w:rPr>
      </w:pPr>
      <w:hyperlink w:anchor="_Toc403647593" w:history="1">
        <w:r w:rsidR="00C478AE" w:rsidRPr="007259A2">
          <w:rPr>
            <w:rStyle w:val="Hyperlink"/>
            <w:noProof/>
          </w:rPr>
          <w:t>6</w:t>
        </w:r>
        <w:r w:rsidR="00C478AE">
          <w:rPr>
            <w:rFonts w:asciiTheme="minorHAnsi" w:eastAsiaTheme="minorEastAsia" w:hAnsiTheme="minorHAnsi" w:cstheme="minorBidi"/>
            <w:noProof/>
            <w:sz w:val="22"/>
            <w:szCs w:val="22"/>
            <w:lang w:eastAsia="en-AU"/>
          </w:rPr>
          <w:tab/>
        </w:r>
        <w:r w:rsidR="00C478AE" w:rsidRPr="007259A2">
          <w:rPr>
            <w:rStyle w:val="Hyperlink"/>
            <w:noProof/>
          </w:rPr>
          <w:t>Summary and Next Steps</w:t>
        </w:r>
        <w:r w:rsidR="00C478AE">
          <w:rPr>
            <w:noProof/>
            <w:webHidden/>
          </w:rPr>
          <w:tab/>
        </w:r>
        <w:r>
          <w:rPr>
            <w:noProof/>
            <w:webHidden/>
          </w:rPr>
          <w:fldChar w:fldCharType="begin"/>
        </w:r>
        <w:r w:rsidR="00C478AE">
          <w:rPr>
            <w:noProof/>
            <w:webHidden/>
          </w:rPr>
          <w:instrText xml:space="preserve"> PAGEREF _Toc403647593 \h </w:instrText>
        </w:r>
        <w:r>
          <w:rPr>
            <w:noProof/>
            <w:webHidden/>
          </w:rPr>
        </w:r>
        <w:r>
          <w:rPr>
            <w:noProof/>
            <w:webHidden/>
          </w:rPr>
          <w:fldChar w:fldCharType="separate"/>
        </w:r>
        <w:r w:rsidR="00C478AE">
          <w:rPr>
            <w:noProof/>
            <w:webHidden/>
          </w:rPr>
          <w:t>58</w:t>
        </w:r>
        <w:r>
          <w:rPr>
            <w:noProof/>
            <w:webHidden/>
          </w:rPr>
          <w:fldChar w:fldCharType="end"/>
        </w:r>
      </w:hyperlink>
    </w:p>
    <w:p w:rsidR="00C478AE" w:rsidRDefault="00586F30">
      <w:pPr>
        <w:pStyle w:val="TOC2"/>
        <w:rPr>
          <w:rFonts w:asciiTheme="minorHAnsi" w:eastAsiaTheme="minorEastAsia" w:hAnsiTheme="minorHAnsi" w:cstheme="minorBidi"/>
          <w:noProof/>
          <w:sz w:val="22"/>
          <w:szCs w:val="22"/>
          <w:lang w:eastAsia="en-AU"/>
        </w:rPr>
      </w:pPr>
      <w:hyperlink w:anchor="_Toc403647594" w:history="1">
        <w:r w:rsidR="00C478AE" w:rsidRPr="007259A2">
          <w:rPr>
            <w:rStyle w:val="Hyperlink"/>
            <w:noProof/>
          </w:rPr>
          <w:t>6.1</w:t>
        </w:r>
        <w:r w:rsidR="00C478AE">
          <w:rPr>
            <w:rFonts w:asciiTheme="minorHAnsi" w:eastAsiaTheme="minorEastAsia" w:hAnsiTheme="minorHAnsi" w:cstheme="minorBidi"/>
            <w:noProof/>
            <w:sz w:val="22"/>
            <w:szCs w:val="22"/>
            <w:lang w:eastAsia="en-AU"/>
          </w:rPr>
          <w:tab/>
        </w:r>
        <w:r w:rsidR="00C478AE" w:rsidRPr="007259A2">
          <w:rPr>
            <w:rStyle w:val="Hyperlink"/>
            <w:noProof/>
          </w:rPr>
          <w:t>Summary of Results</w:t>
        </w:r>
        <w:r w:rsidR="00C478AE">
          <w:rPr>
            <w:noProof/>
            <w:webHidden/>
          </w:rPr>
          <w:tab/>
        </w:r>
        <w:r>
          <w:rPr>
            <w:noProof/>
            <w:webHidden/>
          </w:rPr>
          <w:fldChar w:fldCharType="begin"/>
        </w:r>
        <w:r w:rsidR="00C478AE">
          <w:rPr>
            <w:noProof/>
            <w:webHidden/>
          </w:rPr>
          <w:instrText xml:space="preserve"> PAGEREF _Toc403647594 \h </w:instrText>
        </w:r>
        <w:r>
          <w:rPr>
            <w:noProof/>
            <w:webHidden/>
          </w:rPr>
        </w:r>
        <w:r>
          <w:rPr>
            <w:noProof/>
            <w:webHidden/>
          </w:rPr>
          <w:fldChar w:fldCharType="separate"/>
        </w:r>
        <w:r w:rsidR="00C478AE">
          <w:rPr>
            <w:noProof/>
            <w:webHidden/>
          </w:rPr>
          <w:t>58</w:t>
        </w:r>
        <w:r>
          <w:rPr>
            <w:noProof/>
            <w:webHidden/>
          </w:rPr>
          <w:fldChar w:fldCharType="end"/>
        </w:r>
      </w:hyperlink>
    </w:p>
    <w:p w:rsidR="00C478AE" w:rsidRDefault="00586F30">
      <w:pPr>
        <w:pStyle w:val="TOC2"/>
        <w:rPr>
          <w:rFonts w:asciiTheme="minorHAnsi" w:eastAsiaTheme="minorEastAsia" w:hAnsiTheme="minorHAnsi" w:cstheme="minorBidi"/>
          <w:noProof/>
          <w:sz w:val="22"/>
          <w:szCs w:val="22"/>
          <w:lang w:eastAsia="en-AU"/>
        </w:rPr>
      </w:pPr>
      <w:hyperlink w:anchor="_Toc403647595" w:history="1">
        <w:r w:rsidR="00C478AE" w:rsidRPr="007259A2">
          <w:rPr>
            <w:rStyle w:val="Hyperlink"/>
            <w:noProof/>
          </w:rPr>
          <w:t>6.2</w:t>
        </w:r>
        <w:r w:rsidR="00C478AE">
          <w:rPr>
            <w:rFonts w:asciiTheme="minorHAnsi" w:eastAsiaTheme="minorEastAsia" w:hAnsiTheme="minorHAnsi" w:cstheme="minorBidi"/>
            <w:noProof/>
            <w:sz w:val="22"/>
            <w:szCs w:val="22"/>
            <w:lang w:eastAsia="en-AU"/>
          </w:rPr>
          <w:tab/>
        </w:r>
        <w:r w:rsidR="00C478AE" w:rsidRPr="007259A2">
          <w:rPr>
            <w:rStyle w:val="Hyperlink"/>
            <w:noProof/>
          </w:rPr>
          <w:t>Next Steps</w:t>
        </w:r>
        <w:r w:rsidR="00C478AE">
          <w:rPr>
            <w:noProof/>
            <w:webHidden/>
          </w:rPr>
          <w:tab/>
        </w:r>
        <w:r>
          <w:rPr>
            <w:noProof/>
            <w:webHidden/>
          </w:rPr>
          <w:fldChar w:fldCharType="begin"/>
        </w:r>
        <w:r w:rsidR="00C478AE">
          <w:rPr>
            <w:noProof/>
            <w:webHidden/>
          </w:rPr>
          <w:instrText xml:space="preserve"> PAGEREF _Toc403647595 \h </w:instrText>
        </w:r>
        <w:r>
          <w:rPr>
            <w:noProof/>
            <w:webHidden/>
          </w:rPr>
        </w:r>
        <w:r>
          <w:rPr>
            <w:noProof/>
            <w:webHidden/>
          </w:rPr>
          <w:fldChar w:fldCharType="separate"/>
        </w:r>
        <w:r w:rsidR="00C478AE">
          <w:rPr>
            <w:noProof/>
            <w:webHidden/>
          </w:rPr>
          <w:t>58</w:t>
        </w:r>
        <w:r>
          <w:rPr>
            <w:noProof/>
            <w:webHidden/>
          </w:rPr>
          <w:fldChar w:fldCharType="end"/>
        </w:r>
      </w:hyperlink>
    </w:p>
    <w:p w:rsidR="00C478AE" w:rsidRDefault="00586F30">
      <w:pPr>
        <w:pStyle w:val="TOC1"/>
        <w:rPr>
          <w:rFonts w:asciiTheme="minorHAnsi" w:eastAsiaTheme="minorEastAsia" w:hAnsiTheme="minorHAnsi" w:cstheme="minorBidi"/>
          <w:noProof/>
          <w:sz w:val="22"/>
          <w:szCs w:val="22"/>
          <w:lang w:eastAsia="en-AU"/>
        </w:rPr>
      </w:pPr>
      <w:hyperlink w:anchor="_Toc403647596" w:history="1">
        <w:r w:rsidR="00C478AE" w:rsidRPr="007259A2">
          <w:rPr>
            <w:rStyle w:val="Hyperlink"/>
            <w:noProof/>
          </w:rPr>
          <w:t>Appendix A – Base Case Assumptions</w:t>
        </w:r>
        <w:r w:rsidR="00C478AE">
          <w:rPr>
            <w:noProof/>
            <w:webHidden/>
          </w:rPr>
          <w:tab/>
        </w:r>
        <w:r>
          <w:rPr>
            <w:noProof/>
            <w:webHidden/>
          </w:rPr>
          <w:fldChar w:fldCharType="begin"/>
        </w:r>
        <w:r w:rsidR="00C478AE">
          <w:rPr>
            <w:noProof/>
            <w:webHidden/>
          </w:rPr>
          <w:instrText xml:space="preserve"> PAGEREF _Toc403647596 \h </w:instrText>
        </w:r>
        <w:r>
          <w:rPr>
            <w:noProof/>
            <w:webHidden/>
          </w:rPr>
        </w:r>
        <w:r>
          <w:rPr>
            <w:noProof/>
            <w:webHidden/>
          </w:rPr>
          <w:fldChar w:fldCharType="separate"/>
        </w:r>
        <w:r w:rsidR="00C478AE">
          <w:rPr>
            <w:noProof/>
            <w:webHidden/>
          </w:rPr>
          <w:t>60</w:t>
        </w:r>
        <w:r>
          <w:rPr>
            <w:noProof/>
            <w:webHidden/>
          </w:rPr>
          <w:fldChar w:fldCharType="end"/>
        </w:r>
      </w:hyperlink>
    </w:p>
    <w:p w:rsidR="00C478AE" w:rsidRDefault="00586F30">
      <w:pPr>
        <w:pStyle w:val="TOC1"/>
        <w:rPr>
          <w:rFonts w:asciiTheme="minorHAnsi" w:eastAsiaTheme="minorEastAsia" w:hAnsiTheme="minorHAnsi" w:cstheme="minorBidi"/>
          <w:noProof/>
          <w:sz w:val="22"/>
          <w:szCs w:val="22"/>
          <w:lang w:eastAsia="en-AU"/>
        </w:rPr>
      </w:pPr>
      <w:hyperlink w:anchor="_Toc403647597" w:history="1">
        <w:r w:rsidR="00C478AE" w:rsidRPr="007259A2">
          <w:rPr>
            <w:rStyle w:val="Hyperlink"/>
            <w:noProof/>
          </w:rPr>
          <w:t>Appendix B – Recovery Pathways</w:t>
        </w:r>
        <w:r w:rsidR="00C478AE">
          <w:rPr>
            <w:noProof/>
            <w:webHidden/>
          </w:rPr>
          <w:tab/>
        </w:r>
        <w:r>
          <w:rPr>
            <w:noProof/>
            <w:webHidden/>
          </w:rPr>
          <w:fldChar w:fldCharType="begin"/>
        </w:r>
        <w:r w:rsidR="00C478AE">
          <w:rPr>
            <w:noProof/>
            <w:webHidden/>
          </w:rPr>
          <w:instrText xml:space="preserve"> PAGEREF _Toc403647597 \h </w:instrText>
        </w:r>
        <w:r>
          <w:rPr>
            <w:noProof/>
            <w:webHidden/>
          </w:rPr>
        </w:r>
        <w:r>
          <w:rPr>
            <w:noProof/>
            <w:webHidden/>
          </w:rPr>
          <w:fldChar w:fldCharType="separate"/>
        </w:r>
        <w:r w:rsidR="00C478AE">
          <w:rPr>
            <w:noProof/>
            <w:webHidden/>
          </w:rPr>
          <w:t>65</w:t>
        </w:r>
        <w:r>
          <w:rPr>
            <w:noProof/>
            <w:webHidden/>
          </w:rPr>
          <w:fldChar w:fldCharType="end"/>
        </w:r>
      </w:hyperlink>
    </w:p>
    <w:p w:rsidR="00C478AE" w:rsidRDefault="00586F30">
      <w:pPr>
        <w:pStyle w:val="TOC1"/>
        <w:rPr>
          <w:rFonts w:asciiTheme="minorHAnsi" w:eastAsiaTheme="minorEastAsia" w:hAnsiTheme="minorHAnsi" w:cstheme="minorBidi"/>
          <w:noProof/>
          <w:sz w:val="22"/>
          <w:szCs w:val="22"/>
          <w:lang w:eastAsia="en-AU"/>
        </w:rPr>
      </w:pPr>
      <w:hyperlink w:anchor="_Toc403647598" w:history="1">
        <w:r w:rsidR="00C478AE" w:rsidRPr="007259A2">
          <w:rPr>
            <w:rStyle w:val="Hyperlink"/>
            <w:noProof/>
          </w:rPr>
          <w:t>Appendix C – Assumptions and Parameter Values</w:t>
        </w:r>
        <w:r w:rsidR="00C478AE">
          <w:rPr>
            <w:noProof/>
            <w:webHidden/>
          </w:rPr>
          <w:tab/>
        </w:r>
        <w:r>
          <w:rPr>
            <w:noProof/>
            <w:webHidden/>
          </w:rPr>
          <w:fldChar w:fldCharType="begin"/>
        </w:r>
        <w:r w:rsidR="00C478AE">
          <w:rPr>
            <w:noProof/>
            <w:webHidden/>
          </w:rPr>
          <w:instrText xml:space="preserve"> PAGEREF _Toc403647598 \h </w:instrText>
        </w:r>
        <w:r>
          <w:rPr>
            <w:noProof/>
            <w:webHidden/>
          </w:rPr>
        </w:r>
        <w:r>
          <w:rPr>
            <w:noProof/>
            <w:webHidden/>
          </w:rPr>
          <w:fldChar w:fldCharType="separate"/>
        </w:r>
        <w:r w:rsidR="00C478AE">
          <w:rPr>
            <w:noProof/>
            <w:webHidden/>
          </w:rPr>
          <w:t>66</w:t>
        </w:r>
        <w:r>
          <w:rPr>
            <w:noProof/>
            <w:webHidden/>
          </w:rPr>
          <w:fldChar w:fldCharType="end"/>
        </w:r>
      </w:hyperlink>
    </w:p>
    <w:p w:rsidR="00C478AE" w:rsidRDefault="00586F30">
      <w:pPr>
        <w:pStyle w:val="TOC1"/>
        <w:rPr>
          <w:rFonts w:asciiTheme="minorHAnsi" w:eastAsiaTheme="minorEastAsia" w:hAnsiTheme="minorHAnsi" w:cstheme="minorBidi"/>
          <w:noProof/>
          <w:sz w:val="22"/>
          <w:szCs w:val="22"/>
          <w:lang w:eastAsia="en-AU"/>
        </w:rPr>
      </w:pPr>
      <w:hyperlink w:anchor="_Toc403647599" w:history="1">
        <w:r w:rsidR="00C478AE" w:rsidRPr="007259A2">
          <w:rPr>
            <w:rStyle w:val="Hyperlink"/>
            <w:noProof/>
          </w:rPr>
          <w:t>Appendix D – Summary of Costs and Benefits by Year</w:t>
        </w:r>
        <w:r w:rsidR="00C478AE">
          <w:rPr>
            <w:noProof/>
            <w:webHidden/>
          </w:rPr>
          <w:tab/>
        </w:r>
        <w:r>
          <w:rPr>
            <w:noProof/>
            <w:webHidden/>
          </w:rPr>
          <w:fldChar w:fldCharType="begin"/>
        </w:r>
        <w:r w:rsidR="00C478AE">
          <w:rPr>
            <w:noProof/>
            <w:webHidden/>
          </w:rPr>
          <w:instrText xml:space="preserve"> PAGEREF _Toc403647599 \h </w:instrText>
        </w:r>
        <w:r>
          <w:rPr>
            <w:noProof/>
            <w:webHidden/>
          </w:rPr>
        </w:r>
        <w:r>
          <w:rPr>
            <w:noProof/>
            <w:webHidden/>
          </w:rPr>
          <w:fldChar w:fldCharType="separate"/>
        </w:r>
        <w:r w:rsidR="00C478AE">
          <w:rPr>
            <w:noProof/>
            <w:webHidden/>
          </w:rPr>
          <w:t>73</w:t>
        </w:r>
        <w:r>
          <w:rPr>
            <w:noProof/>
            <w:webHidden/>
          </w:rPr>
          <w:fldChar w:fldCharType="end"/>
        </w:r>
      </w:hyperlink>
    </w:p>
    <w:p w:rsidR="00AC5F4D" w:rsidRDefault="00586F30">
      <w:pPr>
        <w:sectPr w:rsidR="00AC5F4D" w:rsidSect="00077C9D">
          <w:headerReference w:type="even" r:id="rId18"/>
          <w:headerReference w:type="default" r:id="rId19"/>
          <w:footerReference w:type="default" r:id="rId20"/>
          <w:headerReference w:type="first" r:id="rId21"/>
          <w:pgSz w:w="11907" w:h="16840" w:code="9"/>
          <w:pgMar w:top="2835" w:right="1474" w:bottom="1588" w:left="1474" w:header="1077" w:footer="1304" w:gutter="454"/>
          <w:pgNumType w:fmt="lowerRoman" w:start="1"/>
          <w:cols w:space="737"/>
        </w:sectPr>
      </w:pPr>
      <w:r>
        <w:rPr>
          <w:sz w:val="28"/>
        </w:rPr>
        <w:fldChar w:fldCharType="end"/>
      </w:r>
    </w:p>
    <w:p w:rsidR="00F268D2" w:rsidRDefault="00F268D2" w:rsidP="00F268D2">
      <w:pPr>
        <w:pStyle w:val="Heading1"/>
        <w:numPr>
          <w:ilvl w:val="0"/>
          <w:numId w:val="0"/>
        </w:numPr>
      </w:pPr>
      <w:bookmarkStart w:id="7" w:name="Text"/>
      <w:bookmarkStart w:id="8" w:name="_Toc403647577"/>
      <w:bookmarkEnd w:id="7"/>
      <w:r>
        <w:lastRenderedPageBreak/>
        <w:t>Glossary of Terms</w:t>
      </w:r>
      <w:bookmarkEnd w:id="8"/>
    </w:p>
    <w:p w:rsidR="00F268D2" w:rsidRPr="007748FF" w:rsidRDefault="00F268D2" w:rsidP="00F268D2">
      <w:pPr>
        <w:pStyle w:val="BodyText"/>
        <w:rPr>
          <w:sz w:val="2"/>
          <w:szCs w:val="2"/>
        </w:rPr>
      </w:pPr>
    </w:p>
    <w:tbl>
      <w:tblPr>
        <w:tblStyle w:val="TableGrid"/>
        <w:tblW w:w="0" w:type="auto"/>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tblPr>
      <w:tblGrid>
        <w:gridCol w:w="2093"/>
        <w:gridCol w:w="6628"/>
      </w:tblGrid>
      <w:tr w:rsidR="00F268D2" w:rsidRPr="00953A19" w:rsidTr="00B75744">
        <w:trPr>
          <w:tblHeader/>
        </w:trPr>
        <w:tc>
          <w:tcPr>
            <w:tcW w:w="2093" w:type="dxa"/>
            <w:shd w:val="clear" w:color="auto" w:fill="1F497D" w:themeFill="text2"/>
          </w:tcPr>
          <w:p w:rsidR="00F268D2" w:rsidRPr="00953A19" w:rsidRDefault="00F268D2" w:rsidP="00B75744">
            <w:pPr>
              <w:pStyle w:val="BodyText"/>
              <w:spacing w:before="60" w:after="60"/>
              <w:rPr>
                <w:b/>
                <w:color w:val="FFFFFF" w:themeColor="background1"/>
                <w:sz w:val="20"/>
              </w:rPr>
            </w:pPr>
            <w:r w:rsidRPr="00953A19">
              <w:rPr>
                <w:b/>
                <w:color w:val="FFFFFF" w:themeColor="background1"/>
                <w:sz w:val="20"/>
              </w:rPr>
              <w:t>Term</w:t>
            </w:r>
          </w:p>
        </w:tc>
        <w:tc>
          <w:tcPr>
            <w:tcW w:w="6628" w:type="dxa"/>
            <w:shd w:val="clear" w:color="auto" w:fill="1F497D" w:themeFill="text2"/>
          </w:tcPr>
          <w:p w:rsidR="00F268D2" w:rsidRPr="00953A19" w:rsidRDefault="00F268D2" w:rsidP="00B75744">
            <w:pPr>
              <w:pStyle w:val="BodyText"/>
              <w:spacing w:before="60" w:after="60"/>
              <w:rPr>
                <w:b/>
                <w:color w:val="FFFFFF" w:themeColor="background1"/>
                <w:sz w:val="20"/>
              </w:rPr>
            </w:pPr>
            <w:r w:rsidRPr="00953A19">
              <w:rPr>
                <w:b/>
                <w:color w:val="FFFFFF" w:themeColor="background1"/>
                <w:sz w:val="20"/>
              </w:rPr>
              <w:t>Description</w:t>
            </w:r>
          </w:p>
        </w:tc>
      </w:tr>
      <w:tr w:rsidR="00F268D2" w:rsidRPr="00953A19" w:rsidTr="00B75744">
        <w:tc>
          <w:tcPr>
            <w:tcW w:w="2093" w:type="dxa"/>
          </w:tcPr>
          <w:p w:rsidR="00F268D2" w:rsidRPr="00953A19" w:rsidRDefault="00F268D2" w:rsidP="00B75744">
            <w:pPr>
              <w:pStyle w:val="BodyText"/>
              <w:spacing w:before="60" w:after="60"/>
              <w:rPr>
                <w:sz w:val="20"/>
              </w:rPr>
            </w:pPr>
            <w:r w:rsidRPr="00953A19">
              <w:rPr>
                <w:sz w:val="20"/>
              </w:rPr>
              <w:t>BCR</w:t>
            </w:r>
          </w:p>
        </w:tc>
        <w:tc>
          <w:tcPr>
            <w:tcW w:w="6628" w:type="dxa"/>
          </w:tcPr>
          <w:p w:rsidR="00F268D2" w:rsidRPr="00953A19" w:rsidRDefault="00F268D2" w:rsidP="009E6225">
            <w:pPr>
              <w:pStyle w:val="BodyText"/>
              <w:spacing w:before="60" w:after="60"/>
              <w:rPr>
                <w:sz w:val="20"/>
              </w:rPr>
            </w:pPr>
            <w:r w:rsidRPr="00953A19">
              <w:rPr>
                <w:sz w:val="20"/>
              </w:rPr>
              <w:t>Benefit Cost Ratio</w:t>
            </w:r>
            <w:r w:rsidR="009E6225" w:rsidRPr="00953A19">
              <w:rPr>
                <w:sz w:val="20"/>
              </w:rPr>
              <w:t xml:space="preserve"> (BCR) is </w:t>
            </w:r>
            <w:r w:rsidR="003335DD">
              <w:rPr>
                <w:sz w:val="20"/>
              </w:rPr>
              <w:t xml:space="preserve">the </w:t>
            </w:r>
            <w:r w:rsidR="009E6225" w:rsidRPr="00953A19">
              <w:rPr>
                <w:sz w:val="20"/>
              </w:rPr>
              <w:t>ratio of the present value of total benefits to the present value of total costs.</w:t>
            </w:r>
          </w:p>
        </w:tc>
      </w:tr>
      <w:tr w:rsidR="00F268D2" w:rsidRPr="00953A19" w:rsidTr="00B75744">
        <w:tc>
          <w:tcPr>
            <w:tcW w:w="2093" w:type="dxa"/>
          </w:tcPr>
          <w:p w:rsidR="00F268D2" w:rsidRPr="00953A19" w:rsidRDefault="00F268D2" w:rsidP="00B75744">
            <w:pPr>
              <w:pStyle w:val="BodyText"/>
              <w:spacing w:before="60" w:after="60"/>
              <w:rPr>
                <w:sz w:val="20"/>
              </w:rPr>
            </w:pPr>
            <w:r w:rsidRPr="00953A19">
              <w:rPr>
                <w:sz w:val="20"/>
              </w:rPr>
              <w:t>CBA</w:t>
            </w:r>
          </w:p>
        </w:tc>
        <w:tc>
          <w:tcPr>
            <w:tcW w:w="6628" w:type="dxa"/>
          </w:tcPr>
          <w:p w:rsidR="00F268D2" w:rsidRPr="00953A19" w:rsidRDefault="00F268D2" w:rsidP="00B75744">
            <w:pPr>
              <w:pStyle w:val="BodyText"/>
              <w:spacing w:before="60" w:after="60"/>
              <w:rPr>
                <w:sz w:val="20"/>
              </w:rPr>
            </w:pPr>
            <w:r w:rsidRPr="00953A19">
              <w:rPr>
                <w:sz w:val="20"/>
              </w:rPr>
              <w:t>Cost Benefit Analysis</w:t>
            </w:r>
            <w:r w:rsidR="009E6225" w:rsidRPr="00953A19">
              <w:rPr>
                <w:sz w:val="20"/>
              </w:rPr>
              <w:t xml:space="preserve"> (CBA) is a method for organising information to aid decision making. CBA as two main features:</w:t>
            </w:r>
          </w:p>
          <w:p w:rsidR="0081406E" w:rsidRPr="00953A19" w:rsidRDefault="009E6225">
            <w:pPr>
              <w:pStyle w:val="BulletText"/>
              <w:rPr>
                <w:sz w:val="20"/>
                <w:szCs w:val="20"/>
              </w:rPr>
            </w:pPr>
            <w:r w:rsidRPr="00953A19">
              <w:rPr>
                <w:sz w:val="20"/>
                <w:szCs w:val="20"/>
              </w:rPr>
              <w:t>costs and benefits are expressed in monetary terms and hence are directly comparable; and</w:t>
            </w:r>
          </w:p>
          <w:p w:rsidR="0081406E" w:rsidRPr="00953A19" w:rsidRDefault="009E6225">
            <w:pPr>
              <w:pStyle w:val="BulletText"/>
              <w:rPr>
                <w:sz w:val="20"/>
                <w:szCs w:val="20"/>
              </w:rPr>
            </w:pPr>
            <w:proofErr w:type="gramStart"/>
            <w:r w:rsidRPr="00953A19">
              <w:rPr>
                <w:sz w:val="20"/>
                <w:szCs w:val="20"/>
              </w:rPr>
              <w:t>costs</w:t>
            </w:r>
            <w:proofErr w:type="gramEnd"/>
            <w:r w:rsidRPr="00953A19">
              <w:rPr>
                <w:sz w:val="20"/>
                <w:szCs w:val="20"/>
              </w:rPr>
              <w:t xml:space="preserve"> and benefits are valued in terms of the claims they make on and gains they provide to the community as a whole.</w:t>
            </w:r>
          </w:p>
        </w:tc>
      </w:tr>
      <w:tr w:rsidR="00F268D2" w:rsidRPr="00953A19" w:rsidTr="00B75744">
        <w:tc>
          <w:tcPr>
            <w:tcW w:w="2093" w:type="dxa"/>
          </w:tcPr>
          <w:p w:rsidR="00F268D2" w:rsidRPr="00953A19" w:rsidRDefault="00F268D2" w:rsidP="00B75744">
            <w:pPr>
              <w:pStyle w:val="BodyText"/>
              <w:spacing w:before="60" w:after="60"/>
              <w:rPr>
                <w:sz w:val="20"/>
              </w:rPr>
            </w:pPr>
            <w:r w:rsidRPr="00953A19">
              <w:rPr>
                <w:sz w:val="20"/>
              </w:rPr>
              <w:t>Disposal pathways</w:t>
            </w:r>
          </w:p>
        </w:tc>
        <w:tc>
          <w:tcPr>
            <w:tcW w:w="6628" w:type="dxa"/>
          </w:tcPr>
          <w:p w:rsidR="00F268D2" w:rsidRPr="00953A19" w:rsidRDefault="00F268D2" w:rsidP="00B75744">
            <w:pPr>
              <w:pStyle w:val="BodyText"/>
              <w:spacing w:before="60" w:after="60"/>
              <w:rPr>
                <w:sz w:val="20"/>
              </w:rPr>
            </w:pPr>
            <w:r w:rsidRPr="00953A19">
              <w:rPr>
                <w:sz w:val="20"/>
              </w:rPr>
              <w:t>Describes different processes for disposing of whitegoods, each with different characteristics such as different tasks or actors</w:t>
            </w:r>
            <w:r w:rsidR="009E6225" w:rsidRPr="00953A19">
              <w:rPr>
                <w:sz w:val="20"/>
              </w:rPr>
              <w:t>.</w:t>
            </w:r>
          </w:p>
        </w:tc>
      </w:tr>
      <w:tr w:rsidR="00F268D2" w:rsidRPr="00953A19" w:rsidTr="00B75744">
        <w:tc>
          <w:tcPr>
            <w:tcW w:w="2093" w:type="dxa"/>
          </w:tcPr>
          <w:p w:rsidR="00F268D2" w:rsidRPr="00953A19" w:rsidRDefault="00F268D2" w:rsidP="00B75744">
            <w:pPr>
              <w:pStyle w:val="BodyText"/>
              <w:spacing w:before="60" w:after="60"/>
              <w:rPr>
                <w:sz w:val="20"/>
              </w:rPr>
            </w:pPr>
            <w:r w:rsidRPr="00953A19">
              <w:rPr>
                <w:sz w:val="20"/>
              </w:rPr>
              <w:t>Domestic RAC</w:t>
            </w:r>
          </w:p>
        </w:tc>
        <w:tc>
          <w:tcPr>
            <w:tcW w:w="6628" w:type="dxa"/>
          </w:tcPr>
          <w:p w:rsidR="00F268D2" w:rsidRPr="00953A19" w:rsidRDefault="009E6225" w:rsidP="00B75744">
            <w:pPr>
              <w:pStyle w:val="BodyText"/>
              <w:spacing w:before="60" w:after="60"/>
              <w:rPr>
                <w:sz w:val="20"/>
              </w:rPr>
            </w:pPr>
            <w:r w:rsidRPr="00953A19">
              <w:rPr>
                <w:rFonts w:cs="Arial"/>
                <w:sz w:val="20"/>
              </w:rPr>
              <w:t>Domestic RAC includes refrigerators (comprising upright refrigerators, bar refrigerators and wine refrigerators), freezers (comprising chest freezers, upright freezers and bar freezers) and air conditioners (comprising portable home air conditioners, split air conditioners, window air conditioners, dehumidifiers, evaporative coolers and ducted air conditioning systems).</w:t>
            </w:r>
          </w:p>
        </w:tc>
      </w:tr>
      <w:tr w:rsidR="003335DD" w:rsidRPr="00953A19" w:rsidTr="00B75744">
        <w:tc>
          <w:tcPr>
            <w:tcW w:w="2093" w:type="dxa"/>
          </w:tcPr>
          <w:p w:rsidR="003335DD" w:rsidRPr="00953A19" w:rsidRDefault="003335DD" w:rsidP="00B75744">
            <w:pPr>
              <w:pStyle w:val="BodyText"/>
              <w:spacing w:before="60" w:after="60"/>
              <w:rPr>
                <w:sz w:val="20"/>
              </w:rPr>
            </w:pPr>
            <w:r>
              <w:rPr>
                <w:sz w:val="20"/>
              </w:rPr>
              <w:t>Externality</w:t>
            </w:r>
          </w:p>
        </w:tc>
        <w:tc>
          <w:tcPr>
            <w:tcW w:w="6628" w:type="dxa"/>
          </w:tcPr>
          <w:p w:rsidR="003335DD" w:rsidRPr="00953A19" w:rsidRDefault="00A23141" w:rsidP="00B75744">
            <w:pPr>
              <w:pStyle w:val="BodyText"/>
              <w:spacing w:before="60" w:after="60"/>
              <w:rPr>
                <w:rFonts w:cs="Arial"/>
                <w:sz w:val="20"/>
              </w:rPr>
            </w:pPr>
            <w:r>
              <w:rPr>
                <w:rFonts w:cs="Arial"/>
                <w:sz w:val="20"/>
              </w:rPr>
              <w:t xml:space="preserve">An externality may be defined as any production or consumption process which ‘spills over’ such as </w:t>
            </w:r>
            <w:proofErr w:type="gramStart"/>
            <w:r>
              <w:rPr>
                <w:rFonts w:cs="Arial"/>
                <w:sz w:val="20"/>
              </w:rPr>
              <w:t>that other parties</w:t>
            </w:r>
            <w:proofErr w:type="gramEnd"/>
            <w:r>
              <w:rPr>
                <w:rFonts w:cs="Arial"/>
                <w:sz w:val="20"/>
              </w:rPr>
              <w:t xml:space="preserve"> receive a benefit for which they do not have to pay or incur a cost for which they are not automatically compensated. Externalities can be either positive (benefits) or negative (costs). </w:t>
            </w:r>
          </w:p>
        </w:tc>
      </w:tr>
      <w:tr w:rsidR="00F268D2" w:rsidRPr="00953A19" w:rsidTr="00B75744">
        <w:tc>
          <w:tcPr>
            <w:tcW w:w="2093" w:type="dxa"/>
          </w:tcPr>
          <w:p w:rsidR="00F268D2" w:rsidRPr="00953A19" w:rsidRDefault="00F268D2" w:rsidP="00B75744">
            <w:pPr>
              <w:pStyle w:val="BodyText"/>
              <w:spacing w:before="60" w:after="60"/>
              <w:rPr>
                <w:sz w:val="20"/>
              </w:rPr>
            </w:pPr>
            <w:r w:rsidRPr="00953A19">
              <w:rPr>
                <w:sz w:val="20"/>
              </w:rPr>
              <w:t>Ferrous metals</w:t>
            </w:r>
          </w:p>
        </w:tc>
        <w:tc>
          <w:tcPr>
            <w:tcW w:w="6628" w:type="dxa"/>
          </w:tcPr>
          <w:p w:rsidR="00F268D2" w:rsidRPr="00953A19" w:rsidRDefault="00F268D2" w:rsidP="00B75744">
            <w:pPr>
              <w:pStyle w:val="BodyText"/>
              <w:spacing w:before="60" w:after="60"/>
              <w:rPr>
                <w:sz w:val="20"/>
              </w:rPr>
            </w:pPr>
            <w:r w:rsidRPr="00953A19">
              <w:rPr>
                <w:sz w:val="20"/>
              </w:rPr>
              <w:t>Any metal, including alloys, with appreciable iron content (e.g. steel)</w:t>
            </w:r>
            <w:r w:rsidR="009E6225" w:rsidRPr="00953A19">
              <w:rPr>
                <w:sz w:val="20"/>
              </w:rPr>
              <w:t>.</w:t>
            </w:r>
          </w:p>
        </w:tc>
      </w:tr>
      <w:tr w:rsidR="00035A37" w:rsidRPr="00953A19" w:rsidTr="00B75744">
        <w:tc>
          <w:tcPr>
            <w:tcW w:w="2093" w:type="dxa"/>
          </w:tcPr>
          <w:p w:rsidR="00035A37" w:rsidRPr="00953A19" w:rsidRDefault="00035A37" w:rsidP="00B75744">
            <w:pPr>
              <w:pStyle w:val="BodyText"/>
              <w:spacing w:before="60" w:after="60"/>
              <w:rPr>
                <w:sz w:val="20"/>
              </w:rPr>
            </w:pPr>
            <w:r>
              <w:rPr>
                <w:sz w:val="20"/>
              </w:rPr>
              <w:t>IRR</w:t>
            </w:r>
          </w:p>
        </w:tc>
        <w:tc>
          <w:tcPr>
            <w:tcW w:w="6628" w:type="dxa"/>
          </w:tcPr>
          <w:p w:rsidR="00035A37" w:rsidRPr="00953A19" w:rsidRDefault="00035A37" w:rsidP="00B75744">
            <w:pPr>
              <w:pStyle w:val="BodyText"/>
              <w:spacing w:before="60" w:after="60"/>
              <w:rPr>
                <w:sz w:val="20"/>
              </w:rPr>
            </w:pPr>
            <w:r>
              <w:rPr>
                <w:sz w:val="20"/>
              </w:rPr>
              <w:t>Internal Rate of Return (IRR) is the discount rate at which the present value of benefits equals the present value of costs. This is the rate of return of benefits to costs.</w:t>
            </w:r>
          </w:p>
        </w:tc>
      </w:tr>
      <w:tr w:rsidR="00F268D2" w:rsidRPr="00953A19" w:rsidTr="00B75744">
        <w:tc>
          <w:tcPr>
            <w:tcW w:w="2093" w:type="dxa"/>
          </w:tcPr>
          <w:p w:rsidR="00F268D2" w:rsidRPr="00953A19" w:rsidRDefault="00F268D2" w:rsidP="00B75744">
            <w:pPr>
              <w:pStyle w:val="BodyText"/>
              <w:spacing w:before="60" w:after="60"/>
              <w:rPr>
                <w:sz w:val="20"/>
              </w:rPr>
            </w:pPr>
            <w:r w:rsidRPr="00953A19">
              <w:rPr>
                <w:sz w:val="20"/>
              </w:rPr>
              <w:t>Kerbside collection</w:t>
            </w:r>
          </w:p>
        </w:tc>
        <w:tc>
          <w:tcPr>
            <w:tcW w:w="6628" w:type="dxa"/>
          </w:tcPr>
          <w:p w:rsidR="00F268D2" w:rsidRPr="00953A19" w:rsidRDefault="00F268D2" w:rsidP="00B75744">
            <w:pPr>
              <w:pStyle w:val="BodyText"/>
              <w:spacing w:before="60" w:after="60"/>
              <w:rPr>
                <w:sz w:val="20"/>
              </w:rPr>
            </w:pPr>
            <w:r w:rsidRPr="00953A19">
              <w:rPr>
                <w:sz w:val="20"/>
              </w:rPr>
              <w:t>Service provided, often by municipal or local authorities, to collect waste from households for the purpose of disposal.  Also known as hard rubbish or verge collection</w:t>
            </w:r>
            <w:r w:rsidR="009E6225" w:rsidRPr="00953A19">
              <w:rPr>
                <w:sz w:val="20"/>
              </w:rPr>
              <w:t>.</w:t>
            </w:r>
          </w:p>
        </w:tc>
      </w:tr>
      <w:tr w:rsidR="00F268D2" w:rsidRPr="00953A19" w:rsidTr="00B75744">
        <w:tc>
          <w:tcPr>
            <w:tcW w:w="2093" w:type="dxa"/>
          </w:tcPr>
          <w:p w:rsidR="00F268D2" w:rsidRPr="00953A19" w:rsidRDefault="00F268D2" w:rsidP="00B75744">
            <w:pPr>
              <w:pStyle w:val="BodyText"/>
              <w:spacing w:before="60" w:after="60"/>
              <w:rPr>
                <w:sz w:val="20"/>
              </w:rPr>
            </w:pPr>
            <w:r w:rsidRPr="00953A19">
              <w:rPr>
                <w:sz w:val="20"/>
              </w:rPr>
              <w:t>LGA</w:t>
            </w:r>
          </w:p>
        </w:tc>
        <w:tc>
          <w:tcPr>
            <w:tcW w:w="6628" w:type="dxa"/>
          </w:tcPr>
          <w:p w:rsidR="00F268D2" w:rsidRPr="00953A19" w:rsidRDefault="00F268D2" w:rsidP="00B75744">
            <w:pPr>
              <w:pStyle w:val="BodyText"/>
              <w:spacing w:before="60" w:after="60"/>
              <w:rPr>
                <w:sz w:val="20"/>
              </w:rPr>
            </w:pPr>
            <w:r w:rsidRPr="00953A19">
              <w:rPr>
                <w:sz w:val="20"/>
              </w:rPr>
              <w:t>Local Government Authorities</w:t>
            </w:r>
            <w:r w:rsidR="009E6225" w:rsidRPr="00953A19">
              <w:rPr>
                <w:sz w:val="20"/>
              </w:rPr>
              <w:t xml:space="preserve"> (LGAs</w:t>
            </w:r>
            <w:proofErr w:type="gramStart"/>
            <w:r w:rsidR="009E6225" w:rsidRPr="00953A19">
              <w:rPr>
                <w:sz w:val="20"/>
              </w:rPr>
              <w:t>)</w:t>
            </w:r>
            <w:r w:rsidRPr="00953A19">
              <w:rPr>
                <w:sz w:val="20"/>
              </w:rPr>
              <w:t>,</w:t>
            </w:r>
            <w:proofErr w:type="gramEnd"/>
            <w:r w:rsidRPr="00953A19">
              <w:rPr>
                <w:sz w:val="20"/>
              </w:rPr>
              <w:t xml:space="preserve"> commonly referred to as Councils</w:t>
            </w:r>
            <w:r w:rsidR="009E6225" w:rsidRPr="00953A19">
              <w:rPr>
                <w:sz w:val="20"/>
              </w:rPr>
              <w:t>.</w:t>
            </w:r>
          </w:p>
        </w:tc>
      </w:tr>
      <w:tr w:rsidR="00F268D2" w:rsidRPr="00953A19" w:rsidTr="00B75744">
        <w:tc>
          <w:tcPr>
            <w:tcW w:w="2093" w:type="dxa"/>
          </w:tcPr>
          <w:p w:rsidR="00F268D2" w:rsidRPr="00953A19" w:rsidRDefault="00F268D2" w:rsidP="00B75744">
            <w:pPr>
              <w:pStyle w:val="BodyText"/>
              <w:spacing w:before="60" w:after="60"/>
              <w:rPr>
                <w:sz w:val="20"/>
              </w:rPr>
            </w:pPr>
            <w:r w:rsidRPr="00953A19">
              <w:rPr>
                <w:sz w:val="20"/>
              </w:rPr>
              <w:t>Non-ferrous metals</w:t>
            </w:r>
          </w:p>
        </w:tc>
        <w:tc>
          <w:tcPr>
            <w:tcW w:w="6628" w:type="dxa"/>
          </w:tcPr>
          <w:p w:rsidR="00F268D2" w:rsidRPr="00953A19" w:rsidRDefault="00F268D2" w:rsidP="00B75744">
            <w:pPr>
              <w:pStyle w:val="BodyText"/>
              <w:spacing w:before="60" w:after="60"/>
              <w:rPr>
                <w:sz w:val="20"/>
              </w:rPr>
            </w:pPr>
            <w:r w:rsidRPr="00953A19">
              <w:rPr>
                <w:sz w:val="20"/>
              </w:rPr>
              <w:t xml:space="preserve">Any metal, including </w:t>
            </w:r>
            <w:r w:rsidR="00455CB0" w:rsidRPr="00953A19">
              <w:rPr>
                <w:sz w:val="20"/>
              </w:rPr>
              <w:t>alloys that</w:t>
            </w:r>
            <w:r w:rsidRPr="00953A19">
              <w:rPr>
                <w:sz w:val="20"/>
              </w:rPr>
              <w:t xml:space="preserve"> do not contain appreciable amounts of iron</w:t>
            </w:r>
            <w:r w:rsidR="007748FF">
              <w:rPr>
                <w:sz w:val="20"/>
              </w:rPr>
              <w:t>.</w:t>
            </w:r>
          </w:p>
        </w:tc>
      </w:tr>
      <w:tr w:rsidR="00F268D2" w:rsidRPr="00953A19" w:rsidTr="00B75744">
        <w:tc>
          <w:tcPr>
            <w:tcW w:w="2093" w:type="dxa"/>
          </w:tcPr>
          <w:p w:rsidR="00F268D2" w:rsidRPr="00953A19" w:rsidRDefault="00F268D2" w:rsidP="00B75744">
            <w:pPr>
              <w:pStyle w:val="BodyText"/>
              <w:spacing w:before="60" w:after="60"/>
              <w:rPr>
                <w:sz w:val="20"/>
              </w:rPr>
            </w:pPr>
            <w:r w:rsidRPr="00953A19">
              <w:rPr>
                <w:sz w:val="20"/>
              </w:rPr>
              <w:t>NPV</w:t>
            </w:r>
          </w:p>
        </w:tc>
        <w:tc>
          <w:tcPr>
            <w:tcW w:w="6628" w:type="dxa"/>
          </w:tcPr>
          <w:p w:rsidR="00F268D2" w:rsidRPr="00953A19" w:rsidRDefault="00F268D2">
            <w:pPr>
              <w:pStyle w:val="BodyText"/>
              <w:spacing w:before="60" w:after="60"/>
              <w:rPr>
                <w:sz w:val="20"/>
              </w:rPr>
            </w:pPr>
            <w:r w:rsidRPr="00953A19">
              <w:rPr>
                <w:sz w:val="20"/>
              </w:rPr>
              <w:t>Net Present Value</w:t>
            </w:r>
            <w:r w:rsidR="009E6225" w:rsidRPr="00953A19">
              <w:rPr>
                <w:sz w:val="20"/>
              </w:rPr>
              <w:t xml:space="preserve"> (NPV) is the difference between the present value of </w:t>
            </w:r>
            <w:r w:rsidR="003065DC">
              <w:rPr>
                <w:sz w:val="20"/>
              </w:rPr>
              <w:t>total</w:t>
            </w:r>
            <w:r w:rsidR="009E6225" w:rsidRPr="00953A19">
              <w:rPr>
                <w:sz w:val="20"/>
              </w:rPr>
              <w:t xml:space="preserve"> benefits and the present value of total costs.</w:t>
            </w:r>
          </w:p>
        </w:tc>
      </w:tr>
      <w:tr w:rsidR="00F268D2" w:rsidRPr="00953A19" w:rsidTr="00B75744">
        <w:tc>
          <w:tcPr>
            <w:tcW w:w="2093" w:type="dxa"/>
          </w:tcPr>
          <w:p w:rsidR="00F268D2" w:rsidRPr="00953A19" w:rsidRDefault="00F268D2" w:rsidP="00B75744">
            <w:pPr>
              <w:pStyle w:val="BodyText"/>
              <w:spacing w:before="60" w:after="60"/>
              <w:rPr>
                <w:sz w:val="20"/>
              </w:rPr>
            </w:pPr>
            <w:r w:rsidRPr="00953A19">
              <w:rPr>
                <w:sz w:val="20"/>
              </w:rPr>
              <w:t>ODS</w:t>
            </w:r>
          </w:p>
        </w:tc>
        <w:tc>
          <w:tcPr>
            <w:tcW w:w="6628" w:type="dxa"/>
          </w:tcPr>
          <w:p w:rsidR="0081406E" w:rsidRPr="00953A19" w:rsidRDefault="00E10441">
            <w:pPr>
              <w:pStyle w:val="BodyText"/>
              <w:spacing w:before="60" w:after="60"/>
              <w:rPr>
                <w:sz w:val="20"/>
              </w:rPr>
            </w:pPr>
            <w:r w:rsidRPr="00953A19">
              <w:rPr>
                <w:sz w:val="20"/>
              </w:rPr>
              <w:t>Australia has legally binding obligations</w:t>
            </w:r>
            <w:r w:rsidR="009A60D0">
              <w:rPr>
                <w:sz w:val="20"/>
              </w:rPr>
              <w:t>,</w:t>
            </w:r>
            <w:r w:rsidRPr="00953A19">
              <w:rPr>
                <w:sz w:val="20"/>
              </w:rPr>
              <w:t xml:space="preserve"> under the Montreal Protocol on Substances that deplete the Ozone Layer</w:t>
            </w:r>
            <w:r w:rsidR="009A60D0">
              <w:rPr>
                <w:sz w:val="20"/>
              </w:rPr>
              <w:t>,</w:t>
            </w:r>
            <w:r w:rsidRPr="00953A19">
              <w:rPr>
                <w:sz w:val="20"/>
              </w:rPr>
              <w:t xml:space="preserve"> to phase out ozone depleting substances. Ozone depleting substances</w:t>
            </w:r>
            <w:r w:rsidR="009E6225" w:rsidRPr="00953A19">
              <w:rPr>
                <w:sz w:val="20"/>
              </w:rPr>
              <w:t xml:space="preserve"> (ODS)</w:t>
            </w:r>
            <w:r w:rsidRPr="00953A19">
              <w:rPr>
                <w:sz w:val="20"/>
              </w:rPr>
              <w:t xml:space="preserve"> were widely used in refrigerators, air conditioners, fire extinguishers, in dry cleaning, as solvents for cleaning, electronic equipment and as agricultural fumigants.</w:t>
            </w:r>
          </w:p>
          <w:p w:rsidR="0081406E" w:rsidRPr="00953A19" w:rsidRDefault="00E10441">
            <w:pPr>
              <w:pStyle w:val="BodyText"/>
              <w:spacing w:before="60" w:after="60"/>
              <w:rPr>
                <w:sz w:val="20"/>
              </w:rPr>
            </w:pPr>
            <w:r w:rsidRPr="00953A19">
              <w:rPr>
                <w:sz w:val="20"/>
              </w:rPr>
              <w:t>Ozone depleting substances controlled by the Montreal Protocol include:</w:t>
            </w:r>
          </w:p>
          <w:p w:rsidR="0081406E" w:rsidRPr="00953A19" w:rsidRDefault="009E6225">
            <w:pPr>
              <w:pStyle w:val="BulletText"/>
              <w:rPr>
                <w:sz w:val="20"/>
                <w:szCs w:val="20"/>
              </w:rPr>
            </w:pPr>
            <w:r w:rsidRPr="00953A19">
              <w:rPr>
                <w:sz w:val="20"/>
                <w:szCs w:val="20"/>
              </w:rPr>
              <w:t xml:space="preserve">chlorofluorocarbons (CFCs) </w:t>
            </w:r>
          </w:p>
          <w:p w:rsidR="0081406E" w:rsidRPr="00953A19" w:rsidRDefault="009E6225">
            <w:pPr>
              <w:pStyle w:val="BulletText"/>
              <w:rPr>
                <w:sz w:val="20"/>
                <w:szCs w:val="20"/>
              </w:rPr>
            </w:pPr>
            <w:proofErr w:type="spellStart"/>
            <w:r w:rsidRPr="00953A19">
              <w:rPr>
                <w:sz w:val="20"/>
                <w:szCs w:val="20"/>
              </w:rPr>
              <w:t>halons</w:t>
            </w:r>
            <w:proofErr w:type="spellEnd"/>
            <w:r w:rsidRPr="00953A19">
              <w:rPr>
                <w:sz w:val="20"/>
                <w:szCs w:val="20"/>
              </w:rPr>
              <w:t xml:space="preserve"> </w:t>
            </w:r>
          </w:p>
          <w:p w:rsidR="0081406E" w:rsidRPr="00953A19" w:rsidRDefault="009E6225">
            <w:pPr>
              <w:pStyle w:val="BulletText"/>
              <w:rPr>
                <w:sz w:val="20"/>
                <w:szCs w:val="20"/>
              </w:rPr>
            </w:pPr>
            <w:r w:rsidRPr="00953A19">
              <w:rPr>
                <w:sz w:val="20"/>
                <w:szCs w:val="20"/>
              </w:rPr>
              <w:lastRenderedPageBreak/>
              <w:t>carbon tetrachloride (CCl</w:t>
            </w:r>
            <w:r w:rsidRPr="00953A19">
              <w:rPr>
                <w:sz w:val="20"/>
                <w:szCs w:val="20"/>
                <w:vertAlign w:val="subscript"/>
              </w:rPr>
              <w:t>4</w:t>
            </w:r>
            <w:r w:rsidRPr="00953A19">
              <w:rPr>
                <w:sz w:val="20"/>
                <w:szCs w:val="20"/>
              </w:rPr>
              <w:t>), methyl chloroform (CH</w:t>
            </w:r>
            <w:r w:rsidRPr="00953A19">
              <w:rPr>
                <w:sz w:val="20"/>
                <w:szCs w:val="20"/>
                <w:vertAlign w:val="subscript"/>
              </w:rPr>
              <w:t>3</w:t>
            </w:r>
            <w:r w:rsidRPr="00953A19">
              <w:rPr>
                <w:sz w:val="20"/>
                <w:szCs w:val="20"/>
              </w:rPr>
              <w:t>CCl</w:t>
            </w:r>
            <w:r w:rsidRPr="00953A19">
              <w:rPr>
                <w:sz w:val="20"/>
                <w:szCs w:val="20"/>
                <w:vertAlign w:val="subscript"/>
              </w:rPr>
              <w:t>3</w:t>
            </w:r>
            <w:r w:rsidRPr="00953A19">
              <w:rPr>
                <w:sz w:val="20"/>
                <w:szCs w:val="20"/>
              </w:rPr>
              <w:t xml:space="preserve">) </w:t>
            </w:r>
          </w:p>
          <w:p w:rsidR="0081406E" w:rsidRPr="00953A19" w:rsidRDefault="009E6225">
            <w:pPr>
              <w:pStyle w:val="BulletText"/>
              <w:rPr>
                <w:sz w:val="20"/>
                <w:szCs w:val="20"/>
              </w:rPr>
            </w:pPr>
            <w:proofErr w:type="spellStart"/>
            <w:r w:rsidRPr="00953A19">
              <w:rPr>
                <w:sz w:val="20"/>
                <w:szCs w:val="20"/>
              </w:rPr>
              <w:t>hydrobromofluorocarbons</w:t>
            </w:r>
            <w:proofErr w:type="spellEnd"/>
            <w:r w:rsidRPr="00953A19">
              <w:rPr>
                <w:sz w:val="20"/>
                <w:szCs w:val="20"/>
              </w:rPr>
              <w:t xml:space="preserve"> (HBFCs) </w:t>
            </w:r>
          </w:p>
          <w:p w:rsidR="0081406E" w:rsidRPr="00953A19" w:rsidRDefault="009E6225">
            <w:pPr>
              <w:pStyle w:val="BulletText"/>
              <w:rPr>
                <w:sz w:val="20"/>
                <w:szCs w:val="20"/>
              </w:rPr>
            </w:pPr>
            <w:proofErr w:type="spellStart"/>
            <w:r w:rsidRPr="00953A19">
              <w:rPr>
                <w:sz w:val="20"/>
                <w:szCs w:val="20"/>
              </w:rPr>
              <w:t>hydrochlorofluorocarbons</w:t>
            </w:r>
            <w:proofErr w:type="spellEnd"/>
            <w:r w:rsidRPr="00953A19">
              <w:rPr>
                <w:sz w:val="20"/>
                <w:szCs w:val="20"/>
              </w:rPr>
              <w:t xml:space="preserve"> (HCFCs) </w:t>
            </w:r>
          </w:p>
          <w:p w:rsidR="0081406E" w:rsidRPr="00953A19" w:rsidRDefault="009E6225">
            <w:pPr>
              <w:pStyle w:val="BulletText"/>
              <w:rPr>
                <w:sz w:val="20"/>
                <w:szCs w:val="20"/>
              </w:rPr>
            </w:pPr>
            <w:r w:rsidRPr="00953A19">
              <w:rPr>
                <w:sz w:val="20"/>
                <w:szCs w:val="20"/>
              </w:rPr>
              <w:t>methyl bromide (CH3Br)</w:t>
            </w:r>
          </w:p>
          <w:p w:rsidR="0081406E" w:rsidRPr="00953A19" w:rsidRDefault="009E6225">
            <w:pPr>
              <w:pStyle w:val="BulletText"/>
              <w:rPr>
                <w:sz w:val="20"/>
                <w:szCs w:val="20"/>
              </w:rPr>
            </w:pPr>
            <w:proofErr w:type="spellStart"/>
            <w:r w:rsidRPr="00953A19">
              <w:rPr>
                <w:sz w:val="20"/>
                <w:szCs w:val="20"/>
              </w:rPr>
              <w:t>bromochloromethane</w:t>
            </w:r>
            <w:proofErr w:type="spellEnd"/>
            <w:r w:rsidRPr="00953A19">
              <w:rPr>
                <w:sz w:val="20"/>
                <w:szCs w:val="20"/>
              </w:rPr>
              <w:t xml:space="preserve"> (CH</w:t>
            </w:r>
            <w:r w:rsidRPr="00953A19">
              <w:rPr>
                <w:sz w:val="20"/>
                <w:szCs w:val="20"/>
                <w:vertAlign w:val="subscript"/>
              </w:rPr>
              <w:t>2</w:t>
            </w:r>
            <w:r w:rsidRPr="00953A19">
              <w:rPr>
                <w:sz w:val="20"/>
                <w:szCs w:val="20"/>
              </w:rPr>
              <w:t xml:space="preserve">BrCl) </w:t>
            </w:r>
          </w:p>
          <w:p w:rsidR="00F268D2" w:rsidRPr="00953A19" w:rsidRDefault="00E10441" w:rsidP="009E6225">
            <w:pPr>
              <w:pStyle w:val="BodyText"/>
              <w:spacing w:before="60" w:after="60"/>
              <w:rPr>
                <w:sz w:val="20"/>
              </w:rPr>
            </w:pPr>
            <w:r w:rsidRPr="00953A19">
              <w:rPr>
                <w:sz w:val="20"/>
              </w:rPr>
              <w:t xml:space="preserve">There are other ozone depleting substances, but their import and manufacture are not legislated under the </w:t>
            </w:r>
            <w:r w:rsidRPr="00953A19">
              <w:rPr>
                <w:i/>
                <w:sz w:val="20"/>
              </w:rPr>
              <w:t>Ozone Protection and Synthetic Greenhouse Gas Management Act 1989</w:t>
            </w:r>
            <w:r w:rsidRPr="00953A19">
              <w:rPr>
                <w:sz w:val="20"/>
              </w:rPr>
              <w:t xml:space="preserve"> as their impact on the ozone layer is insignificant.</w:t>
            </w:r>
          </w:p>
        </w:tc>
      </w:tr>
      <w:tr w:rsidR="0063673E" w:rsidRPr="00953A19" w:rsidTr="00B75744">
        <w:tc>
          <w:tcPr>
            <w:tcW w:w="2093" w:type="dxa"/>
          </w:tcPr>
          <w:p w:rsidR="0063673E" w:rsidRPr="00953A19" w:rsidRDefault="0063673E" w:rsidP="00B75744">
            <w:pPr>
              <w:pStyle w:val="BodyText"/>
              <w:spacing w:before="60" w:after="60"/>
              <w:rPr>
                <w:sz w:val="20"/>
              </w:rPr>
            </w:pPr>
            <w:r>
              <w:rPr>
                <w:sz w:val="20"/>
              </w:rPr>
              <w:lastRenderedPageBreak/>
              <w:t>Ozone Acts</w:t>
            </w:r>
          </w:p>
        </w:tc>
        <w:tc>
          <w:tcPr>
            <w:tcW w:w="6628" w:type="dxa"/>
          </w:tcPr>
          <w:p w:rsidR="0063673E" w:rsidRDefault="0063673E" w:rsidP="0063673E">
            <w:pPr>
              <w:pStyle w:val="BodyText"/>
              <w:spacing w:before="60" w:after="60"/>
              <w:rPr>
                <w:sz w:val="20"/>
              </w:rPr>
            </w:pPr>
            <w:r w:rsidRPr="0063673E">
              <w:rPr>
                <w:sz w:val="20"/>
              </w:rPr>
              <w:t xml:space="preserve">The </w:t>
            </w:r>
            <w:r w:rsidRPr="003F3B13">
              <w:rPr>
                <w:i/>
                <w:sz w:val="20"/>
              </w:rPr>
              <w:t>Ozone Protection and Synthetic Greenhouse Gas Management Act 1989</w:t>
            </w:r>
            <w:r>
              <w:rPr>
                <w:sz w:val="20"/>
              </w:rPr>
              <w:t xml:space="preserve"> and related Acts</w:t>
            </w:r>
            <w:r w:rsidRPr="0063673E">
              <w:rPr>
                <w:sz w:val="20"/>
              </w:rPr>
              <w:t xml:space="preserve"> protect the environment by reducing emissions of Ozone Depleting Substances (ODS) and Synthetic Greenhouse Gases (SGGs).</w:t>
            </w:r>
            <w:r>
              <w:rPr>
                <w:sz w:val="20"/>
              </w:rPr>
              <w:t xml:space="preserve"> The Ozone Acts include:</w:t>
            </w:r>
          </w:p>
          <w:p w:rsidR="0063673E" w:rsidRPr="003F3B13" w:rsidRDefault="0063673E" w:rsidP="0063673E">
            <w:pPr>
              <w:pStyle w:val="BodyText"/>
              <w:spacing w:before="60" w:after="60"/>
              <w:rPr>
                <w:i/>
                <w:sz w:val="20"/>
              </w:rPr>
            </w:pPr>
            <w:r w:rsidRPr="003F3B13">
              <w:rPr>
                <w:i/>
                <w:sz w:val="20"/>
              </w:rPr>
              <w:t xml:space="preserve">Ozone Protection and Synthetic Greenhouse Gas Management Act 1989 </w:t>
            </w:r>
          </w:p>
          <w:p w:rsidR="0063673E" w:rsidRDefault="0063673E" w:rsidP="0063673E">
            <w:pPr>
              <w:pStyle w:val="BodyText"/>
              <w:spacing w:before="60" w:after="60"/>
              <w:rPr>
                <w:i/>
                <w:sz w:val="20"/>
              </w:rPr>
            </w:pPr>
            <w:r w:rsidRPr="003F3B13">
              <w:rPr>
                <w:i/>
                <w:sz w:val="20"/>
              </w:rPr>
              <w:t xml:space="preserve">Ozone Protection and Synthetic Greenhouse Gas (Import Levy) Act 1995 </w:t>
            </w:r>
          </w:p>
          <w:p w:rsidR="0063673E" w:rsidRPr="00953A19" w:rsidRDefault="0063673E" w:rsidP="0063673E">
            <w:pPr>
              <w:pStyle w:val="BodyText"/>
              <w:spacing w:before="60" w:after="60"/>
              <w:rPr>
                <w:sz w:val="20"/>
              </w:rPr>
            </w:pPr>
            <w:r w:rsidRPr="003F3B13">
              <w:rPr>
                <w:i/>
                <w:sz w:val="20"/>
              </w:rPr>
              <w:t>Ozone Protection and Synthetic Greenhouse Gas (Manufacture Levy) Act 1995</w:t>
            </w:r>
          </w:p>
        </w:tc>
      </w:tr>
      <w:tr w:rsidR="00F268D2" w:rsidRPr="00953A19" w:rsidTr="00B75744">
        <w:tc>
          <w:tcPr>
            <w:tcW w:w="2093" w:type="dxa"/>
          </w:tcPr>
          <w:p w:rsidR="00F268D2" w:rsidRPr="00953A19" w:rsidRDefault="00F268D2" w:rsidP="00B75744">
            <w:pPr>
              <w:pStyle w:val="BodyText"/>
              <w:spacing w:before="60" w:after="60"/>
              <w:rPr>
                <w:sz w:val="20"/>
              </w:rPr>
            </w:pPr>
            <w:r w:rsidRPr="00953A19">
              <w:rPr>
                <w:sz w:val="20"/>
              </w:rPr>
              <w:t>Product stewardship</w:t>
            </w:r>
          </w:p>
        </w:tc>
        <w:tc>
          <w:tcPr>
            <w:tcW w:w="6628" w:type="dxa"/>
          </w:tcPr>
          <w:p w:rsidR="00F268D2" w:rsidRPr="00953A19" w:rsidRDefault="00F268D2" w:rsidP="00B75744">
            <w:pPr>
              <w:pStyle w:val="BodyText"/>
              <w:spacing w:before="60" w:after="60"/>
              <w:rPr>
                <w:sz w:val="20"/>
              </w:rPr>
            </w:pPr>
            <w:r w:rsidRPr="00953A19">
              <w:rPr>
                <w:sz w:val="20"/>
              </w:rPr>
              <w:t>An approach to reducing the environmental and other impacts of products by encouraging or requiring manufacturers, importers, distributors and other persons in the product chain to take responsibility for those products</w:t>
            </w:r>
            <w:r w:rsidR="007748FF">
              <w:rPr>
                <w:sz w:val="20"/>
              </w:rPr>
              <w:t>.</w:t>
            </w:r>
          </w:p>
        </w:tc>
      </w:tr>
      <w:tr w:rsidR="00594660" w:rsidRPr="00953A19" w:rsidTr="00B75744">
        <w:tc>
          <w:tcPr>
            <w:tcW w:w="2093" w:type="dxa"/>
          </w:tcPr>
          <w:p w:rsidR="00594660" w:rsidRPr="00953A19" w:rsidRDefault="00594660" w:rsidP="00B75744">
            <w:pPr>
              <w:pStyle w:val="BodyText"/>
              <w:spacing w:before="60" w:after="60"/>
              <w:rPr>
                <w:sz w:val="20"/>
              </w:rPr>
            </w:pPr>
            <w:r>
              <w:rPr>
                <w:sz w:val="20"/>
              </w:rPr>
              <w:t>PV</w:t>
            </w:r>
          </w:p>
        </w:tc>
        <w:tc>
          <w:tcPr>
            <w:tcW w:w="6628" w:type="dxa"/>
          </w:tcPr>
          <w:p w:rsidR="00594660" w:rsidRPr="00953A19" w:rsidRDefault="00594660" w:rsidP="00B75744">
            <w:pPr>
              <w:pStyle w:val="BodyText"/>
              <w:spacing w:before="60" w:after="60"/>
              <w:rPr>
                <w:sz w:val="20"/>
              </w:rPr>
            </w:pPr>
            <w:r>
              <w:rPr>
                <w:sz w:val="20"/>
              </w:rPr>
              <w:t>Present Value (PV) is the discounted value of the cost or benefit.</w:t>
            </w:r>
          </w:p>
        </w:tc>
      </w:tr>
      <w:tr w:rsidR="00F268D2" w:rsidRPr="00953A19" w:rsidTr="00B75744">
        <w:tc>
          <w:tcPr>
            <w:tcW w:w="2093" w:type="dxa"/>
          </w:tcPr>
          <w:p w:rsidR="00F268D2" w:rsidRPr="00953A19" w:rsidRDefault="00F268D2" w:rsidP="00B75744">
            <w:pPr>
              <w:pStyle w:val="BodyText"/>
              <w:spacing w:before="60" w:after="60"/>
              <w:rPr>
                <w:sz w:val="20"/>
              </w:rPr>
            </w:pPr>
            <w:r w:rsidRPr="00953A19">
              <w:rPr>
                <w:sz w:val="20"/>
              </w:rPr>
              <w:t>RAC</w:t>
            </w:r>
          </w:p>
        </w:tc>
        <w:tc>
          <w:tcPr>
            <w:tcW w:w="6628" w:type="dxa"/>
          </w:tcPr>
          <w:p w:rsidR="00F268D2" w:rsidRPr="00953A19" w:rsidRDefault="009E6225" w:rsidP="00B75744">
            <w:pPr>
              <w:pStyle w:val="BodyText"/>
              <w:spacing w:before="60" w:after="60"/>
              <w:rPr>
                <w:sz w:val="20"/>
              </w:rPr>
            </w:pPr>
            <w:r w:rsidRPr="00953A19">
              <w:rPr>
                <w:sz w:val="20"/>
              </w:rPr>
              <w:t>Refrigeration and Air Conditioning (RAC) equipment, for the purpose of this paper includes refrigerators, air conditioners and freezers</w:t>
            </w:r>
            <w:r w:rsidR="007748FF">
              <w:rPr>
                <w:sz w:val="20"/>
              </w:rPr>
              <w:t>.</w:t>
            </w:r>
          </w:p>
        </w:tc>
      </w:tr>
      <w:tr w:rsidR="00F268D2" w:rsidRPr="00953A19" w:rsidTr="00B75744">
        <w:tc>
          <w:tcPr>
            <w:tcW w:w="2093" w:type="dxa"/>
          </w:tcPr>
          <w:p w:rsidR="00F268D2" w:rsidRPr="00953A19" w:rsidRDefault="00F268D2" w:rsidP="00B75744">
            <w:pPr>
              <w:pStyle w:val="BodyText"/>
              <w:spacing w:before="60" w:after="60"/>
              <w:rPr>
                <w:sz w:val="20"/>
              </w:rPr>
            </w:pPr>
            <w:r w:rsidRPr="00953A19">
              <w:rPr>
                <w:sz w:val="20"/>
              </w:rPr>
              <w:t>Refrigerant</w:t>
            </w:r>
          </w:p>
        </w:tc>
        <w:tc>
          <w:tcPr>
            <w:tcW w:w="6628" w:type="dxa"/>
          </w:tcPr>
          <w:p w:rsidR="00F268D2" w:rsidRPr="00953A19" w:rsidRDefault="00F268D2" w:rsidP="00B75744">
            <w:pPr>
              <w:pStyle w:val="BodyText"/>
              <w:spacing w:before="60" w:after="60"/>
              <w:rPr>
                <w:sz w:val="20"/>
              </w:rPr>
            </w:pPr>
            <w:r w:rsidRPr="00953A19">
              <w:rPr>
                <w:sz w:val="20"/>
              </w:rPr>
              <w:t>A substance used in a refrigeration cycle which undergoes phase transitions from a liquid to a gas and back again in order to transfer heat</w:t>
            </w:r>
            <w:r w:rsidR="007748FF">
              <w:rPr>
                <w:sz w:val="20"/>
              </w:rPr>
              <w:t>.</w:t>
            </w:r>
          </w:p>
        </w:tc>
      </w:tr>
      <w:tr w:rsidR="00F268D2" w:rsidRPr="00953A19" w:rsidTr="00B75744">
        <w:tc>
          <w:tcPr>
            <w:tcW w:w="2093" w:type="dxa"/>
          </w:tcPr>
          <w:p w:rsidR="00F268D2" w:rsidRPr="00953A19" w:rsidRDefault="00F268D2" w:rsidP="00B75744">
            <w:pPr>
              <w:pStyle w:val="BodyText"/>
              <w:spacing w:before="60" w:after="60"/>
              <w:rPr>
                <w:sz w:val="20"/>
              </w:rPr>
            </w:pPr>
            <w:r w:rsidRPr="00953A19">
              <w:rPr>
                <w:sz w:val="20"/>
              </w:rPr>
              <w:t>Refrigeration</w:t>
            </w:r>
          </w:p>
        </w:tc>
        <w:tc>
          <w:tcPr>
            <w:tcW w:w="6628" w:type="dxa"/>
          </w:tcPr>
          <w:p w:rsidR="00F268D2" w:rsidRPr="00953A19" w:rsidRDefault="00F268D2" w:rsidP="00B75744">
            <w:pPr>
              <w:pStyle w:val="BodyText"/>
              <w:spacing w:before="60" w:after="60"/>
              <w:rPr>
                <w:sz w:val="20"/>
              </w:rPr>
            </w:pPr>
            <w:r w:rsidRPr="00953A19">
              <w:rPr>
                <w:sz w:val="20"/>
              </w:rPr>
              <w:t>Process in which work is done to move heat from one location to another.  Where the term refers to equipment it includes both refrigerators and freezers</w:t>
            </w:r>
            <w:r w:rsidR="002D5B7E">
              <w:rPr>
                <w:sz w:val="20"/>
              </w:rPr>
              <w:t>.</w:t>
            </w:r>
          </w:p>
        </w:tc>
      </w:tr>
      <w:tr w:rsidR="00F268D2" w:rsidRPr="00953A19" w:rsidTr="00B75744">
        <w:tc>
          <w:tcPr>
            <w:tcW w:w="2093" w:type="dxa"/>
          </w:tcPr>
          <w:p w:rsidR="00F268D2" w:rsidRPr="00953A19" w:rsidRDefault="00F268D2" w:rsidP="00B75744">
            <w:pPr>
              <w:pStyle w:val="BodyText"/>
              <w:spacing w:before="60" w:after="60"/>
              <w:rPr>
                <w:sz w:val="20"/>
              </w:rPr>
            </w:pPr>
            <w:r w:rsidRPr="00953A19">
              <w:rPr>
                <w:sz w:val="20"/>
              </w:rPr>
              <w:t>RRA</w:t>
            </w:r>
          </w:p>
        </w:tc>
        <w:tc>
          <w:tcPr>
            <w:tcW w:w="6628" w:type="dxa"/>
          </w:tcPr>
          <w:p w:rsidR="00F268D2" w:rsidRPr="00953A19" w:rsidRDefault="00F268D2" w:rsidP="009E6225">
            <w:pPr>
              <w:pStyle w:val="BodyText"/>
              <w:spacing w:before="60" w:after="60"/>
              <w:rPr>
                <w:sz w:val="20"/>
              </w:rPr>
            </w:pPr>
            <w:r w:rsidRPr="00953A19">
              <w:rPr>
                <w:sz w:val="20"/>
              </w:rPr>
              <w:t>Refrigerant Reclaim Australia</w:t>
            </w:r>
            <w:r w:rsidR="009E6225" w:rsidRPr="00953A19">
              <w:rPr>
                <w:sz w:val="20"/>
              </w:rPr>
              <w:t xml:space="preserve"> (RRA)</w:t>
            </w:r>
            <w:r w:rsidR="00A23141">
              <w:rPr>
                <w:sz w:val="20"/>
              </w:rPr>
              <w:t xml:space="preserve"> </w:t>
            </w:r>
            <w:r w:rsidR="009E6225" w:rsidRPr="00953A19">
              <w:rPr>
                <w:sz w:val="20"/>
              </w:rPr>
              <w:t>is t</w:t>
            </w:r>
            <w:r w:rsidRPr="00953A19">
              <w:rPr>
                <w:sz w:val="20"/>
              </w:rPr>
              <w:t>he product stewardship organisation for the Australian refrigerant industry</w:t>
            </w:r>
            <w:r w:rsidR="007748FF">
              <w:rPr>
                <w:sz w:val="20"/>
              </w:rPr>
              <w:t>.</w:t>
            </w:r>
          </w:p>
        </w:tc>
      </w:tr>
      <w:tr w:rsidR="00F268D2" w:rsidRPr="00953A19" w:rsidTr="00B75744">
        <w:tc>
          <w:tcPr>
            <w:tcW w:w="2093" w:type="dxa"/>
          </w:tcPr>
          <w:p w:rsidR="00F268D2" w:rsidRPr="00953A19" w:rsidRDefault="00F268D2" w:rsidP="00B75744">
            <w:pPr>
              <w:pStyle w:val="BodyText"/>
              <w:spacing w:before="60" w:after="60"/>
              <w:rPr>
                <w:sz w:val="20"/>
              </w:rPr>
            </w:pPr>
            <w:r w:rsidRPr="00953A19">
              <w:rPr>
                <w:sz w:val="20"/>
              </w:rPr>
              <w:t>SGG</w:t>
            </w:r>
          </w:p>
        </w:tc>
        <w:tc>
          <w:tcPr>
            <w:tcW w:w="6628" w:type="dxa"/>
          </w:tcPr>
          <w:p w:rsidR="009E6225" w:rsidRPr="00953A19" w:rsidRDefault="009E6225" w:rsidP="009E6225">
            <w:pPr>
              <w:autoSpaceDE w:val="0"/>
              <w:autoSpaceDN w:val="0"/>
              <w:adjustRightInd w:val="0"/>
              <w:spacing w:after="120"/>
              <w:rPr>
                <w:rFonts w:cs="Arial"/>
                <w:sz w:val="20"/>
                <w:lang w:eastAsia="en-AU"/>
              </w:rPr>
            </w:pPr>
            <w:r w:rsidRPr="00953A19">
              <w:rPr>
                <w:rFonts w:cs="Arial"/>
                <w:sz w:val="20"/>
                <w:lang w:eastAsia="en-AU"/>
              </w:rPr>
              <w:t xml:space="preserve">Synthetic greenhouse gases (SGGs) are industrial substances used mainly as refrigerant gases in air conditioning and refrigeration equipment. They are also used for foam blowing, as propellants in specialty aerosol products and in the pharmaceutical, fire protection and electricity supply industries. </w:t>
            </w:r>
          </w:p>
          <w:p w:rsidR="00F268D2" w:rsidRPr="00953A19" w:rsidRDefault="009E6225" w:rsidP="009E6225">
            <w:pPr>
              <w:pStyle w:val="BodyText"/>
              <w:spacing w:before="60" w:after="60"/>
              <w:rPr>
                <w:sz w:val="20"/>
              </w:rPr>
            </w:pPr>
            <w:r w:rsidRPr="00953A19">
              <w:rPr>
                <w:rFonts w:cs="Arial"/>
                <w:sz w:val="20"/>
                <w:lang w:eastAsia="en-AU"/>
              </w:rPr>
              <w:t xml:space="preserve">The Australian Government is committed to reducing emissions of the SGGs listed under the Kyoto Protocol, including </w:t>
            </w:r>
            <w:proofErr w:type="spellStart"/>
            <w:r w:rsidRPr="00953A19">
              <w:rPr>
                <w:rFonts w:cs="Arial"/>
                <w:sz w:val="20"/>
              </w:rPr>
              <w:t>hydrofluorocarbons</w:t>
            </w:r>
            <w:proofErr w:type="spellEnd"/>
            <w:r w:rsidRPr="00953A19">
              <w:rPr>
                <w:rFonts w:cs="Arial"/>
                <w:sz w:val="20"/>
              </w:rPr>
              <w:t xml:space="preserve"> (HFCs), </w:t>
            </w:r>
            <w:proofErr w:type="spellStart"/>
            <w:r w:rsidRPr="00953A19">
              <w:rPr>
                <w:rFonts w:cs="Arial"/>
                <w:sz w:val="20"/>
              </w:rPr>
              <w:t>perfluorocarbons</w:t>
            </w:r>
            <w:proofErr w:type="spellEnd"/>
            <w:r w:rsidRPr="00953A19">
              <w:rPr>
                <w:rFonts w:cs="Arial"/>
                <w:sz w:val="20"/>
              </w:rPr>
              <w:t xml:space="preserve"> (PFCs) and </w:t>
            </w:r>
            <w:proofErr w:type="spellStart"/>
            <w:r w:rsidRPr="00953A19">
              <w:rPr>
                <w:rFonts w:cs="Arial"/>
                <w:sz w:val="20"/>
              </w:rPr>
              <w:t>sulfur</w:t>
            </w:r>
            <w:proofErr w:type="spellEnd"/>
            <w:r w:rsidRPr="00953A19">
              <w:rPr>
                <w:rFonts w:cs="Arial"/>
                <w:sz w:val="20"/>
              </w:rPr>
              <w:t xml:space="preserve"> hexafluoride (SF</w:t>
            </w:r>
            <w:r w:rsidRPr="00953A19">
              <w:rPr>
                <w:rFonts w:cs="Arial"/>
                <w:sz w:val="20"/>
                <w:vertAlign w:val="subscript"/>
              </w:rPr>
              <w:t>6</w:t>
            </w:r>
            <w:r w:rsidRPr="00953A19">
              <w:rPr>
                <w:rFonts w:cs="Arial"/>
                <w:sz w:val="20"/>
              </w:rPr>
              <w:t>).</w:t>
            </w:r>
          </w:p>
        </w:tc>
      </w:tr>
      <w:tr w:rsidR="00A23141" w:rsidRPr="00953A19" w:rsidTr="00B75744">
        <w:tc>
          <w:tcPr>
            <w:tcW w:w="2093" w:type="dxa"/>
          </w:tcPr>
          <w:p w:rsidR="00A23141" w:rsidRPr="00953A19" w:rsidRDefault="00A23141" w:rsidP="00B75744">
            <w:pPr>
              <w:pStyle w:val="BodyText"/>
              <w:spacing w:before="60" w:after="60"/>
              <w:rPr>
                <w:sz w:val="20"/>
              </w:rPr>
            </w:pPr>
            <w:r>
              <w:rPr>
                <w:sz w:val="20"/>
              </w:rPr>
              <w:t>Scavenged</w:t>
            </w:r>
          </w:p>
        </w:tc>
        <w:tc>
          <w:tcPr>
            <w:tcW w:w="6628" w:type="dxa"/>
          </w:tcPr>
          <w:p w:rsidR="00586D48" w:rsidRDefault="00A23141">
            <w:pPr>
              <w:pStyle w:val="BodyText"/>
              <w:spacing w:before="60" w:after="60"/>
              <w:rPr>
                <w:rFonts w:cs="Arial"/>
                <w:sz w:val="20"/>
                <w:lang w:eastAsia="en-AU"/>
              </w:rPr>
            </w:pPr>
            <w:r>
              <w:rPr>
                <w:rFonts w:cs="Arial"/>
                <w:sz w:val="20"/>
                <w:lang w:eastAsia="en-AU"/>
              </w:rPr>
              <w:t xml:space="preserve">Uncontrolled collection and disposal of RAC equipment whereby parties collect from the kerbside and from other points in the disposal chain and sell directly to recyclers. </w:t>
            </w:r>
          </w:p>
        </w:tc>
      </w:tr>
      <w:tr w:rsidR="00F268D2" w:rsidRPr="00953A19" w:rsidTr="00B75744">
        <w:tc>
          <w:tcPr>
            <w:tcW w:w="2093" w:type="dxa"/>
          </w:tcPr>
          <w:p w:rsidR="00F268D2" w:rsidRPr="00953A19" w:rsidRDefault="00F268D2" w:rsidP="00B75744">
            <w:pPr>
              <w:pStyle w:val="BodyText"/>
              <w:spacing w:before="60" w:after="60"/>
              <w:rPr>
                <w:sz w:val="20"/>
              </w:rPr>
            </w:pPr>
            <w:r w:rsidRPr="00953A19">
              <w:rPr>
                <w:sz w:val="20"/>
              </w:rPr>
              <w:t xml:space="preserve">Shredder </w:t>
            </w:r>
            <w:proofErr w:type="spellStart"/>
            <w:r w:rsidRPr="00953A19">
              <w:rPr>
                <w:sz w:val="20"/>
              </w:rPr>
              <w:t>floc</w:t>
            </w:r>
            <w:proofErr w:type="spellEnd"/>
          </w:p>
        </w:tc>
        <w:tc>
          <w:tcPr>
            <w:tcW w:w="6628" w:type="dxa"/>
          </w:tcPr>
          <w:p w:rsidR="00F268D2" w:rsidRPr="00953A19" w:rsidRDefault="00F268D2" w:rsidP="00B75744">
            <w:pPr>
              <w:pStyle w:val="BodyText"/>
              <w:spacing w:before="60" w:after="60"/>
              <w:rPr>
                <w:sz w:val="20"/>
              </w:rPr>
            </w:pPr>
            <w:r w:rsidRPr="00953A19">
              <w:rPr>
                <w:sz w:val="20"/>
              </w:rPr>
              <w:t>Waste residue remaining after the shredding of vehicles, whitegoods or other appliances.  Often largely comprised of plastics and rubber</w:t>
            </w:r>
            <w:r w:rsidR="002D5B7E">
              <w:rPr>
                <w:sz w:val="20"/>
              </w:rPr>
              <w:t>.</w:t>
            </w:r>
          </w:p>
        </w:tc>
      </w:tr>
    </w:tbl>
    <w:p w:rsidR="00DF2C71" w:rsidRDefault="00575EE2" w:rsidP="00AD54B5">
      <w:pPr>
        <w:pStyle w:val="Heading1"/>
        <w:numPr>
          <w:ilvl w:val="0"/>
          <w:numId w:val="0"/>
        </w:numPr>
      </w:pPr>
      <w:bookmarkStart w:id="9" w:name="_Toc403647578"/>
      <w:r>
        <w:lastRenderedPageBreak/>
        <w:t>Executive Summary</w:t>
      </w:r>
      <w:bookmarkEnd w:id="9"/>
    </w:p>
    <w:p w:rsidR="00AD54B5" w:rsidRDefault="00AD54B5" w:rsidP="00013197">
      <w:pPr>
        <w:pStyle w:val="Heading3"/>
        <w:numPr>
          <w:ilvl w:val="0"/>
          <w:numId w:val="0"/>
        </w:numPr>
      </w:pPr>
      <w:r>
        <w:t>Background</w:t>
      </w:r>
    </w:p>
    <w:p w:rsidR="00F16BDD" w:rsidRDefault="00F16BDD" w:rsidP="00F16BDD">
      <w:pPr>
        <w:pStyle w:val="BodyText"/>
      </w:pPr>
      <w:r>
        <w:t xml:space="preserve">The Department of Environment (the ‘Department’) has commenced a project to explore the feasibility of a product stewardship approach for end-of-life domestic refrigeration and air conditioning (RAC) equipment </w:t>
      </w:r>
      <w:r w:rsidR="001505B4">
        <w:t xml:space="preserve">across </w:t>
      </w:r>
      <w:r>
        <w:t xml:space="preserve">Australia.  </w:t>
      </w:r>
    </w:p>
    <w:p w:rsidR="00BB3DC4" w:rsidRDefault="00BB3DC4" w:rsidP="00BB3DC4">
      <w:pPr>
        <w:pStyle w:val="BodyText"/>
      </w:pPr>
      <w:r w:rsidRPr="006B512D">
        <w:t>The current treatment of RAC equipment at end-of-life has</w:t>
      </w:r>
      <w:r w:rsidR="003065DC">
        <w:t>,</w:t>
      </w:r>
      <w:r w:rsidRPr="006B512D">
        <w:t xml:space="preserve"> and continues to create</w:t>
      </w:r>
      <w:r w:rsidR="003065DC">
        <w:t>,</w:t>
      </w:r>
      <w:r w:rsidRPr="006B512D">
        <w:t xml:space="preserve"> a range of health</w:t>
      </w:r>
      <w:r>
        <w:t xml:space="preserve"> and</w:t>
      </w:r>
      <w:r w:rsidRPr="006B512D">
        <w:t xml:space="preserve"> environmental impacts and loss of recoverable resources</w:t>
      </w:r>
      <w:r w:rsidR="003065DC">
        <w:t>,</w:t>
      </w:r>
      <w:r>
        <w:t xml:space="preserve"> resulting in</w:t>
      </w:r>
      <w:r w:rsidRPr="006B512D">
        <w:t xml:space="preserve"> a range of externalities </w:t>
      </w:r>
      <w:r w:rsidR="003065DC">
        <w:t xml:space="preserve">whose costs are borne by </w:t>
      </w:r>
      <w:r w:rsidRPr="006B512D">
        <w:t xml:space="preserve">businesses and society.  </w:t>
      </w:r>
    </w:p>
    <w:p w:rsidR="00BB3DC4" w:rsidRDefault="0063673E" w:rsidP="00BB3DC4">
      <w:pPr>
        <w:pStyle w:val="BodyText"/>
      </w:pPr>
      <w:r>
        <w:t xml:space="preserve">There are a number of potential approaches to reducing these impacts including improved compliance with existing schemes and the introduction of product stewardship options. </w:t>
      </w:r>
      <w:r w:rsidR="008D77DC">
        <w:t>T</w:t>
      </w:r>
      <w:r w:rsidR="00BB3DC4" w:rsidRPr="002A5CAA">
        <w:t xml:space="preserve">he Department, in consultation with the RAC </w:t>
      </w:r>
      <w:r w:rsidR="002F1BBE">
        <w:t xml:space="preserve">Industry </w:t>
      </w:r>
      <w:r w:rsidR="00151903">
        <w:t>W</w:t>
      </w:r>
      <w:r w:rsidR="002F1BBE">
        <w:t xml:space="preserve">orking </w:t>
      </w:r>
      <w:r w:rsidR="00151903">
        <w:t>G</w:t>
      </w:r>
      <w:r w:rsidR="002F1BBE">
        <w:t>roup</w:t>
      </w:r>
      <w:r w:rsidR="00BB3DC4" w:rsidRPr="002A5CAA">
        <w:t xml:space="preserve">, has developed preliminary options to underpin advice to the Commonwealth Government on the feasibility of </w:t>
      </w:r>
      <w:r w:rsidR="00BB3DC4">
        <w:t xml:space="preserve">a </w:t>
      </w:r>
      <w:r w:rsidR="00BB3DC4" w:rsidRPr="002A5CAA">
        <w:t>product stewardship</w:t>
      </w:r>
      <w:r w:rsidR="00BB3DC4">
        <w:t xml:space="preserve"> approach</w:t>
      </w:r>
      <w:r w:rsidR="00BB3DC4" w:rsidRPr="002A5CAA">
        <w:t xml:space="preserve">.  To assist with this process, the Department commissioned KPMG to undertake a cost benefit analysis (CBA) </w:t>
      </w:r>
      <w:r w:rsidR="008D77DC">
        <w:t>focussing on</w:t>
      </w:r>
      <w:r w:rsidR="008D77DC" w:rsidRPr="002A5CAA">
        <w:t xml:space="preserve"> </w:t>
      </w:r>
      <w:r w:rsidR="00FF2E15">
        <w:t xml:space="preserve">three </w:t>
      </w:r>
      <w:r w:rsidR="00BB3DC4" w:rsidRPr="002A5CAA">
        <w:t>product stewardship options</w:t>
      </w:r>
      <w:r w:rsidR="00BB3DC4">
        <w:t xml:space="preserve"> </w:t>
      </w:r>
      <w:r>
        <w:t>identified by an industry working group</w:t>
      </w:r>
      <w:r w:rsidR="00BB3DC4" w:rsidRPr="002A5CAA">
        <w:t xml:space="preserve">. </w:t>
      </w:r>
    </w:p>
    <w:p w:rsidR="005924C0" w:rsidRDefault="005924C0" w:rsidP="00013197">
      <w:pPr>
        <w:pStyle w:val="Heading3"/>
        <w:numPr>
          <w:ilvl w:val="0"/>
          <w:numId w:val="0"/>
        </w:numPr>
      </w:pPr>
      <w:r>
        <w:t xml:space="preserve">Approach </w:t>
      </w:r>
    </w:p>
    <w:p w:rsidR="005924C0" w:rsidRDefault="005924C0" w:rsidP="005924C0">
      <w:pPr>
        <w:pStyle w:val="BodyText"/>
      </w:pPr>
      <w:r>
        <w:t xml:space="preserve">To </w:t>
      </w:r>
      <w:r w:rsidR="003065DC">
        <w:t xml:space="preserve">assess </w:t>
      </w:r>
      <w:r>
        <w:t>the range of impacts associated with the product stewardship options under consideration, the evaluation employed the CBA framework, consistent with the relevant economic evaluation guidelines, including:</w:t>
      </w:r>
    </w:p>
    <w:p w:rsidR="005924C0" w:rsidRPr="00D1554D" w:rsidRDefault="005924C0" w:rsidP="005924C0">
      <w:pPr>
        <w:pStyle w:val="BulletText"/>
        <w:rPr>
          <w:i/>
        </w:rPr>
      </w:pPr>
      <w:r>
        <w:t>g</w:t>
      </w:r>
      <w:r w:rsidRPr="00D1554D">
        <w:t xml:space="preserve">uidelines for regulatory impact analysis published by the Office of Best Practice Regulation (OBPR), </w:t>
      </w:r>
      <w:r w:rsidRPr="00D1554D">
        <w:rPr>
          <w:i/>
        </w:rPr>
        <w:t>The Australia</w:t>
      </w:r>
      <w:r>
        <w:rPr>
          <w:i/>
        </w:rPr>
        <w:t>n Government Guide to Regulation;</w:t>
      </w:r>
    </w:p>
    <w:p w:rsidR="005924C0" w:rsidRPr="00D1554D" w:rsidRDefault="005924C0" w:rsidP="005924C0">
      <w:pPr>
        <w:pStyle w:val="BulletText"/>
      </w:pPr>
      <w:r>
        <w:t>t</w:t>
      </w:r>
      <w:r w:rsidRPr="00D1554D">
        <w:t>he modified Business Cost Calculator (BCC) that calculates the compliance costs of regulatory proposals, administered by OBPR</w:t>
      </w:r>
      <w:r>
        <w:t>; and</w:t>
      </w:r>
    </w:p>
    <w:p w:rsidR="005924C0" w:rsidRPr="00D1554D" w:rsidRDefault="005924C0" w:rsidP="005924C0">
      <w:pPr>
        <w:pStyle w:val="BulletText"/>
      </w:pPr>
      <w:r w:rsidRPr="00D1554D">
        <w:t xml:space="preserve">Commonwealth of Australia, </w:t>
      </w:r>
      <w:r w:rsidRPr="00D1554D">
        <w:rPr>
          <w:i/>
        </w:rPr>
        <w:t xml:space="preserve">Handbook of Cost Benefit Analysis, </w:t>
      </w:r>
      <w:r w:rsidRPr="00D1554D">
        <w:t xml:space="preserve">January 2006. </w:t>
      </w:r>
    </w:p>
    <w:p w:rsidR="005924C0" w:rsidRDefault="005924C0" w:rsidP="005924C0">
      <w:pPr>
        <w:pStyle w:val="BodyText"/>
      </w:pPr>
      <w:r>
        <w:t>An overview of the CBA approach is illustrated in Figure 1 and described below.</w:t>
      </w:r>
    </w:p>
    <w:p w:rsidR="005924C0" w:rsidRDefault="005924C0" w:rsidP="00BB3DC4">
      <w:pPr>
        <w:pStyle w:val="Caption"/>
      </w:pPr>
      <w:r>
        <w:lastRenderedPageBreak/>
        <w:t xml:space="preserve">Figure </w:t>
      </w:r>
      <w:r w:rsidR="00586F30">
        <w:fldChar w:fldCharType="begin"/>
      </w:r>
      <w:r w:rsidR="00C478AE">
        <w:instrText xml:space="preserve"> SEQ Figure \* ARABIC </w:instrText>
      </w:r>
      <w:r w:rsidR="00586F30">
        <w:fldChar w:fldCharType="separate"/>
      </w:r>
      <w:r w:rsidR="001E5D7A">
        <w:rPr>
          <w:noProof/>
        </w:rPr>
        <w:t>1</w:t>
      </w:r>
      <w:r w:rsidR="00586F30">
        <w:rPr>
          <w:noProof/>
        </w:rPr>
        <w:fldChar w:fldCharType="end"/>
      </w:r>
      <w:r>
        <w:t>: Cost benefit analysis approach</w:t>
      </w:r>
    </w:p>
    <w:p w:rsidR="005924C0" w:rsidRDefault="005924C0" w:rsidP="00BB3DC4">
      <w:pPr>
        <w:pStyle w:val="BodyText"/>
        <w:keepNext/>
      </w:pPr>
      <w:r w:rsidRPr="00F268D2">
        <w:rPr>
          <w:noProof/>
          <w:lang w:eastAsia="en-AU"/>
        </w:rPr>
        <w:drawing>
          <wp:inline distT="0" distB="0" distL="0" distR="0">
            <wp:extent cx="5267325" cy="2185475"/>
            <wp:effectExtent l="1905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5273038" cy="2187846"/>
                    </a:xfrm>
                    <a:prstGeom prst="rect">
                      <a:avLst/>
                    </a:prstGeom>
                    <a:noFill/>
                    <a:ln w="9525">
                      <a:noFill/>
                      <a:miter lim="800000"/>
                      <a:headEnd/>
                      <a:tailEnd/>
                    </a:ln>
                  </pic:spPr>
                </pic:pic>
              </a:graphicData>
            </a:graphic>
          </wp:inline>
        </w:drawing>
      </w:r>
    </w:p>
    <w:p w:rsidR="00BB3DC4" w:rsidRDefault="00BB3DC4" w:rsidP="00BB3DC4">
      <w:pPr>
        <w:pStyle w:val="Source"/>
      </w:pPr>
      <w:r>
        <w:t>Source: KPMG</w:t>
      </w:r>
    </w:p>
    <w:p w:rsidR="00F16BDD" w:rsidRDefault="002612DA" w:rsidP="00AD54B5">
      <w:pPr>
        <w:pStyle w:val="BodyText"/>
      </w:pPr>
      <w:r w:rsidRPr="002A5CAA">
        <w:t xml:space="preserve">The </w:t>
      </w:r>
      <w:r w:rsidR="000F5637">
        <w:t xml:space="preserve">base case scenario and </w:t>
      </w:r>
      <w:r w:rsidRPr="002A5CAA">
        <w:t xml:space="preserve">options </w:t>
      </w:r>
      <w:r w:rsidR="005413FE">
        <w:t xml:space="preserve">considered in the </w:t>
      </w:r>
      <w:r w:rsidRPr="002A5CAA">
        <w:t>analysis are outlined in</w:t>
      </w:r>
      <w:r w:rsidR="005924C0">
        <w:t xml:space="preserve"> </w:t>
      </w:r>
      <w:r w:rsidR="00586F30">
        <w:fldChar w:fldCharType="begin"/>
      </w:r>
      <w:r w:rsidR="005924C0">
        <w:instrText xml:space="preserve"> REF _Ref393031059 \h </w:instrText>
      </w:r>
      <w:r w:rsidR="00586F30">
        <w:fldChar w:fldCharType="separate"/>
      </w:r>
      <w:r w:rsidR="001E5D7A">
        <w:t xml:space="preserve">Figure </w:t>
      </w:r>
      <w:r w:rsidR="001E5D7A">
        <w:rPr>
          <w:noProof/>
        </w:rPr>
        <w:t>2</w:t>
      </w:r>
      <w:r w:rsidR="00586F30">
        <w:fldChar w:fldCharType="end"/>
      </w:r>
      <w:r w:rsidR="00F268D2" w:rsidRPr="002A5CAA">
        <w:t>.</w:t>
      </w:r>
    </w:p>
    <w:p w:rsidR="002612DA" w:rsidRDefault="005924C0" w:rsidP="005924C0">
      <w:pPr>
        <w:pStyle w:val="Caption"/>
      </w:pPr>
      <w:bookmarkStart w:id="10" w:name="_Ref393031059"/>
      <w:r>
        <w:t xml:space="preserve">Figure </w:t>
      </w:r>
      <w:r w:rsidR="00586F30">
        <w:fldChar w:fldCharType="begin"/>
      </w:r>
      <w:r w:rsidR="00C478AE">
        <w:instrText xml:space="preserve"> SEQ Figure \* ARABIC </w:instrText>
      </w:r>
      <w:r w:rsidR="00586F30">
        <w:fldChar w:fldCharType="separate"/>
      </w:r>
      <w:r w:rsidR="001E5D7A">
        <w:rPr>
          <w:noProof/>
        </w:rPr>
        <w:t>2</w:t>
      </w:r>
      <w:r w:rsidR="00586F30">
        <w:rPr>
          <w:noProof/>
        </w:rPr>
        <w:fldChar w:fldCharType="end"/>
      </w:r>
      <w:bookmarkEnd w:id="10"/>
      <w:r>
        <w:t xml:space="preserve">: </w:t>
      </w:r>
      <w:r w:rsidR="002612DA">
        <w:t>Product stewardship options for analysis</w:t>
      </w:r>
    </w:p>
    <w:p w:rsidR="002612DA" w:rsidRPr="00AD54B5" w:rsidRDefault="000F5637" w:rsidP="00BB3DC4">
      <w:pPr>
        <w:pStyle w:val="BodyText"/>
        <w:jc w:val="center"/>
      </w:pPr>
      <w:r w:rsidRPr="000F5637">
        <w:rPr>
          <w:noProof/>
          <w:lang w:eastAsia="en-AU"/>
        </w:rPr>
        <w:drawing>
          <wp:inline distT="0" distB="0" distL="0" distR="0">
            <wp:extent cx="5400675" cy="2424523"/>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5400675" cy="2424523"/>
                    </a:xfrm>
                    <a:prstGeom prst="rect">
                      <a:avLst/>
                    </a:prstGeom>
                    <a:noFill/>
                    <a:ln w="9525">
                      <a:noFill/>
                      <a:miter lim="800000"/>
                      <a:headEnd/>
                      <a:tailEnd/>
                    </a:ln>
                  </pic:spPr>
                </pic:pic>
              </a:graphicData>
            </a:graphic>
          </wp:inline>
        </w:drawing>
      </w:r>
    </w:p>
    <w:p w:rsidR="005924C0" w:rsidRDefault="005924C0" w:rsidP="005924C0">
      <w:pPr>
        <w:pStyle w:val="Source"/>
      </w:pPr>
      <w:r>
        <w:t>Source: Department of the Environment and industry consultation</w:t>
      </w:r>
    </w:p>
    <w:p w:rsidR="000F5637" w:rsidRDefault="002F1BBE" w:rsidP="000F5637">
      <w:pPr>
        <w:pStyle w:val="BodyText"/>
      </w:pPr>
      <w:r>
        <w:t>The product stewardship</w:t>
      </w:r>
      <w:r w:rsidR="000F5637">
        <w:t xml:space="preserve"> options</w:t>
      </w:r>
      <w:r w:rsidR="00FF2E15">
        <w:t xml:space="preserve"> included in the analysis</w:t>
      </w:r>
      <w:r w:rsidR="000F5637">
        <w:t xml:space="preserve"> aim to achieve a reduction in landfill, an increase in recovery of refrigerant gases and an increase in recovery of other resources for reuse.</w:t>
      </w:r>
      <w:r w:rsidR="00FF2E15">
        <w:t xml:space="preserve"> It is recognised that there may be a number of alternate means of achieving these outcomes. However, the focus of the analysis was on the product stewardship options developed by the industry working group in consultation with the Department of the Environment. </w:t>
      </w:r>
    </w:p>
    <w:p w:rsidR="00953A19" w:rsidRPr="005505BB" w:rsidRDefault="00953A19" w:rsidP="000F5637">
      <w:pPr>
        <w:pStyle w:val="BodyText"/>
      </w:pPr>
      <w:r>
        <w:t>In undertaking the analysis</w:t>
      </w:r>
      <w:r w:rsidR="003065DC">
        <w:t>, KPMG operated under a number of constraints</w:t>
      </w:r>
      <w:r>
        <w:t xml:space="preserve">. It is important to note these </w:t>
      </w:r>
      <w:r w:rsidRPr="005505BB">
        <w:t xml:space="preserve">limitations when considering the </w:t>
      </w:r>
      <w:r w:rsidR="003065DC">
        <w:t xml:space="preserve">study </w:t>
      </w:r>
      <w:r w:rsidRPr="005505BB">
        <w:t>findings, including:</w:t>
      </w:r>
    </w:p>
    <w:p w:rsidR="00953A19" w:rsidRPr="005505BB" w:rsidRDefault="00953A19" w:rsidP="00953A19">
      <w:pPr>
        <w:pStyle w:val="BulletText"/>
      </w:pPr>
      <w:r w:rsidRPr="005505BB">
        <w:t xml:space="preserve">The </w:t>
      </w:r>
      <w:r w:rsidR="00602341">
        <w:t xml:space="preserve">three </w:t>
      </w:r>
      <w:r w:rsidRPr="005505BB">
        <w:t xml:space="preserve">options included in the analysis were designed by the </w:t>
      </w:r>
      <w:r w:rsidR="005505BB" w:rsidRPr="005505BB">
        <w:t xml:space="preserve">industry working group in consultation with the </w:t>
      </w:r>
      <w:r w:rsidRPr="005505BB">
        <w:t>Department of the Environment. These options</w:t>
      </w:r>
      <w:r w:rsidR="003065DC">
        <w:t>,</w:t>
      </w:r>
      <w:r w:rsidRPr="005505BB">
        <w:t xml:space="preserve"> and the expected </w:t>
      </w:r>
      <w:r w:rsidRPr="005505BB">
        <w:lastRenderedPageBreak/>
        <w:t>outcomes</w:t>
      </w:r>
      <w:r w:rsidR="003065DC">
        <w:t>,</w:t>
      </w:r>
      <w:r w:rsidRPr="005505BB">
        <w:t xml:space="preserve"> are preliminary in </w:t>
      </w:r>
      <w:r w:rsidR="00E00EE8" w:rsidRPr="005505BB">
        <w:t>nature and have not been tested in detail as a part of this analysis.</w:t>
      </w:r>
    </w:p>
    <w:p w:rsidR="00E00EE8" w:rsidRDefault="00E00EE8" w:rsidP="00953A19">
      <w:pPr>
        <w:pStyle w:val="BulletText"/>
      </w:pPr>
      <w:r>
        <w:t xml:space="preserve">Quantification of a number of the costs and benefits included in the analysis was based on information provided by the Department of the Environment or estimated through consultation with industry. Detailed testing of this information was not undertaken as a part of this analysis. </w:t>
      </w:r>
    </w:p>
    <w:p w:rsidR="00FF2E15" w:rsidRDefault="00FF2E15" w:rsidP="00953A19">
      <w:pPr>
        <w:pStyle w:val="BulletText"/>
      </w:pPr>
      <w:r>
        <w:t>Given the limited implementation of similar schemes elsewhere, the analysis relies on anecdotal evidence gather</w:t>
      </w:r>
      <w:r w:rsidR="00602341">
        <w:t>ed</w:t>
      </w:r>
      <w:r>
        <w:t xml:space="preserve"> through stakeholder consultation.</w:t>
      </w:r>
      <w:r w:rsidR="00602341">
        <w:t xml:space="preserve"> </w:t>
      </w:r>
      <w:r w:rsidR="00B66817">
        <w:t xml:space="preserve">Sensitivity analysis was undertaken to highlight the implications of variations in assumptions. </w:t>
      </w:r>
      <w:r w:rsidR="00602341">
        <w:t xml:space="preserve"> </w:t>
      </w:r>
    </w:p>
    <w:p w:rsidR="00F268D2" w:rsidRPr="00013197" w:rsidRDefault="00F268D2" w:rsidP="00013197">
      <w:pPr>
        <w:pStyle w:val="Heading3"/>
        <w:numPr>
          <w:ilvl w:val="0"/>
          <w:numId w:val="0"/>
        </w:numPr>
      </w:pPr>
      <w:r w:rsidRPr="00013197">
        <w:t>Identification and Quantification of Costs and Benefits</w:t>
      </w:r>
    </w:p>
    <w:p w:rsidR="00D36427" w:rsidRDefault="006D580E" w:rsidP="00DF2C71">
      <w:pPr>
        <w:pStyle w:val="BodyText"/>
      </w:pPr>
      <w:r>
        <w:t xml:space="preserve">The identification and quantification of relevant costs and benefits included in the </w:t>
      </w:r>
      <w:r w:rsidR="00F268D2">
        <w:t>CBA</w:t>
      </w:r>
      <w:r>
        <w:t xml:space="preserve"> are outlined in Table </w:t>
      </w:r>
      <w:r w:rsidR="00F268D2">
        <w:t>2</w:t>
      </w:r>
      <w:r>
        <w:t>.</w:t>
      </w:r>
      <w:r w:rsidR="00035A37">
        <w:t xml:space="preserve"> Costs and benefits were identified and quantified based on anecdotal evidence provided by industry stakeholders and by the Department of the Environment.</w:t>
      </w:r>
    </w:p>
    <w:p w:rsidR="00BB3DC4" w:rsidRDefault="00BB3DC4" w:rsidP="00BB3DC4">
      <w:pPr>
        <w:pStyle w:val="BodyText"/>
      </w:pPr>
      <w:r>
        <w:t>Economic costs and benefits were quantified where market values were available, specifically:</w:t>
      </w:r>
    </w:p>
    <w:p w:rsidR="00BB3DC4" w:rsidRDefault="00BB3DC4" w:rsidP="00BB3DC4">
      <w:pPr>
        <w:pStyle w:val="BulletText"/>
      </w:pPr>
      <w:r>
        <w:t xml:space="preserve">The costs of compliance were estimated by the Department of the Environment in consultation with the </w:t>
      </w:r>
      <w:r w:rsidR="002F1BBE">
        <w:t>industry working group</w:t>
      </w:r>
      <w:r>
        <w:t xml:space="preserve"> and include both costs to government and to industry. Costs are assumed to vary under each option depending on the specific requirements and level of compliance activity required. Compliance costs are expected to be lowest under a voluntary scheme (</w:t>
      </w:r>
      <w:r w:rsidR="00E00EE8">
        <w:t>o</w:t>
      </w:r>
      <w:r>
        <w:t>ption 1) and highest under a mandatory scheme (</w:t>
      </w:r>
      <w:r w:rsidR="00E00EE8">
        <w:t>o</w:t>
      </w:r>
      <w:r>
        <w:t xml:space="preserve">ption 3). </w:t>
      </w:r>
    </w:p>
    <w:p w:rsidR="00BB3DC4" w:rsidRDefault="00BB3DC4" w:rsidP="00BB3DC4">
      <w:pPr>
        <w:pStyle w:val="BulletText"/>
      </w:pPr>
      <w:r>
        <w:t xml:space="preserve">Under each option, there is an increase in the number of refrigerators that are expected to be disposed of through retailer take back schemes. The cost of additional retailer take back activities was estimated based on consultation with industry representatives. Consultation suggests that </w:t>
      </w:r>
      <w:proofErr w:type="gramStart"/>
      <w:r>
        <w:t>costs of retailer take back schemes is</w:t>
      </w:r>
      <w:proofErr w:type="gramEnd"/>
      <w:r>
        <w:t xml:space="preserve"> approximately $</w:t>
      </w:r>
      <w:r w:rsidR="00586D48">
        <w:t>4</w:t>
      </w:r>
      <w:r w:rsidR="00035A37">
        <w:t>0</w:t>
      </w:r>
      <w:r>
        <w:t xml:space="preserve"> per </w:t>
      </w:r>
      <w:r w:rsidR="00FF2E15">
        <w:t>refrigerator</w:t>
      </w:r>
      <w:r>
        <w:t xml:space="preserve">, including transport, degassing and disposal costs. </w:t>
      </w:r>
    </w:p>
    <w:p w:rsidR="00BB3DC4" w:rsidRDefault="00BB3DC4" w:rsidP="00BB3DC4">
      <w:pPr>
        <w:pStyle w:val="BulletText"/>
      </w:pPr>
      <w:r>
        <w:t>Under each option, there is expected to be an increase in plastics recovered from RAC equipment. Recovery of this material requires disassembly of RAC equipment. Industry consultation suggests that complete disassembly takes approximately one hour per RAC unit and costs between $20 and $30 per unit. For the purpose of the CBA, disassembly costs were assumed to be $</w:t>
      </w:r>
      <w:r w:rsidR="00710703">
        <w:t xml:space="preserve">20 </w:t>
      </w:r>
      <w:r>
        <w:t>per unit (in 2014</w:t>
      </w:r>
      <w:r w:rsidR="001A36AD">
        <w:t xml:space="preserve"> prices</w:t>
      </w:r>
      <w:r>
        <w:t>)</w:t>
      </w:r>
      <w:r w:rsidR="00710703">
        <w:t xml:space="preserve"> reflecting the ability to achieve some economies of scale as the volume of equipment disassembled increases</w:t>
      </w:r>
      <w:r>
        <w:t>. The number of units disassembled was based on estimated recovery rates under each option</w:t>
      </w:r>
      <w:r w:rsidR="00AC6354">
        <w:t xml:space="preserve">. The assumed cost of disassembly remains constant in real terms, </w:t>
      </w:r>
      <w:r w:rsidR="00A66653">
        <w:t xml:space="preserve">however </w:t>
      </w:r>
      <w:r w:rsidR="00AC6354">
        <w:t>there is potential that this could fall over time through economies of scale</w:t>
      </w:r>
      <w:r>
        <w:rPr>
          <w:rStyle w:val="FootnoteReference"/>
        </w:rPr>
        <w:footnoteReference w:id="1"/>
      </w:r>
      <w:r>
        <w:t xml:space="preserve">. </w:t>
      </w:r>
    </w:p>
    <w:p w:rsidR="00F268D2" w:rsidRDefault="00F268D2" w:rsidP="00F268D2">
      <w:pPr>
        <w:pStyle w:val="BulletText"/>
      </w:pPr>
      <w:r>
        <w:lastRenderedPageBreak/>
        <w:t xml:space="preserve">Under each option, there is expected to be a reduction in the volume of waste diverted to landfill. Reducing the volume of waste to landfill avoids the economic costs associated with managing the waste and the environmental externalities created by landfill. For the purpose of the analysis, the cost of managing landfill was assumed to be $68 per tonne (in 2014 dollars). The environmental costs associated with landfill include </w:t>
      </w:r>
      <w:r w:rsidR="00FF2E15">
        <w:t xml:space="preserve">methane </w:t>
      </w:r>
      <w:r>
        <w:t xml:space="preserve">gas emissions, </w:t>
      </w:r>
      <w:proofErr w:type="spellStart"/>
      <w:r>
        <w:t>leachate</w:t>
      </w:r>
      <w:proofErr w:type="spellEnd"/>
      <w:r>
        <w:t xml:space="preserve"> leakage and loss of amenity. For the purpose of the CBA, these costs were assumed to be $14 per tonne (in 2014</w:t>
      </w:r>
      <w:r w:rsidR="00AC6354">
        <w:t xml:space="preserve"> dollars</w:t>
      </w:r>
      <w:r>
        <w:t>). The economic and environmental costs of landfill were derived based on a review of recent literature and analysis of the cost of landfill in Australia</w:t>
      </w:r>
      <w:r w:rsidR="00CC61A5">
        <w:rPr>
          <w:rStyle w:val="FootnoteReference"/>
        </w:rPr>
        <w:footnoteReference w:id="2"/>
      </w:r>
      <w:r w:rsidR="00B07660">
        <w:rPr>
          <w:rStyle w:val="FootnoteReference"/>
        </w:rPr>
        <w:footnoteReference w:id="3"/>
      </w:r>
      <w:r>
        <w:t>.</w:t>
      </w:r>
    </w:p>
    <w:p w:rsidR="00BB3DC4" w:rsidRDefault="0058112F" w:rsidP="00F268D2">
      <w:pPr>
        <w:pStyle w:val="BulletText"/>
      </w:pPr>
      <w:r>
        <w:t>To achieve the</w:t>
      </w:r>
      <w:r w:rsidR="00BB3DC4">
        <w:t xml:space="preserve"> reduction in volume of landfill </w:t>
      </w:r>
      <w:r w:rsidR="008F1D1F">
        <w:t xml:space="preserve">additional disassembly of RAC equipment is undertaken and there </w:t>
      </w:r>
      <w:r w:rsidR="00BB3DC4">
        <w:t>is an increase in recovery of plastics</w:t>
      </w:r>
      <w:r>
        <w:t xml:space="preserve"> </w:t>
      </w:r>
      <w:r w:rsidR="008F1D1F">
        <w:t xml:space="preserve">under each option. The benefit associated with this increase in plastic recovery was quantified based on the market value for the recovered plastic. Consultation with industry suggests that the average value of plastic recovered would be approximately $550 per tonne. </w:t>
      </w:r>
    </w:p>
    <w:p w:rsidR="00F268D2" w:rsidRDefault="00F268D2" w:rsidP="00F268D2">
      <w:pPr>
        <w:pStyle w:val="BulletText"/>
      </w:pPr>
      <w:r>
        <w:t>Under the mandatory scheme (</w:t>
      </w:r>
      <w:r w:rsidR="008F1D1F">
        <w:t>o</w:t>
      </w:r>
      <w:r>
        <w:t xml:space="preserve">ption 3), the level of metal recovered from RAC equipment is </w:t>
      </w:r>
      <w:r w:rsidR="00710703">
        <w:t xml:space="preserve">assumed </w:t>
      </w:r>
      <w:r>
        <w:t>to increase slightly. The benefit associated with this increase in metal recovery was quantified based on the average value of recovered metal resources. These were derived from the previous KPMG report and are assumed to be:</w:t>
      </w:r>
    </w:p>
    <w:p w:rsidR="00F268D2" w:rsidRDefault="00F268D2" w:rsidP="00305FA1">
      <w:pPr>
        <w:pStyle w:val="BulletText"/>
        <w:numPr>
          <w:ilvl w:val="1"/>
          <w:numId w:val="14"/>
        </w:numPr>
        <w:spacing w:before="60" w:after="60" w:afterAutospacing="0" w:line="240" w:lineRule="auto"/>
        <w:ind w:left="1434" w:hanging="357"/>
      </w:pPr>
      <w:r>
        <w:t>$5,000 per tonne for copper;</w:t>
      </w:r>
    </w:p>
    <w:p w:rsidR="00F268D2" w:rsidRPr="00F268D2" w:rsidRDefault="00F268D2" w:rsidP="00305FA1">
      <w:pPr>
        <w:pStyle w:val="BulletText"/>
        <w:numPr>
          <w:ilvl w:val="1"/>
          <w:numId w:val="14"/>
        </w:numPr>
        <w:spacing w:before="60" w:after="60" w:afterAutospacing="0" w:line="240" w:lineRule="auto"/>
        <w:ind w:left="1434" w:hanging="357"/>
      </w:pPr>
      <w:r>
        <w:t>$</w:t>
      </w:r>
      <w:r w:rsidR="00586D48">
        <w:t>1</w:t>
      </w:r>
      <w:r w:rsidRPr="00F268D2">
        <w:t>,</w:t>
      </w:r>
      <w:r w:rsidR="00586D48">
        <w:t>4</w:t>
      </w:r>
      <w:r w:rsidRPr="00F268D2">
        <w:t>00 per tonne for aluminium; and</w:t>
      </w:r>
    </w:p>
    <w:p w:rsidR="00F268D2" w:rsidRPr="00B82153" w:rsidRDefault="00F268D2" w:rsidP="00305FA1">
      <w:pPr>
        <w:pStyle w:val="BulletText"/>
        <w:numPr>
          <w:ilvl w:val="1"/>
          <w:numId w:val="14"/>
        </w:numPr>
        <w:spacing w:before="60" w:after="60" w:afterAutospacing="0" w:line="240" w:lineRule="auto"/>
        <w:ind w:left="1434" w:hanging="357"/>
      </w:pPr>
      <w:r w:rsidRPr="00F268D2">
        <w:t>$</w:t>
      </w:r>
      <w:r w:rsidR="00586D48" w:rsidRPr="00F268D2">
        <w:t>1</w:t>
      </w:r>
      <w:r w:rsidR="00586D48">
        <w:t>4</w:t>
      </w:r>
      <w:r w:rsidR="00586D48" w:rsidRPr="00F268D2">
        <w:t xml:space="preserve">0 </w:t>
      </w:r>
      <w:r w:rsidRPr="00F268D2">
        <w:t xml:space="preserve">per </w:t>
      </w:r>
      <w:r w:rsidR="00DC1CC1">
        <w:t>tonne for steel</w:t>
      </w:r>
      <w:r w:rsidR="00DC1CC1">
        <w:rPr>
          <w:rStyle w:val="FootnoteReference"/>
        </w:rPr>
        <w:footnoteReference w:id="4"/>
      </w:r>
      <w:r w:rsidR="00E10441" w:rsidRPr="00E10441">
        <w:t>.</w:t>
      </w:r>
    </w:p>
    <w:p w:rsidR="00F268D2" w:rsidRDefault="00E10441" w:rsidP="00F268D2">
      <w:pPr>
        <w:pStyle w:val="BulletText"/>
      </w:pPr>
      <w:r w:rsidRPr="009A18BC">
        <w:t xml:space="preserve">Under each option, there is </w:t>
      </w:r>
      <w:r w:rsidR="00710703">
        <w:t>assumed</w:t>
      </w:r>
      <w:r w:rsidR="00710703" w:rsidRPr="009A18BC">
        <w:t xml:space="preserve"> </w:t>
      </w:r>
      <w:r w:rsidRPr="009A18BC">
        <w:t xml:space="preserve">to be an increase in the volume of refrigerant gas recovered from RAC equipment. The increase in refrigerant gas recovered results in a reduction in refrigerant gas emitted into the environment. There are a number of economic benefits associated with a reduction in refrigerant gas emissions including, the value of the emissions avoided, the health benefits of lower carbon emissions and the perceived value of lower emissions to society. </w:t>
      </w:r>
      <w:r w:rsidR="009A18BC" w:rsidRPr="009A18BC">
        <w:t xml:space="preserve">Based on </w:t>
      </w:r>
      <w:r w:rsidR="00710703">
        <w:t>the independent Expert Panel reviewing the RET</w:t>
      </w:r>
      <w:r w:rsidR="009A18BC" w:rsidRPr="009A18BC">
        <w:t xml:space="preserve">, the value of emissions are assumed to be equivalent to $9.50 per tonne of carbon. </w:t>
      </w:r>
    </w:p>
    <w:p w:rsidR="00050E3F" w:rsidRPr="009A18BC" w:rsidRDefault="00050E3F" w:rsidP="00F268D2">
      <w:pPr>
        <w:pStyle w:val="BulletText"/>
      </w:pPr>
      <w:r>
        <w:t>Under each option, there is expected to be an increase in the level of recycling. Willingness to pay captures society’s value of increasing recycling activity and the resulting recovery of non-renewable resources and other non-market benefits. The willingness to pay for an increase in recycling of RAC equipment was assumed to be consistent with a recent analysis of the merits of a television and computer na</w:t>
      </w:r>
      <w:r w:rsidR="00E25C35">
        <w:t xml:space="preserve">tional recycling scheme ($0.50 per unit per </w:t>
      </w:r>
      <w:r w:rsidR="00E25C35">
        <w:lastRenderedPageBreak/>
        <w:t xml:space="preserve">percentage point increase in recycling activity). Reflecting the uncertainty of the willingness to pay approach, results were presented </w:t>
      </w:r>
      <w:r w:rsidR="00151903">
        <w:t xml:space="preserve">both </w:t>
      </w:r>
      <w:r w:rsidR="00E25C35">
        <w:t>with and without these benefits.</w:t>
      </w:r>
      <w:r w:rsidR="00E25C35">
        <w:rPr>
          <w:rStyle w:val="FootnoteReference"/>
        </w:rPr>
        <w:footnoteReference w:id="5"/>
      </w:r>
    </w:p>
    <w:p w:rsidR="00F268D2" w:rsidRDefault="00F268D2" w:rsidP="00013197">
      <w:pPr>
        <w:pStyle w:val="Heading3"/>
        <w:numPr>
          <w:ilvl w:val="0"/>
          <w:numId w:val="0"/>
        </w:numPr>
      </w:pPr>
      <w:r>
        <w:t>Key Findings</w:t>
      </w:r>
    </w:p>
    <w:p w:rsidR="006D580E" w:rsidRPr="00B82153" w:rsidRDefault="000E6BEE" w:rsidP="00CE3BAC">
      <w:pPr>
        <w:pStyle w:val="BodyText"/>
      </w:pPr>
      <w:r>
        <w:t xml:space="preserve">The key </w:t>
      </w:r>
      <w:r w:rsidR="006D580E">
        <w:t>findings of the CBA are summarised in</w:t>
      </w:r>
      <w:r w:rsidR="00CE3BAC">
        <w:t xml:space="preserve"> Table 1</w:t>
      </w:r>
      <w:r w:rsidR="006D580E">
        <w:t xml:space="preserve">. </w:t>
      </w:r>
      <w:r w:rsidR="00E25C35">
        <w:t>Results are presented for the 10 years of the analysis in current years (2014) dollar values.</w:t>
      </w:r>
    </w:p>
    <w:p w:rsidR="006D580E" w:rsidRDefault="00CE3BAC" w:rsidP="00DA6B3F">
      <w:pPr>
        <w:pStyle w:val="Caption"/>
      </w:pPr>
      <w:r>
        <w:t xml:space="preserve">Table 1: </w:t>
      </w:r>
      <w:r w:rsidR="006D580E">
        <w:t>Economic evaluation results (NPV @ 7% $</w:t>
      </w:r>
      <w:r w:rsidR="001A36AD">
        <w:t>m</w:t>
      </w:r>
      <w:r w:rsidR="006D580E">
        <w:t>2014)</w:t>
      </w:r>
    </w:p>
    <w:tbl>
      <w:tblPr>
        <w:tblW w:w="8320" w:type="dxa"/>
        <w:tblInd w:w="98"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tblPr>
      <w:tblGrid>
        <w:gridCol w:w="3838"/>
        <w:gridCol w:w="1494"/>
        <w:gridCol w:w="1494"/>
        <w:gridCol w:w="1494"/>
      </w:tblGrid>
      <w:tr w:rsidR="00710703" w:rsidRPr="00FC0367" w:rsidTr="00DA6B3F">
        <w:trPr>
          <w:trHeight w:val="283"/>
          <w:tblHeader/>
        </w:trPr>
        <w:tc>
          <w:tcPr>
            <w:tcW w:w="3838" w:type="dxa"/>
            <w:vMerge w:val="restart"/>
            <w:shd w:val="clear" w:color="000000" w:fill="1F497D"/>
            <w:hideMark/>
          </w:tcPr>
          <w:p w:rsidR="00710703" w:rsidRPr="00FC0367" w:rsidRDefault="00710703" w:rsidP="00FC0367">
            <w:pPr>
              <w:jc w:val="both"/>
              <w:rPr>
                <w:color w:val="000000"/>
                <w:sz w:val="20"/>
                <w:lang w:eastAsia="en-AU"/>
              </w:rPr>
            </w:pPr>
            <w:r w:rsidRPr="00FC0367">
              <w:rPr>
                <w:color w:val="000000"/>
                <w:sz w:val="20"/>
                <w:lang w:eastAsia="en-AU"/>
              </w:rPr>
              <w:t> </w:t>
            </w:r>
          </w:p>
        </w:tc>
        <w:tc>
          <w:tcPr>
            <w:tcW w:w="4482" w:type="dxa"/>
            <w:gridSpan w:val="3"/>
            <w:shd w:val="clear" w:color="000000" w:fill="1F497D"/>
            <w:vAlign w:val="center"/>
            <w:hideMark/>
          </w:tcPr>
          <w:p w:rsidR="00586D48" w:rsidRDefault="00710703">
            <w:pPr>
              <w:jc w:val="center"/>
              <w:rPr>
                <w:b/>
                <w:bCs/>
                <w:color w:val="FFFFFF" w:themeColor="background1"/>
                <w:sz w:val="20"/>
                <w:lang w:eastAsia="en-AU"/>
              </w:rPr>
            </w:pPr>
            <w:r>
              <w:rPr>
                <w:b/>
                <w:bCs/>
                <w:color w:val="FFFFFF" w:themeColor="background1"/>
                <w:sz w:val="20"/>
                <w:lang w:eastAsia="en-AU"/>
              </w:rPr>
              <w:t>PV$ million (2014</w:t>
            </w:r>
            <w:r w:rsidR="00BF5D90">
              <w:rPr>
                <w:b/>
                <w:bCs/>
                <w:color w:val="FFFFFF" w:themeColor="background1"/>
                <w:sz w:val="20"/>
                <w:lang w:eastAsia="en-AU"/>
              </w:rPr>
              <w:t xml:space="preserve"> - 2024</w:t>
            </w:r>
            <w:r>
              <w:rPr>
                <w:b/>
                <w:bCs/>
                <w:color w:val="FFFFFF" w:themeColor="background1"/>
                <w:sz w:val="20"/>
                <w:lang w:eastAsia="en-AU"/>
              </w:rPr>
              <w:t>)</w:t>
            </w:r>
          </w:p>
        </w:tc>
      </w:tr>
      <w:tr w:rsidR="00710703" w:rsidRPr="00FC0367" w:rsidTr="00DA6B3F">
        <w:trPr>
          <w:trHeight w:val="283"/>
          <w:tblHeader/>
        </w:trPr>
        <w:tc>
          <w:tcPr>
            <w:tcW w:w="3838" w:type="dxa"/>
            <w:vMerge/>
            <w:shd w:val="clear" w:color="000000" w:fill="1F497D"/>
            <w:hideMark/>
          </w:tcPr>
          <w:p w:rsidR="00710703" w:rsidRPr="00FC0367" w:rsidRDefault="00710703" w:rsidP="00FC0367">
            <w:pPr>
              <w:jc w:val="both"/>
              <w:rPr>
                <w:color w:val="000000"/>
                <w:sz w:val="20"/>
                <w:lang w:eastAsia="en-AU"/>
              </w:rPr>
            </w:pPr>
          </w:p>
        </w:tc>
        <w:tc>
          <w:tcPr>
            <w:tcW w:w="1494" w:type="dxa"/>
            <w:shd w:val="clear" w:color="000000" w:fill="1F497D"/>
            <w:vAlign w:val="center"/>
            <w:hideMark/>
          </w:tcPr>
          <w:p w:rsidR="00710703" w:rsidRPr="00FC0367" w:rsidRDefault="00710703" w:rsidP="00FC0367">
            <w:pPr>
              <w:jc w:val="right"/>
              <w:rPr>
                <w:b/>
                <w:bCs/>
                <w:color w:val="FFFFFF"/>
                <w:sz w:val="20"/>
                <w:lang w:eastAsia="en-AU"/>
              </w:rPr>
            </w:pPr>
            <w:r w:rsidRPr="00FC0367">
              <w:rPr>
                <w:b/>
                <w:bCs/>
                <w:color w:val="FFFFFF"/>
                <w:sz w:val="20"/>
                <w:lang w:eastAsia="en-AU"/>
              </w:rPr>
              <w:t>Option 1 – Voluntary Scheme</w:t>
            </w:r>
          </w:p>
        </w:tc>
        <w:tc>
          <w:tcPr>
            <w:tcW w:w="1494" w:type="dxa"/>
            <w:shd w:val="clear" w:color="000000" w:fill="1F497D"/>
            <w:vAlign w:val="center"/>
            <w:hideMark/>
          </w:tcPr>
          <w:p w:rsidR="00710703" w:rsidRPr="00FC0367" w:rsidRDefault="00710703" w:rsidP="00FC0367">
            <w:pPr>
              <w:jc w:val="right"/>
              <w:rPr>
                <w:b/>
                <w:bCs/>
                <w:color w:val="FFFFFF"/>
                <w:sz w:val="20"/>
                <w:lang w:eastAsia="en-AU"/>
              </w:rPr>
            </w:pPr>
            <w:r w:rsidRPr="00FC0367">
              <w:rPr>
                <w:b/>
                <w:bCs/>
                <w:color w:val="FFFFFF"/>
                <w:sz w:val="20"/>
                <w:lang w:eastAsia="en-AU"/>
              </w:rPr>
              <w:t>Option 2 – Co-Regulatory Approach</w:t>
            </w:r>
          </w:p>
        </w:tc>
        <w:tc>
          <w:tcPr>
            <w:tcW w:w="1494" w:type="dxa"/>
            <w:shd w:val="clear" w:color="000000" w:fill="1F497D"/>
            <w:vAlign w:val="center"/>
            <w:hideMark/>
          </w:tcPr>
          <w:p w:rsidR="00710703" w:rsidRPr="00FC0367" w:rsidRDefault="00710703" w:rsidP="00FC0367">
            <w:pPr>
              <w:jc w:val="right"/>
              <w:rPr>
                <w:b/>
                <w:bCs/>
                <w:color w:val="FFFFFF"/>
                <w:sz w:val="20"/>
                <w:lang w:eastAsia="en-AU"/>
              </w:rPr>
            </w:pPr>
            <w:r w:rsidRPr="00FC0367">
              <w:rPr>
                <w:b/>
                <w:bCs/>
                <w:color w:val="FFFFFF"/>
                <w:sz w:val="20"/>
                <w:lang w:eastAsia="en-AU"/>
              </w:rPr>
              <w:t>Option 3 – Mandatory Scheme</w:t>
            </w:r>
          </w:p>
        </w:tc>
      </w:tr>
      <w:tr w:rsidR="00FC0367" w:rsidRPr="00FC0367" w:rsidTr="00D9278A">
        <w:trPr>
          <w:trHeight w:val="283"/>
        </w:trPr>
        <w:tc>
          <w:tcPr>
            <w:tcW w:w="8320" w:type="dxa"/>
            <w:gridSpan w:val="4"/>
            <w:shd w:val="clear" w:color="000000" w:fill="C6D9F1"/>
            <w:vAlign w:val="center"/>
            <w:hideMark/>
          </w:tcPr>
          <w:p w:rsidR="00FC0367" w:rsidRPr="00FC0367" w:rsidRDefault="00FC0367" w:rsidP="00FC0367">
            <w:pPr>
              <w:rPr>
                <w:b/>
                <w:bCs/>
                <w:color w:val="000000"/>
                <w:sz w:val="20"/>
                <w:lang w:eastAsia="en-AU"/>
              </w:rPr>
            </w:pPr>
            <w:r w:rsidRPr="00FC0367">
              <w:rPr>
                <w:b/>
                <w:bCs/>
                <w:color w:val="000000"/>
                <w:sz w:val="20"/>
                <w:lang w:eastAsia="en-AU"/>
              </w:rPr>
              <w:t>Costs</w:t>
            </w:r>
          </w:p>
        </w:tc>
      </w:tr>
      <w:tr w:rsidR="00F04985" w:rsidRPr="00FC0367" w:rsidTr="00DA6B3F">
        <w:trPr>
          <w:trHeight w:val="283"/>
        </w:trPr>
        <w:tc>
          <w:tcPr>
            <w:tcW w:w="3838" w:type="dxa"/>
            <w:shd w:val="clear" w:color="auto" w:fill="auto"/>
            <w:vAlign w:val="center"/>
            <w:hideMark/>
          </w:tcPr>
          <w:p w:rsidR="00F04985" w:rsidRPr="00FC0367" w:rsidRDefault="00F04985" w:rsidP="00FC0367">
            <w:pPr>
              <w:rPr>
                <w:color w:val="000000"/>
                <w:sz w:val="20"/>
                <w:lang w:eastAsia="en-AU"/>
              </w:rPr>
            </w:pPr>
            <w:r w:rsidRPr="00FC0367">
              <w:rPr>
                <w:color w:val="000000"/>
                <w:sz w:val="20"/>
                <w:lang w:eastAsia="en-AU"/>
              </w:rPr>
              <w:t>Cost of regulatory compliance – government</w:t>
            </w:r>
          </w:p>
        </w:tc>
        <w:tc>
          <w:tcPr>
            <w:tcW w:w="1494" w:type="dxa"/>
            <w:shd w:val="clear" w:color="auto" w:fill="auto"/>
            <w:vAlign w:val="bottom"/>
            <w:hideMark/>
          </w:tcPr>
          <w:p w:rsidR="00F04985" w:rsidRPr="00710703" w:rsidRDefault="00F04985" w:rsidP="00FC0367">
            <w:pPr>
              <w:jc w:val="right"/>
              <w:rPr>
                <w:color w:val="000000"/>
                <w:sz w:val="20"/>
                <w:highlight w:val="yellow"/>
                <w:lang w:eastAsia="en-AU"/>
              </w:rPr>
            </w:pPr>
            <w:r>
              <w:rPr>
                <w:color w:val="000000"/>
                <w:sz w:val="20"/>
              </w:rPr>
              <w:t>$1.0</w:t>
            </w:r>
          </w:p>
        </w:tc>
        <w:tc>
          <w:tcPr>
            <w:tcW w:w="1494" w:type="dxa"/>
            <w:shd w:val="clear" w:color="auto" w:fill="auto"/>
            <w:vAlign w:val="bottom"/>
            <w:hideMark/>
          </w:tcPr>
          <w:p w:rsidR="00F04985" w:rsidRPr="00710703" w:rsidRDefault="00F04985" w:rsidP="00FC0367">
            <w:pPr>
              <w:jc w:val="right"/>
              <w:rPr>
                <w:color w:val="000000"/>
                <w:sz w:val="20"/>
                <w:highlight w:val="yellow"/>
                <w:lang w:eastAsia="en-AU"/>
              </w:rPr>
            </w:pPr>
            <w:r>
              <w:rPr>
                <w:color w:val="000000"/>
                <w:sz w:val="20"/>
              </w:rPr>
              <w:t>$14.9</w:t>
            </w:r>
          </w:p>
        </w:tc>
        <w:tc>
          <w:tcPr>
            <w:tcW w:w="1494" w:type="dxa"/>
            <w:shd w:val="clear" w:color="auto" w:fill="auto"/>
            <w:vAlign w:val="bottom"/>
            <w:hideMark/>
          </w:tcPr>
          <w:p w:rsidR="00F04985" w:rsidRPr="00710703" w:rsidRDefault="00F04985" w:rsidP="00FC0367">
            <w:pPr>
              <w:jc w:val="right"/>
              <w:rPr>
                <w:color w:val="000000"/>
                <w:sz w:val="20"/>
                <w:highlight w:val="yellow"/>
                <w:lang w:eastAsia="en-AU"/>
              </w:rPr>
            </w:pPr>
            <w:r>
              <w:rPr>
                <w:color w:val="000000"/>
                <w:sz w:val="20"/>
              </w:rPr>
              <w:t>$22.7</w:t>
            </w:r>
          </w:p>
        </w:tc>
      </w:tr>
      <w:tr w:rsidR="00F04985" w:rsidRPr="00FC0367" w:rsidTr="00DA6B3F">
        <w:trPr>
          <w:trHeight w:val="283"/>
        </w:trPr>
        <w:tc>
          <w:tcPr>
            <w:tcW w:w="3838" w:type="dxa"/>
            <w:shd w:val="clear" w:color="auto" w:fill="auto"/>
            <w:vAlign w:val="center"/>
            <w:hideMark/>
          </w:tcPr>
          <w:p w:rsidR="00F04985" w:rsidRPr="00FC0367" w:rsidRDefault="00F04985" w:rsidP="00FC0367">
            <w:pPr>
              <w:rPr>
                <w:color w:val="000000"/>
                <w:sz w:val="20"/>
                <w:lang w:eastAsia="en-AU"/>
              </w:rPr>
            </w:pPr>
            <w:r w:rsidRPr="00FC0367">
              <w:rPr>
                <w:color w:val="000000"/>
                <w:sz w:val="20"/>
                <w:lang w:eastAsia="en-AU"/>
              </w:rPr>
              <w:t>Cost of regulatory compliance – industry</w:t>
            </w:r>
          </w:p>
        </w:tc>
        <w:tc>
          <w:tcPr>
            <w:tcW w:w="1494" w:type="dxa"/>
            <w:shd w:val="clear" w:color="auto" w:fill="auto"/>
            <w:vAlign w:val="bottom"/>
            <w:hideMark/>
          </w:tcPr>
          <w:p w:rsidR="00F04985" w:rsidRPr="00710703" w:rsidRDefault="00F04985" w:rsidP="00FC0367">
            <w:pPr>
              <w:jc w:val="right"/>
              <w:rPr>
                <w:color w:val="000000"/>
                <w:sz w:val="20"/>
                <w:highlight w:val="yellow"/>
                <w:lang w:eastAsia="en-AU"/>
              </w:rPr>
            </w:pPr>
            <w:r>
              <w:rPr>
                <w:color w:val="000000"/>
                <w:sz w:val="20"/>
              </w:rPr>
              <w:t>$2.0</w:t>
            </w:r>
          </w:p>
        </w:tc>
        <w:tc>
          <w:tcPr>
            <w:tcW w:w="1494" w:type="dxa"/>
            <w:shd w:val="clear" w:color="auto" w:fill="auto"/>
            <w:vAlign w:val="bottom"/>
            <w:hideMark/>
          </w:tcPr>
          <w:p w:rsidR="00F04985" w:rsidRPr="00710703" w:rsidRDefault="00F04985" w:rsidP="00FC0367">
            <w:pPr>
              <w:jc w:val="right"/>
              <w:rPr>
                <w:color w:val="000000"/>
                <w:sz w:val="20"/>
                <w:highlight w:val="yellow"/>
                <w:lang w:eastAsia="en-AU"/>
              </w:rPr>
            </w:pPr>
            <w:r>
              <w:rPr>
                <w:color w:val="000000"/>
                <w:sz w:val="20"/>
              </w:rPr>
              <w:t>$4.4</w:t>
            </w:r>
          </w:p>
        </w:tc>
        <w:tc>
          <w:tcPr>
            <w:tcW w:w="1494" w:type="dxa"/>
            <w:shd w:val="clear" w:color="auto" w:fill="auto"/>
            <w:vAlign w:val="bottom"/>
            <w:hideMark/>
          </w:tcPr>
          <w:p w:rsidR="00F04985" w:rsidRPr="00710703" w:rsidRDefault="00F04985" w:rsidP="00FC0367">
            <w:pPr>
              <w:jc w:val="right"/>
              <w:rPr>
                <w:color w:val="000000"/>
                <w:sz w:val="20"/>
                <w:highlight w:val="yellow"/>
                <w:lang w:eastAsia="en-AU"/>
              </w:rPr>
            </w:pPr>
            <w:r>
              <w:rPr>
                <w:color w:val="000000"/>
                <w:sz w:val="20"/>
              </w:rPr>
              <w:t>$14.3</w:t>
            </w:r>
          </w:p>
        </w:tc>
      </w:tr>
      <w:tr w:rsidR="00F04985" w:rsidRPr="00FC0367" w:rsidTr="00DA6B3F">
        <w:trPr>
          <w:trHeight w:val="283"/>
        </w:trPr>
        <w:tc>
          <w:tcPr>
            <w:tcW w:w="3838" w:type="dxa"/>
            <w:shd w:val="clear" w:color="auto" w:fill="auto"/>
            <w:vAlign w:val="center"/>
            <w:hideMark/>
          </w:tcPr>
          <w:p w:rsidR="00F04985" w:rsidRPr="00FC0367" w:rsidRDefault="00F04985" w:rsidP="00FC0367">
            <w:pPr>
              <w:rPr>
                <w:color w:val="000000"/>
                <w:sz w:val="20"/>
                <w:lang w:eastAsia="en-AU"/>
              </w:rPr>
            </w:pPr>
            <w:r w:rsidRPr="00FC0367">
              <w:rPr>
                <w:color w:val="000000"/>
                <w:sz w:val="20"/>
                <w:lang w:eastAsia="en-AU"/>
              </w:rPr>
              <w:t>Retailer take back scheme</w:t>
            </w:r>
          </w:p>
        </w:tc>
        <w:tc>
          <w:tcPr>
            <w:tcW w:w="1494" w:type="dxa"/>
            <w:shd w:val="clear" w:color="auto" w:fill="auto"/>
            <w:vAlign w:val="bottom"/>
            <w:hideMark/>
          </w:tcPr>
          <w:p w:rsidR="00F04985" w:rsidRPr="00710703" w:rsidRDefault="00F04985" w:rsidP="00FC0367">
            <w:pPr>
              <w:jc w:val="right"/>
              <w:rPr>
                <w:color w:val="000000"/>
                <w:sz w:val="20"/>
                <w:highlight w:val="yellow"/>
                <w:lang w:eastAsia="en-AU"/>
              </w:rPr>
            </w:pPr>
            <w:r>
              <w:rPr>
                <w:color w:val="000000"/>
                <w:sz w:val="20"/>
              </w:rPr>
              <w:t>$14.8</w:t>
            </w:r>
          </w:p>
        </w:tc>
        <w:tc>
          <w:tcPr>
            <w:tcW w:w="1494" w:type="dxa"/>
            <w:shd w:val="clear" w:color="auto" w:fill="auto"/>
            <w:vAlign w:val="bottom"/>
            <w:hideMark/>
          </w:tcPr>
          <w:p w:rsidR="00F04985" w:rsidRPr="00710703" w:rsidRDefault="00F04985" w:rsidP="00FC0367">
            <w:pPr>
              <w:jc w:val="right"/>
              <w:rPr>
                <w:color w:val="000000"/>
                <w:sz w:val="20"/>
                <w:highlight w:val="yellow"/>
                <w:lang w:eastAsia="en-AU"/>
              </w:rPr>
            </w:pPr>
            <w:r>
              <w:rPr>
                <w:color w:val="000000"/>
                <w:sz w:val="20"/>
              </w:rPr>
              <w:t>$14.8</w:t>
            </w:r>
          </w:p>
        </w:tc>
        <w:tc>
          <w:tcPr>
            <w:tcW w:w="1494" w:type="dxa"/>
            <w:shd w:val="clear" w:color="auto" w:fill="auto"/>
            <w:vAlign w:val="bottom"/>
            <w:hideMark/>
          </w:tcPr>
          <w:p w:rsidR="00F04985" w:rsidRPr="00710703" w:rsidRDefault="00F04985" w:rsidP="00FC0367">
            <w:pPr>
              <w:jc w:val="right"/>
              <w:rPr>
                <w:color w:val="000000"/>
                <w:sz w:val="20"/>
                <w:highlight w:val="yellow"/>
                <w:lang w:eastAsia="en-AU"/>
              </w:rPr>
            </w:pPr>
            <w:r>
              <w:rPr>
                <w:color w:val="000000"/>
                <w:sz w:val="20"/>
              </w:rPr>
              <w:t>$118.3</w:t>
            </w:r>
          </w:p>
        </w:tc>
      </w:tr>
      <w:tr w:rsidR="00F04985" w:rsidRPr="00FC0367" w:rsidTr="00DA6B3F">
        <w:trPr>
          <w:trHeight w:val="283"/>
        </w:trPr>
        <w:tc>
          <w:tcPr>
            <w:tcW w:w="3838" w:type="dxa"/>
            <w:shd w:val="clear" w:color="auto" w:fill="auto"/>
            <w:vAlign w:val="center"/>
            <w:hideMark/>
          </w:tcPr>
          <w:p w:rsidR="00F04985" w:rsidRPr="00FC0367" w:rsidRDefault="00F04985" w:rsidP="00FC0367">
            <w:pPr>
              <w:rPr>
                <w:color w:val="000000"/>
                <w:sz w:val="20"/>
                <w:lang w:eastAsia="en-AU"/>
              </w:rPr>
            </w:pPr>
            <w:r w:rsidRPr="00FC0367">
              <w:rPr>
                <w:color w:val="000000"/>
                <w:sz w:val="20"/>
                <w:lang w:eastAsia="en-AU"/>
              </w:rPr>
              <w:t>Cost of disassembly</w:t>
            </w:r>
          </w:p>
        </w:tc>
        <w:tc>
          <w:tcPr>
            <w:tcW w:w="1494" w:type="dxa"/>
            <w:shd w:val="clear" w:color="auto" w:fill="auto"/>
            <w:vAlign w:val="bottom"/>
            <w:hideMark/>
          </w:tcPr>
          <w:p w:rsidR="00F04985" w:rsidRPr="00710703" w:rsidRDefault="00F04985" w:rsidP="00FC0367">
            <w:pPr>
              <w:jc w:val="right"/>
              <w:rPr>
                <w:color w:val="000000"/>
                <w:sz w:val="20"/>
                <w:highlight w:val="yellow"/>
                <w:lang w:eastAsia="en-AU"/>
              </w:rPr>
            </w:pPr>
            <w:r>
              <w:rPr>
                <w:color w:val="000000"/>
                <w:sz w:val="20"/>
              </w:rPr>
              <w:t>$21.1</w:t>
            </w:r>
          </w:p>
        </w:tc>
        <w:tc>
          <w:tcPr>
            <w:tcW w:w="1494" w:type="dxa"/>
            <w:shd w:val="clear" w:color="auto" w:fill="auto"/>
            <w:vAlign w:val="bottom"/>
            <w:hideMark/>
          </w:tcPr>
          <w:p w:rsidR="00F04985" w:rsidRPr="00710703" w:rsidRDefault="00F04985" w:rsidP="00FC0367">
            <w:pPr>
              <w:jc w:val="right"/>
              <w:rPr>
                <w:color w:val="000000"/>
                <w:sz w:val="20"/>
                <w:highlight w:val="yellow"/>
                <w:lang w:eastAsia="en-AU"/>
              </w:rPr>
            </w:pPr>
            <w:r>
              <w:rPr>
                <w:color w:val="000000"/>
                <w:sz w:val="20"/>
              </w:rPr>
              <w:t>$63.4</w:t>
            </w:r>
          </w:p>
        </w:tc>
        <w:tc>
          <w:tcPr>
            <w:tcW w:w="1494" w:type="dxa"/>
            <w:shd w:val="clear" w:color="auto" w:fill="auto"/>
            <w:vAlign w:val="bottom"/>
            <w:hideMark/>
          </w:tcPr>
          <w:p w:rsidR="00F04985" w:rsidRPr="00710703" w:rsidRDefault="00F04985" w:rsidP="00FC0367">
            <w:pPr>
              <w:jc w:val="right"/>
              <w:rPr>
                <w:color w:val="000000"/>
                <w:sz w:val="20"/>
                <w:highlight w:val="yellow"/>
                <w:lang w:eastAsia="en-AU"/>
              </w:rPr>
            </w:pPr>
            <w:r>
              <w:rPr>
                <w:color w:val="000000"/>
                <w:sz w:val="20"/>
              </w:rPr>
              <w:t>$170.5</w:t>
            </w:r>
          </w:p>
        </w:tc>
      </w:tr>
      <w:tr w:rsidR="00F04985" w:rsidRPr="00FC0367" w:rsidTr="00DA6B3F">
        <w:trPr>
          <w:trHeight w:val="283"/>
        </w:trPr>
        <w:tc>
          <w:tcPr>
            <w:tcW w:w="3838" w:type="dxa"/>
            <w:shd w:val="clear" w:color="auto" w:fill="auto"/>
            <w:vAlign w:val="center"/>
            <w:hideMark/>
          </w:tcPr>
          <w:p w:rsidR="00F04985" w:rsidRPr="00FC0367" w:rsidRDefault="00F04985" w:rsidP="00FC0367">
            <w:pPr>
              <w:rPr>
                <w:b/>
                <w:bCs/>
                <w:color w:val="000000"/>
                <w:sz w:val="20"/>
                <w:lang w:eastAsia="en-AU"/>
              </w:rPr>
            </w:pPr>
            <w:r w:rsidRPr="00FC0367">
              <w:rPr>
                <w:b/>
                <w:bCs/>
                <w:color w:val="000000"/>
                <w:sz w:val="20"/>
                <w:lang w:eastAsia="en-AU"/>
              </w:rPr>
              <w:t>Total Costs</w:t>
            </w:r>
          </w:p>
        </w:tc>
        <w:tc>
          <w:tcPr>
            <w:tcW w:w="1494" w:type="dxa"/>
            <w:shd w:val="clear" w:color="auto" w:fill="auto"/>
            <w:vAlign w:val="bottom"/>
            <w:hideMark/>
          </w:tcPr>
          <w:p w:rsidR="00F04985" w:rsidRPr="00710703" w:rsidRDefault="00F04985" w:rsidP="00FC0367">
            <w:pPr>
              <w:jc w:val="right"/>
              <w:rPr>
                <w:b/>
                <w:bCs/>
                <w:color w:val="000000"/>
                <w:sz w:val="20"/>
                <w:highlight w:val="yellow"/>
                <w:lang w:eastAsia="en-AU"/>
              </w:rPr>
            </w:pPr>
            <w:r>
              <w:rPr>
                <w:b/>
                <w:bCs/>
                <w:color w:val="000000"/>
                <w:sz w:val="20"/>
              </w:rPr>
              <w:t>$39.0</w:t>
            </w:r>
          </w:p>
        </w:tc>
        <w:tc>
          <w:tcPr>
            <w:tcW w:w="1494" w:type="dxa"/>
            <w:shd w:val="clear" w:color="auto" w:fill="auto"/>
            <w:vAlign w:val="bottom"/>
            <w:hideMark/>
          </w:tcPr>
          <w:p w:rsidR="00F04985" w:rsidRPr="00710703" w:rsidRDefault="00F04985" w:rsidP="00FC0367">
            <w:pPr>
              <w:jc w:val="right"/>
              <w:rPr>
                <w:b/>
                <w:bCs/>
                <w:color w:val="000000"/>
                <w:sz w:val="20"/>
                <w:highlight w:val="yellow"/>
                <w:lang w:eastAsia="en-AU"/>
              </w:rPr>
            </w:pPr>
            <w:r>
              <w:rPr>
                <w:b/>
                <w:bCs/>
                <w:color w:val="000000"/>
                <w:sz w:val="20"/>
              </w:rPr>
              <w:t>$97.6</w:t>
            </w:r>
          </w:p>
        </w:tc>
        <w:tc>
          <w:tcPr>
            <w:tcW w:w="1494" w:type="dxa"/>
            <w:shd w:val="clear" w:color="auto" w:fill="auto"/>
            <w:vAlign w:val="bottom"/>
            <w:hideMark/>
          </w:tcPr>
          <w:p w:rsidR="00F04985" w:rsidRPr="00710703" w:rsidRDefault="00F04985" w:rsidP="00FC0367">
            <w:pPr>
              <w:jc w:val="right"/>
              <w:rPr>
                <w:b/>
                <w:bCs/>
                <w:color w:val="000000"/>
                <w:sz w:val="20"/>
                <w:highlight w:val="yellow"/>
                <w:lang w:eastAsia="en-AU"/>
              </w:rPr>
            </w:pPr>
            <w:r>
              <w:rPr>
                <w:b/>
                <w:bCs/>
                <w:color w:val="000000"/>
                <w:sz w:val="20"/>
              </w:rPr>
              <w:t>$325.8</w:t>
            </w:r>
          </w:p>
        </w:tc>
      </w:tr>
      <w:tr w:rsidR="00FC0367" w:rsidRPr="00FC0367" w:rsidTr="00D9278A">
        <w:trPr>
          <w:trHeight w:val="283"/>
        </w:trPr>
        <w:tc>
          <w:tcPr>
            <w:tcW w:w="8320" w:type="dxa"/>
            <w:gridSpan w:val="4"/>
            <w:shd w:val="clear" w:color="000000" w:fill="C6D9F1"/>
            <w:hideMark/>
          </w:tcPr>
          <w:p w:rsidR="00FC0367" w:rsidRPr="00FC0367" w:rsidRDefault="00FC0367" w:rsidP="00FC0367">
            <w:pPr>
              <w:rPr>
                <w:b/>
                <w:bCs/>
                <w:color w:val="000000"/>
                <w:sz w:val="20"/>
                <w:lang w:eastAsia="en-AU"/>
              </w:rPr>
            </w:pPr>
            <w:r w:rsidRPr="00FC0367">
              <w:rPr>
                <w:b/>
                <w:bCs/>
                <w:color w:val="000000"/>
                <w:sz w:val="20"/>
                <w:lang w:eastAsia="en-AU"/>
              </w:rPr>
              <w:t>Benefits</w:t>
            </w:r>
          </w:p>
        </w:tc>
      </w:tr>
      <w:tr w:rsidR="00F04985" w:rsidRPr="00FC0367" w:rsidTr="00DA6B3F">
        <w:trPr>
          <w:trHeight w:val="283"/>
        </w:trPr>
        <w:tc>
          <w:tcPr>
            <w:tcW w:w="3838" w:type="dxa"/>
            <w:shd w:val="clear" w:color="auto" w:fill="auto"/>
            <w:vAlign w:val="center"/>
            <w:hideMark/>
          </w:tcPr>
          <w:p w:rsidR="00F04985" w:rsidRPr="00FC0367" w:rsidRDefault="00F04985" w:rsidP="00FC0367">
            <w:pPr>
              <w:rPr>
                <w:color w:val="000000"/>
                <w:sz w:val="20"/>
                <w:lang w:eastAsia="en-AU"/>
              </w:rPr>
            </w:pPr>
            <w:r w:rsidRPr="00FC0367">
              <w:rPr>
                <w:color w:val="000000"/>
                <w:sz w:val="20"/>
                <w:lang w:eastAsia="en-AU"/>
              </w:rPr>
              <w:t>Avoided landfill costs – waste management</w:t>
            </w:r>
          </w:p>
        </w:tc>
        <w:tc>
          <w:tcPr>
            <w:tcW w:w="1494" w:type="dxa"/>
            <w:shd w:val="clear" w:color="auto" w:fill="auto"/>
            <w:vAlign w:val="bottom"/>
            <w:hideMark/>
          </w:tcPr>
          <w:p w:rsidR="00F04985" w:rsidRPr="00710703" w:rsidRDefault="00F04985" w:rsidP="00FC0367">
            <w:pPr>
              <w:jc w:val="right"/>
              <w:rPr>
                <w:color w:val="000000"/>
                <w:sz w:val="20"/>
                <w:highlight w:val="yellow"/>
              </w:rPr>
            </w:pPr>
            <w:r>
              <w:rPr>
                <w:color w:val="000000"/>
                <w:sz w:val="20"/>
              </w:rPr>
              <w:t>$1.8</w:t>
            </w:r>
          </w:p>
        </w:tc>
        <w:tc>
          <w:tcPr>
            <w:tcW w:w="1494" w:type="dxa"/>
            <w:shd w:val="clear" w:color="auto" w:fill="auto"/>
            <w:vAlign w:val="bottom"/>
            <w:hideMark/>
          </w:tcPr>
          <w:p w:rsidR="00F04985" w:rsidRPr="00710703" w:rsidRDefault="00F04985" w:rsidP="00FC0367">
            <w:pPr>
              <w:jc w:val="right"/>
              <w:rPr>
                <w:color w:val="000000"/>
                <w:sz w:val="20"/>
                <w:highlight w:val="yellow"/>
              </w:rPr>
            </w:pPr>
            <w:r>
              <w:rPr>
                <w:color w:val="000000"/>
                <w:sz w:val="20"/>
              </w:rPr>
              <w:t>$3.5</w:t>
            </w:r>
          </w:p>
        </w:tc>
        <w:tc>
          <w:tcPr>
            <w:tcW w:w="1494" w:type="dxa"/>
            <w:shd w:val="clear" w:color="auto" w:fill="auto"/>
            <w:vAlign w:val="bottom"/>
            <w:hideMark/>
          </w:tcPr>
          <w:p w:rsidR="00F04985" w:rsidRPr="00710703" w:rsidRDefault="00F04985" w:rsidP="00FC0367">
            <w:pPr>
              <w:jc w:val="right"/>
              <w:rPr>
                <w:color w:val="000000"/>
                <w:sz w:val="20"/>
                <w:highlight w:val="yellow"/>
              </w:rPr>
            </w:pPr>
            <w:r>
              <w:rPr>
                <w:color w:val="000000"/>
                <w:sz w:val="20"/>
              </w:rPr>
              <w:t>$14.8</w:t>
            </w:r>
          </w:p>
        </w:tc>
      </w:tr>
      <w:tr w:rsidR="00F04985" w:rsidRPr="00FC0367" w:rsidTr="00DA6B3F">
        <w:trPr>
          <w:trHeight w:val="283"/>
        </w:trPr>
        <w:tc>
          <w:tcPr>
            <w:tcW w:w="3838" w:type="dxa"/>
            <w:shd w:val="clear" w:color="auto" w:fill="auto"/>
            <w:vAlign w:val="center"/>
            <w:hideMark/>
          </w:tcPr>
          <w:p w:rsidR="00F04985" w:rsidRPr="00FC0367" w:rsidRDefault="00F04985" w:rsidP="00FC0367">
            <w:pPr>
              <w:rPr>
                <w:color w:val="000000"/>
                <w:sz w:val="20"/>
                <w:lang w:eastAsia="en-AU"/>
              </w:rPr>
            </w:pPr>
            <w:r w:rsidRPr="00FC0367">
              <w:rPr>
                <w:color w:val="000000"/>
                <w:sz w:val="20"/>
                <w:lang w:eastAsia="en-AU"/>
              </w:rPr>
              <w:t>Avoided landfill costs – environmental</w:t>
            </w:r>
          </w:p>
        </w:tc>
        <w:tc>
          <w:tcPr>
            <w:tcW w:w="1494" w:type="dxa"/>
            <w:shd w:val="clear" w:color="auto" w:fill="auto"/>
            <w:vAlign w:val="bottom"/>
            <w:hideMark/>
          </w:tcPr>
          <w:p w:rsidR="00F04985" w:rsidRPr="00710703" w:rsidRDefault="00F04985" w:rsidP="00FC0367">
            <w:pPr>
              <w:jc w:val="right"/>
              <w:rPr>
                <w:color w:val="000000"/>
                <w:sz w:val="20"/>
                <w:highlight w:val="yellow"/>
              </w:rPr>
            </w:pPr>
            <w:r>
              <w:rPr>
                <w:color w:val="000000"/>
                <w:sz w:val="20"/>
              </w:rPr>
              <w:t>$0.4</w:t>
            </w:r>
          </w:p>
        </w:tc>
        <w:tc>
          <w:tcPr>
            <w:tcW w:w="1494" w:type="dxa"/>
            <w:shd w:val="clear" w:color="auto" w:fill="auto"/>
            <w:vAlign w:val="bottom"/>
            <w:hideMark/>
          </w:tcPr>
          <w:p w:rsidR="00F04985" w:rsidRPr="00710703" w:rsidRDefault="00F04985" w:rsidP="00FC0367">
            <w:pPr>
              <w:jc w:val="right"/>
              <w:rPr>
                <w:color w:val="000000"/>
                <w:sz w:val="20"/>
                <w:highlight w:val="yellow"/>
              </w:rPr>
            </w:pPr>
            <w:r>
              <w:rPr>
                <w:color w:val="000000"/>
                <w:sz w:val="20"/>
              </w:rPr>
              <w:t>$0.7</w:t>
            </w:r>
          </w:p>
        </w:tc>
        <w:tc>
          <w:tcPr>
            <w:tcW w:w="1494" w:type="dxa"/>
            <w:shd w:val="clear" w:color="auto" w:fill="auto"/>
            <w:vAlign w:val="bottom"/>
            <w:hideMark/>
          </w:tcPr>
          <w:p w:rsidR="00F04985" w:rsidRPr="00710703" w:rsidRDefault="00F04985" w:rsidP="00FC0367">
            <w:pPr>
              <w:jc w:val="right"/>
              <w:rPr>
                <w:color w:val="000000"/>
                <w:sz w:val="20"/>
                <w:highlight w:val="yellow"/>
              </w:rPr>
            </w:pPr>
            <w:r>
              <w:rPr>
                <w:color w:val="000000"/>
                <w:sz w:val="20"/>
              </w:rPr>
              <w:t>$3.0</w:t>
            </w:r>
          </w:p>
        </w:tc>
      </w:tr>
      <w:tr w:rsidR="00F04985" w:rsidRPr="00FC0367" w:rsidTr="00DA6B3F">
        <w:trPr>
          <w:trHeight w:val="283"/>
        </w:trPr>
        <w:tc>
          <w:tcPr>
            <w:tcW w:w="3838" w:type="dxa"/>
            <w:shd w:val="clear" w:color="auto" w:fill="auto"/>
            <w:vAlign w:val="center"/>
            <w:hideMark/>
          </w:tcPr>
          <w:p w:rsidR="00F04985" w:rsidRPr="00FC0367" w:rsidRDefault="00F04985" w:rsidP="00FC0367">
            <w:pPr>
              <w:rPr>
                <w:color w:val="000000"/>
                <w:sz w:val="20"/>
                <w:lang w:eastAsia="en-AU"/>
              </w:rPr>
            </w:pPr>
            <w:r w:rsidRPr="00FC0367">
              <w:rPr>
                <w:color w:val="000000"/>
                <w:sz w:val="20"/>
                <w:lang w:eastAsia="en-AU"/>
              </w:rPr>
              <w:t xml:space="preserve">Metal resource recovery </w:t>
            </w:r>
          </w:p>
        </w:tc>
        <w:tc>
          <w:tcPr>
            <w:tcW w:w="1494" w:type="dxa"/>
            <w:shd w:val="clear" w:color="auto" w:fill="auto"/>
            <w:vAlign w:val="bottom"/>
            <w:hideMark/>
          </w:tcPr>
          <w:p w:rsidR="00F04985" w:rsidRPr="00710703" w:rsidRDefault="00F04985" w:rsidP="00FC0367">
            <w:pPr>
              <w:jc w:val="right"/>
              <w:rPr>
                <w:color w:val="000000"/>
                <w:sz w:val="20"/>
                <w:highlight w:val="yellow"/>
              </w:rPr>
            </w:pPr>
            <w:r>
              <w:rPr>
                <w:color w:val="000000"/>
                <w:sz w:val="20"/>
              </w:rPr>
              <w:t>$0.0</w:t>
            </w:r>
          </w:p>
        </w:tc>
        <w:tc>
          <w:tcPr>
            <w:tcW w:w="1494" w:type="dxa"/>
            <w:shd w:val="clear" w:color="auto" w:fill="auto"/>
            <w:vAlign w:val="bottom"/>
            <w:hideMark/>
          </w:tcPr>
          <w:p w:rsidR="00F04985" w:rsidRPr="00710703" w:rsidRDefault="00F04985" w:rsidP="00FC0367">
            <w:pPr>
              <w:jc w:val="right"/>
              <w:rPr>
                <w:color w:val="000000"/>
                <w:sz w:val="20"/>
                <w:highlight w:val="yellow"/>
              </w:rPr>
            </w:pPr>
            <w:r>
              <w:rPr>
                <w:color w:val="000000"/>
                <w:sz w:val="20"/>
              </w:rPr>
              <w:t>$0.0</w:t>
            </w:r>
          </w:p>
        </w:tc>
        <w:tc>
          <w:tcPr>
            <w:tcW w:w="1494" w:type="dxa"/>
            <w:shd w:val="clear" w:color="auto" w:fill="auto"/>
            <w:vAlign w:val="bottom"/>
            <w:hideMark/>
          </w:tcPr>
          <w:p w:rsidR="00F04985" w:rsidRPr="00710703" w:rsidRDefault="00F04985" w:rsidP="00FC0367">
            <w:pPr>
              <w:jc w:val="right"/>
              <w:rPr>
                <w:color w:val="000000"/>
                <w:sz w:val="20"/>
                <w:highlight w:val="yellow"/>
              </w:rPr>
            </w:pPr>
            <w:r>
              <w:rPr>
                <w:color w:val="000000"/>
                <w:sz w:val="20"/>
              </w:rPr>
              <w:t>$30.6</w:t>
            </w:r>
          </w:p>
        </w:tc>
      </w:tr>
      <w:tr w:rsidR="00F04985" w:rsidRPr="00FC0367" w:rsidTr="00DA6B3F">
        <w:trPr>
          <w:trHeight w:val="283"/>
        </w:trPr>
        <w:tc>
          <w:tcPr>
            <w:tcW w:w="3838" w:type="dxa"/>
            <w:shd w:val="clear" w:color="auto" w:fill="auto"/>
            <w:vAlign w:val="center"/>
            <w:hideMark/>
          </w:tcPr>
          <w:p w:rsidR="00F04985" w:rsidRPr="00FC0367" w:rsidRDefault="00F04985" w:rsidP="00FC0367">
            <w:pPr>
              <w:rPr>
                <w:color w:val="000000"/>
                <w:sz w:val="20"/>
                <w:lang w:eastAsia="en-AU"/>
              </w:rPr>
            </w:pPr>
            <w:r w:rsidRPr="00FC0367">
              <w:rPr>
                <w:color w:val="000000"/>
                <w:sz w:val="20"/>
                <w:lang w:eastAsia="en-AU"/>
              </w:rPr>
              <w:t>Plastic resource recovery</w:t>
            </w:r>
          </w:p>
        </w:tc>
        <w:tc>
          <w:tcPr>
            <w:tcW w:w="1494" w:type="dxa"/>
            <w:shd w:val="clear" w:color="auto" w:fill="auto"/>
            <w:vAlign w:val="bottom"/>
            <w:hideMark/>
          </w:tcPr>
          <w:p w:rsidR="00F04985" w:rsidRPr="00710703" w:rsidRDefault="00F04985" w:rsidP="00FC0367">
            <w:pPr>
              <w:jc w:val="right"/>
              <w:rPr>
                <w:color w:val="000000"/>
                <w:sz w:val="20"/>
                <w:highlight w:val="yellow"/>
              </w:rPr>
            </w:pPr>
            <w:r>
              <w:rPr>
                <w:color w:val="000000"/>
                <w:sz w:val="20"/>
              </w:rPr>
              <w:t>$7.5</w:t>
            </w:r>
          </w:p>
        </w:tc>
        <w:tc>
          <w:tcPr>
            <w:tcW w:w="1494" w:type="dxa"/>
            <w:shd w:val="clear" w:color="auto" w:fill="auto"/>
            <w:vAlign w:val="bottom"/>
            <w:hideMark/>
          </w:tcPr>
          <w:p w:rsidR="00F04985" w:rsidRPr="00710703" w:rsidRDefault="00F04985" w:rsidP="00FC0367">
            <w:pPr>
              <w:jc w:val="right"/>
              <w:rPr>
                <w:color w:val="000000"/>
                <w:sz w:val="20"/>
                <w:highlight w:val="yellow"/>
              </w:rPr>
            </w:pPr>
            <w:r>
              <w:rPr>
                <w:color w:val="000000"/>
                <w:sz w:val="20"/>
              </w:rPr>
              <w:t>$22.6</w:t>
            </w:r>
          </w:p>
        </w:tc>
        <w:tc>
          <w:tcPr>
            <w:tcW w:w="1494" w:type="dxa"/>
            <w:shd w:val="clear" w:color="auto" w:fill="auto"/>
            <w:vAlign w:val="bottom"/>
            <w:hideMark/>
          </w:tcPr>
          <w:p w:rsidR="00F04985" w:rsidRPr="00710703" w:rsidRDefault="00F04985" w:rsidP="00FC0367">
            <w:pPr>
              <w:jc w:val="right"/>
              <w:rPr>
                <w:color w:val="000000"/>
                <w:sz w:val="20"/>
                <w:highlight w:val="yellow"/>
              </w:rPr>
            </w:pPr>
            <w:r>
              <w:rPr>
                <w:color w:val="000000"/>
                <w:sz w:val="20"/>
              </w:rPr>
              <w:t>$61.2</w:t>
            </w:r>
          </w:p>
        </w:tc>
      </w:tr>
      <w:tr w:rsidR="00F04985" w:rsidRPr="00FC0367" w:rsidTr="00DA6B3F">
        <w:trPr>
          <w:trHeight w:val="283"/>
        </w:trPr>
        <w:tc>
          <w:tcPr>
            <w:tcW w:w="3838" w:type="dxa"/>
            <w:shd w:val="clear" w:color="auto" w:fill="auto"/>
            <w:vAlign w:val="center"/>
            <w:hideMark/>
          </w:tcPr>
          <w:p w:rsidR="00F04985" w:rsidRPr="00FC0367" w:rsidRDefault="00F04985" w:rsidP="00FC0367">
            <w:pPr>
              <w:rPr>
                <w:color w:val="000000"/>
                <w:sz w:val="20"/>
                <w:lang w:eastAsia="en-AU"/>
              </w:rPr>
            </w:pPr>
            <w:r w:rsidRPr="00FC0367">
              <w:rPr>
                <w:color w:val="000000"/>
                <w:sz w:val="20"/>
                <w:lang w:eastAsia="en-AU"/>
              </w:rPr>
              <w:t>Refrigerant gas recovery (emissions reduction)</w:t>
            </w:r>
          </w:p>
        </w:tc>
        <w:tc>
          <w:tcPr>
            <w:tcW w:w="1494" w:type="dxa"/>
            <w:shd w:val="clear" w:color="auto" w:fill="auto"/>
            <w:vAlign w:val="bottom"/>
            <w:hideMark/>
          </w:tcPr>
          <w:p w:rsidR="00F04985" w:rsidRPr="00710703" w:rsidRDefault="00F04985" w:rsidP="00FC0367">
            <w:pPr>
              <w:jc w:val="right"/>
              <w:rPr>
                <w:color w:val="000000"/>
                <w:sz w:val="20"/>
                <w:highlight w:val="yellow"/>
              </w:rPr>
            </w:pPr>
            <w:r>
              <w:rPr>
                <w:color w:val="000000"/>
                <w:sz w:val="20"/>
              </w:rPr>
              <w:t>$1.3</w:t>
            </w:r>
          </w:p>
        </w:tc>
        <w:tc>
          <w:tcPr>
            <w:tcW w:w="1494" w:type="dxa"/>
            <w:shd w:val="clear" w:color="auto" w:fill="auto"/>
            <w:vAlign w:val="bottom"/>
            <w:hideMark/>
          </w:tcPr>
          <w:p w:rsidR="00F04985" w:rsidRPr="00710703" w:rsidRDefault="00F04985" w:rsidP="00FC0367">
            <w:pPr>
              <w:jc w:val="right"/>
              <w:rPr>
                <w:color w:val="000000"/>
                <w:sz w:val="20"/>
                <w:highlight w:val="yellow"/>
              </w:rPr>
            </w:pPr>
            <w:r>
              <w:rPr>
                <w:color w:val="000000"/>
                <w:sz w:val="20"/>
              </w:rPr>
              <w:t>$1.3</w:t>
            </w:r>
          </w:p>
        </w:tc>
        <w:tc>
          <w:tcPr>
            <w:tcW w:w="1494" w:type="dxa"/>
            <w:shd w:val="clear" w:color="auto" w:fill="auto"/>
            <w:vAlign w:val="bottom"/>
            <w:hideMark/>
          </w:tcPr>
          <w:p w:rsidR="00F04985" w:rsidRPr="00710703" w:rsidRDefault="00F04985" w:rsidP="00FC0367">
            <w:pPr>
              <w:jc w:val="right"/>
              <w:rPr>
                <w:color w:val="000000"/>
                <w:sz w:val="20"/>
                <w:highlight w:val="yellow"/>
              </w:rPr>
            </w:pPr>
            <w:r>
              <w:rPr>
                <w:color w:val="000000"/>
                <w:sz w:val="20"/>
              </w:rPr>
              <w:t>$9.1</w:t>
            </w:r>
          </w:p>
        </w:tc>
      </w:tr>
      <w:tr w:rsidR="00F04985" w:rsidRPr="00FC0367" w:rsidTr="00DA6B3F">
        <w:trPr>
          <w:trHeight w:val="283"/>
        </w:trPr>
        <w:tc>
          <w:tcPr>
            <w:tcW w:w="3838" w:type="dxa"/>
            <w:shd w:val="clear" w:color="auto" w:fill="auto"/>
            <w:vAlign w:val="center"/>
            <w:hideMark/>
          </w:tcPr>
          <w:p w:rsidR="00F04985" w:rsidRPr="00FC0367" w:rsidRDefault="00F04985" w:rsidP="00FC0367">
            <w:pPr>
              <w:rPr>
                <w:color w:val="000000"/>
                <w:sz w:val="20"/>
                <w:lang w:eastAsia="en-AU"/>
              </w:rPr>
            </w:pPr>
            <w:r>
              <w:rPr>
                <w:color w:val="000000"/>
                <w:sz w:val="20"/>
                <w:lang w:eastAsia="en-AU"/>
              </w:rPr>
              <w:t>Value of additional recycling</w:t>
            </w:r>
          </w:p>
        </w:tc>
        <w:tc>
          <w:tcPr>
            <w:tcW w:w="1494" w:type="dxa"/>
            <w:shd w:val="clear" w:color="auto" w:fill="auto"/>
            <w:vAlign w:val="bottom"/>
            <w:hideMark/>
          </w:tcPr>
          <w:p w:rsidR="00F04985" w:rsidRPr="004C7F41" w:rsidRDefault="00F04985" w:rsidP="00FC0367">
            <w:pPr>
              <w:jc w:val="right"/>
              <w:rPr>
                <w:color w:val="000000"/>
                <w:sz w:val="20"/>
                <w:highlight w:val="yellow"/>
              </w:rPr>
            </w:pPr>
            <w:r>
              <w:rPr>
                <w:color w:val="000000"/>
                <w:sz w:val="20"/>
              </w:rPr>
              <w:t>$0.6</w:t>
            </w:r>
          </w:p>
        </w:tc>
        <w:tc>
          <w:tcPr>
            <w:tcW w:w="1494" w:type="dxa"/>
            <w:shd w:val="clear" w:color="auto" w:fill="auto"/>
            <w:vAlign w:val="bottom"/>
            <w:hideMark/>
          </w:tcPr>
          <w:p w:rsidR="00F04985" w:rsidRPr="004C7F41" w:rsidRDefault="00F04985" w:rsidP="00FC0367">
            <w:pPr>
              <w:jc w:val="right"/>
              <w:rPr>
                <w:color w:val="000000"/>
                <w:sz w:val="20"/>
                <w:highlight w:val="yellow"/>
              </w:rPr>
            </w:pPr>
            <w:r>
              <w:rPr>
                <w:color w:val="000000"/>
                <w:sz w:val="20"/>
              </w:rPr>
              <w:t>$5.3</w:t>
            </w:r>
          </w:p>
        </w:tc>
        <w:tc>
          <w:tcPr>
            <w:tcW w:w="1494" w:type="dxa"/>
            <w:shd w:val="clear" w:color="auto" w:fill="auto"/>
            <w:vAlign w:val="bottom"/>
            <w:hideMark/>
          </w:tcPr>
          <w:p w:rsidR="00F04985" w:rsidRPr="004C7F41" w:rsidRDefault="00F04985" w:rsidP="00FC0367">
            <w:pPr>
              <w:jc w:val="right"/>
              <w:rPr>
                <w:color w:val="000000"/>
                <w:sz w:val="20"/>
                <w:highlight w:val="yellow"/>
              </w:rPr>
            </w:pPr>
            <w:r>
              <w:rPr>
                <w:color w:val="000000"/>
                <w:sz w:val="20"/>
              </w:rPr>
              <w:t>$52.0</w:t>
            </w:r>
          </w:p>
        </w:tc>
      </w:tr>
      <w:tr w:rsidR="00F04985" w:rsidRPr="00FC0367" w:rsidTr="00DA6B3F">
        <w:trPr>
          <w:trHeight w:val="283"/>
        </w:trPr>
        <w:tc>
          <w:tcPr>
            <w:tcW w:w="3838" w:type="dxa"/>
            <w:shd w:val="clear" w:color="auto" w:fill="auto"/>
            <w:vAlign w:val="center"/>
            <w:hideMark/>
          </w:tcPr>
          <w:p w:rsidR="00F04985" w:rsidRPr="00FC0367" w:rsidRDefault="00F04985" w:rsidP="00FC0367">
            <w:pPr>
              <w:rPr>
                <w:b/>
                <w:bCs/>
                <w:color w:val="000000"/>
                <w:sz w:val="20"/>
                <w:lang w:eastAsia="en-AU"/>
              </w:rPr>
            </w:pPr>
            <w:r w:rsidRPr="00FC0367">
              <w:rPr>
                <w:b/>
                <w:bCs/>
                <w:color w:val="000000"/>
                <w:sz w:val="20"/>
                <w:lang w:eastAsia="en-AU"/>
              </w:rPr>
              <w:t>Total Benefits</w:t>
            </w:r>
          </w:p>
        </w:tc>
        <w:tc>
          <w:tcPr>
            <w:tcW w:w="1494" w:type="dxa"/>
            <w:shd w:val="clear" w:color="auto" w:fill="auto"/>
            <w:vAlign w:val="bottom"/>
            <w:hideMark/>
          </w:tcPr>
          <w:p w:rsidR="00F04985" w:rsidRPr="00710703" w:rsidRDefault="00F04985" w:rsidP="00FC0367">
            <w:pPr>
              <w:jc w:val="right"/>
              <w:rPr>
                <w:b/>
                <w:bCs/>
                <w:color w:val="000000"/>
                <w:sz w:val="20"/>
                <w:highlight w:val="yellow"/>
              </w:rPr>
            </w:pPr>
            <w:r>
              <w:rPr>
                <w:b/>
                <w:bCs/>
                <w:color w:val="000000"/>
                <w:sz w:val="20"/>
              </w:rPr>
              <w:t>$11.5</w:t>
            </w:r>
          </w:p>
        </w:tc>
        <w:tc>
          <w:tcPr>
            <w:tcW w:w="1494" w:type="dxa"/>
            <w:shd w:val="clear" w:color="auto" w:fill="auto"/>
            <w:vAlign w:val="bottom"/>
            <w:hideMark/>
          </w:tcPr>
          <w:p w:rsidR="00F04985" w:rsidRPr="00710703" w:rsidRDefault="00F04985" w:rsidP="00FC0367">
            <w:pPr>
              <w:jc w:val="right"/>
              <w:rPr>
                <w:b/>
                <w:bCs/>
                <w:color w:val="000000"/>
                <w:sz w:val="20"/>
                <w:highlight w:val="yellow"/>
              </w:rPr>
            </w:pPr>
            <w:r>
              <w:rPr>
                <w:b/>
                <w:bCs/>
                <w:color w:val="000000"/>
                <w:sz w:val="20"/>
              </w:rPr>
              <w:t>$33.5</w:t>
            </w:r>
          </w:p>
        </w:tc>
        <w:tc>
          <w:tcPr>
            <w:tcW w:w="1494" w:type="dxa"/>
            <w:shd w:val="clear" w:color="auto" w:fill="auto"/>
            <w:vAlign w:val="bottom"/>
            <w:hideMark/>
          </w:tcPr>
          <w:p w:rsidR="00F04985" w:rsidRPr="00710703" w:rsidRDefault="00F04985" w:rsidP="00FC0367">
            <w:pPr>
              <w:jc w:val="right"/>
              <w:rPr>
                <w:b/>
                <w:bCs/>
                <w:color w:val="000000"/>
                <w:sz w:val="20"/>
                <w:highlight w:val="yellow"/>
              </w:rPr>
            </w:pPr>
            <w:r>
              <w:rPr>
                <w:b/>
                <w:bCs/>
                <w:color w:val="000000"/>
                <w:sz w:val="20"/>
              </w:rPr>
              <w:t>$170.6</w:t>
            </w:r>
          </w:p>
        </w:tc>
      </w:tr>
      <w:tr w:rsidR="00FC0367" w:rsidRPr="00FC0367" w:rsidTr="00D9278A">
        <w:trPr>
          <w:trHeight w:val="283"/>
        </w:trPr>
        <w:tc>
          <w:tcPr>
            <w:tcW w:w="8320" w:type="dxa"/>
            <w:gridSpan w:val="4"/>
            <w:shd w:val="clear" w:color="000000" w:fill="C6D9F1"/>
            <w:vAlign w:val="center"/>
            <w:hideMark/>
          </w:tcPr>
          <w:p w:rsidR="00FC0367" w:rsidRPr="009A60D0" w:rsidRDefault="00FC0367" w:rsidP="00FC0367">
            <w:pPr>
              <w:rPr>
                <w:b/>
                <w:bCs/>
                <w:color w:val="000000"/>
                <w:sz w:val="20"/>
                <w:vertAlign w:val="superscript"/>
                <w:lang w:eastAsia="en-AU"/>
              </w:rPr>
            </w:pPr>
            <w:r w:rsidRPr="00FC0367">
              <w:rPr>
                <w:b/>
                <w:bCs/>
                <w:color w:val="000000"/>
                <w:sz w:val="20"/>
                <w:lang w:eastAsia="en-AU"/>
              </w:rPr>
              <w:t>Summary </w:t>
            </w:r>
            <w:r w:rsidR="009A60D0">
              <w:rPr>
                <w:b/>
                <w:bCs/>
                <w:color w:val="000000"/>
                <w:sz w:val="20"/>
                <w:vertAlign w:val="superscript"/>
                <w:lang w:eastAsia="en-AU"/>
              </w:rPr>
              <w:t>a</w:t>
            </w:r>
          </w:p>
        </w:tc>
      </w:tr>
      <w:tr w:rsidR="00F04985" w:rsidRPr="00FC0367" w:rsidTr="00DA6B3F">
        <w:trPr>
          <w:trHeight w:val="283"/>
        </w:trPr>
        <w:tc>
          <w:tcPr>
            <w:tcW w:w="3838" w:type="dxa"/>
            <w:shd w:val="clear" w:color="auto" w:fill="auto"/>
            <w:vAlign w:val="center"/>
            <w:hideMark/>
          </w:tcPr>
          <w:p w:rsidR="00F04985" w:rsidRPr="00FC0367" w:rsidRDefault="00F04985" w:rsidP="00FC0367">
            <w:pPr>
              <w:rPr>
                <w:b/>
                <w:bCs/>
                <w:color w:val="000000"/>
                <w:sz w:val="20"/>
                <w:lang w:eastAsia="en-AU"/>
              </w:rPr>
            </w:pPr>
            <w:r w:rsidRPr="00FC0367">
              <w:rPr>
                <w:b/>
                <w:bCs/>
                <w:color w:val="000000"/>
                <w:sz w:val="20"/>
                <w:lang w:eastAsia="en-AU"/>
              </w:rPr>
              <w:t>NPV ($ million)</w:t>
            </w:r>
            <w:r>
              <w:rPr>
                <w:b/>
                <w:bCs/>
                <w:color w:val="000000"/>
                <w:sz w:val="20"/>
                <w:lang w:eastAsia="en-AU"/>
              </w:rPr>
              <w:t xml:space="preserve"> – with WTP</w:t>
            </w:r>
          </w:p>
        </w:tc>
        <w:tc>
          <w:tcPr>
            <w:tcW w:w="1494" w:type="dxa"/>
            <w:shd w:val="clear" w:color="auto" w:fill="auto"/>
            <w:vAlign w:val="bottom"/>
            <w:hideMark/>
          </w:tcPr>
          <w:p w:rsidR="00F04985" w:rsidRPr="00166214" w:rsidRDefault="00F04985" w:rsidP="00FC0367">
            <w:pPr>
              <w:jc w:val="right"/>
              <w:rPr>
                <w:sz w:val="20"/>
                <w:highlight w:val="yellow"/>
                <w:lang w:eastAsia="en-AU"/>
              </w:rPr>
            </w:pPr>
            <w:r w:rsidRPr="00166214">
              <w:rPr>
                <w:sz w:val="20"/>
              </w:rPr>
              <w:t>-$27.4</w:t>
            </w:r>
          </w:p>
        </w:tc>
        <w:tc>
          <w:tcPr>
            <w:tcW w:w="1494" w:type="dxa"/>
            <w:shd w:val="clear" w:color="auto" w:fill="auto"/>
            <w:vAlign w:val="bottom"/>
            <w:hideMark/>
          </w:tcPr>
          <w:p w:rsidR="00F04985" w:rsidRPr="00166214" w:rsidRDefault="00F04985" w:rsidP="00FC0367">
            <w:pPr>
              <w:jc w:val="right"/>
              <w:rPr>
                <w:sz w:val="20"/>
                <w:highlight w:val="yellow"/>
                <w:lang w:eastAsia="en-AU"/>
              </w:rPr>
            </w:pPr>
            <w:r w:rsidRPr="00166214">
              <w:rPr>
                <w:sz w:val="20"/>
              </w:rPr>
              <w:t>-$64.1</w:t>
            </w:r>
          </w:p>
        </w:tc>
        <w:tc>
          <w:tcPr>
            <w:tcW w:w="1494" w:type="dxa"/>
            <w:shd w:val="clear" w:color="auto" w:fill="auto"/>
            <w:vAlign w:val="bottom"/>
            <w:hideMark/>
          </w:tcPr>
          <w:p w:rsidR="00F04985" w:rsidRPr="00166214" w:rsidRDefault="00F04985" w:rsidP="00FC0367">
            <w:pPr>
              <w:jc w:val="right"/>
              <w:rPr>
                <w:sz w:val="20"/>
                <w:highlight w:val="yellow"/>
                <w:lang w:eastAsia="en-AU"/>
              </w:rPr>
            </w:pPr>
            <w:r w:rsidRPr="00166214">
              <w:rPr>
                <w:sz w:val="20"/>
              </w:rPr>
              <w:t>-$155.2</w:t>
            </w:r>
          </w:p>
        </w:tc>
      </w:tr>
      <w:tr w:rsidR="00F04985" w:rsidRPr="00FC0367" w:rsidTr="00DA6B3F">
        <w:trPr>
          <w:trHeight w:val="283"/>
        </w:trPr>
        <w:tc>
          <w:tcPr>
            <w:tcW w:w="3838" w:type="dxa"/>
            <w:shd w:val="clear" w:color="auto" w:fill="auto"/>
            <w:vAlign w:val="center"/>
            <w:hideMark/>
          </w:tcPr>
          <w:p w:rsidR="00F04985" w:rsidRPr="00FC0367" w:rsidRDefault="00F04985" w:rsidP="00FC0367">
            <w:pPr>
              <w:rPr>
                <w:b/>
                <w:bCs/>
                <w:color w:val="000000"/>
                <w:sz w:val="20"/>
                <w:lang w:eastAsia="en-AU"/>
              </w:rPr>
            </w:pPr>
            <w:r w:rsidRPr="00FC0367">
              <w:rPr>
                <w:b/>
                <w:bCs/>
                <w:color w:val="000000"/>
                <w:sz w:val="20"/>
                <w:lang w:eastAsia="en-AU"/>
              </w:rPr>
              <w:t>NPV ($ million)</w:t>
            </w:r>
            <w:r>
              <w:rPr>
                <w:b/>
                <w:bCs/>
                <w:color w:val="000000"/>
                <w:sz w:val="20"/>
                <w:lang w:eastAsia="en-AU"/>
              </w:rPr>
              <w:t xml:space="preserve"> – without WTP</w:t>
            </w:r>
          </w:p>
        </w:tc>
        <w:tc>
          <w:tcPr>
            <w:tcW w:w="1494" w:type="dxa"/>
            <w:shd w:val="clear" w:color="auto" w:fill="auto"/>
            <w:vAlign w:val="bottom"/>
            <w:hideMark/>
          </w:tcPr>
          <w:p w:rsidR="00F04985" w:rsidRPr="00166214" w:rsidRDefault="00F04985" w:rsidP="00FC0367">
            <w:pPr>
              <w:jc w:val="right"/>
              <w:rPr>
                <w:sz w:val="20"/>
                <w:highlight w:val="yellow"/>
                <w:lang w:eastAsia="en-AU"/>
              </w:rPr>
            </w:pPr>
            <w:r w:rsidRPr="00166214">
              <w:rPr>
                <w:sz w:val="20"/>
              </w:rPr>
              <w:t>-$28.0</w:t>
            </w:r>
          </w:p>
        </w:tc>
        <w:tc>
          <w:tcPr>
            <w:tcW w:w="1494" w:type="dxa"/>
            <w:shd w:val="clear" w:color="auto" w:fill="auto"/>
            <w:vAlign w:val="bottom"/>
            <w:hideMark/>
          </w:tcPr>
          <w:p w:rsidR="00F04985" w:rsidRPr="00166214" w:rsidRDefault="00F04985" w:rsidP="00FC0367">
            <w:pPr>
              <w:jc w:val="right"/>
              <w:rPr>
                <w:sz w:val="20"/>
                <w:highlight w:val="yellow"/>
                <w:lang w:eastAsia="en-AU"/>
              </w:rPr>
            </w:pPr>
            <w:r w:rsidRPr="00166214">
              <w:rPr>
                <w:sz w:val="20"/>
              </w:rPr>
              <w:t>-$69.4</w:t>
            </w:r>
          </w:p>
        </w:tc>
        <w:tc>
          <w:tcPr>
            <w:tcW w:w="1494" w:type="dxa"/>
            <w:shd w:val="clear" w:color="auto" w:fill="auto"/>
            <w:vAlign w:val="bottom"/>
            <w:hideMark/>
          </w:tcPr>
          <w:p w:rsidR="00F04985" w:rsidRPr="00166214" w:rsidRDefault="00F04985" w:rsidP="00FC0367">
            <w:pPr>
              <w:jc w:val="right"/>
              <w:rPr>
                <w:sz w:val="20"/>
                <w:highlight w:val="yellow"/>
                <w:lang w:eastAsia="en-AU"/>
              </w:rPr>
            </w:pPr>
            <w:r w:rsidRPr="00166214">
              <w:rPr>
                <w:sz w:val="20"/>
              </w:rPr>
              <w:t>-$207.2</w:t>
            </w:r>
          </w:p>
        </w:tc>
      </w:tr>
      <w:tr w:rsidR="00F04985" w:rsidRPr="00FC0367" w:rsidTr="00DA6B3F">
        <w:trPr>
          <w:trHeight w:val="283"/>
        </w:trPr>
        <w:tc>
          <w:tcPr>
            <w:tcW w:w="3838" w:type="dxa"/>
            <w:shd w:val="clear" w:color="auto" w:fill="auto"/>
            <w:vAlign w:val="center"/>
            <w:hideMark/>
          </w:tcPr>
          <w:p w:rsidR="00F04985" w:rsidRPr="00FC0367" w:rsidRDefault="00F04985" w:rsidP="00FC0367">
            <w:pPr>
              <w:rPr>
                <w:b/>
                <w:bCs/>
                <w:color w:val="000000"/>
                <w:sz w:val="20"/>
                <w:lang w:eastAsia="en-AU"/>
              </w:rPr>
            </w:pPr>
            <w:r w:rsidRPr="00FC0367">
              <w:rPr>
                <w:b/>
                <w:bCs/>
                <w:color w:val="000000"/>
                <w:sz w:val="20"/>
                <w:lang w:eastAsia="en-AU"/>
              </w:rPr>
              <w:t xml:space="preserve">BCR </w:t>
            </w:r>
            <w:r>
              <w:rPr>
                <w:b/>
                <w:bCs/>
                <w:color w:val="000000"/>
                <w:sz w:val="20"/>
                <w:lang w:eastAsia="en-AU"/>
              </w:rPr>
              <w:t>– with WTP</w:t>
            </w:r>
          </w:p>
        </w:tc>
        <w:tc>
          <w:tcPr>
            <w:tcW w:w="1494" w:type="dxa"/>
            <w:shd w:val="clear" w:color="auto" w:fill="auto"/>
            <w:vAlign w:val="bottom"/>
            <w:hideMark/>
          </w:tcPr>
          <w:p w:rsidR="00F04985" w:rsidRPr="00166214" w:rsidRDefault="00F04985" w:rsidP="00FC0367">
            <w:pPr>
              <w:jc w:val="right"/>
              <w:rPr>
                <w:sz w:val="20"/>
                <w:highlight w:val="yellow"/>
                <w:lang w:eastAsia="en-AU"/>
              </w:rPr>
            </w:pPr>
            <w:r w:rsidRPr="00166214">
              <w:rPr>
                <w:sz w:val="20"/>
              </w:rPr>
              <w:t>0.30</w:t>
            </w:r>
          </w:p>
        </w:tc>
        <w:tc>
          <w:tcPr>
            <w:tcW w:w="1494" w:type="dxa"/>
            <w:shd w:val="clear" w:color="auto" w:fill="auto"/>
            <w:vAlign w:val="bottom"/>
            <w:hideMark/>
          </w:tcPr>
          <w:p w:rsidR="00F04985" w:rsidRPr="00166214" w:rsidRDefault="00F04985" w:rsidP="00FC0367">
            <w:pPr>
              <w:jc w:val="right"/>
              <w:rPr>
                <w:sz w:val="20"/>
                <w:highlight w:val="yellow"/>
                <w:lang w:eastAsia="en-AU"/>
              </w:rPr>
            </w:pPr>
            <w:r w:rsidRPr="00166214">
              <w:rPr>
                <w:sz w:val="20"/>
              </w:rPr>
              <w:t>0.34</w:t>
            </w:r>
          </w:p>
        </w:tc>
        <w:tc>
          <w:tcPr>
            <w:tcW w:w="1494" w:type="dxa"/>
            <w:shd w:val="clear" w:color="auto" w:fill="auto"/>
            <w:vAlign w:val="bottom"/>
            <w:hideMark/>
          </w:tcPr>
          <w:p w:rsidR="00F04985" w:rsidRPr="00166214" w:rsidRDefault="00F04985" w:rsidP="00FC0367">
            <w:pPr>
              <w:jc w:val="right"/>
              <w:rPr>
                <w:sz w:val="20"/>
                <w:highlight w:val="yellow"/>
                <w:lang w:eastAsia="en-AU"/>
              </w:rPr>
            </w:pPr>
            <w:r w:rsidRPr="00166214">
              <w:rPr>
                <w:sz w:val="20"/>
              </w:rPr>
              <w:t>0.52</w:t>
            </w:r>
          </w:p>
        </w:tc>
      </w:tr>
      <w:tr w:rsidR="00F04985" w:rsidRPr="00FC0367" w:rsidTr="00DA6B3F">
        <w:trPr>
          <w:trHeight w:val="283"/>
        </w:trPr>
        <w:tc>
          <w:tcPr>
            <w:tcW w:w="3838" w:type="dxa"/>
            <w:shd w:val="clear" w:color="auto" w:fill="auto"/>
            <w:vAlign w:val="center"/>
            <w:hideMark/>
          </w:tcPr>
          <w:p w:rsidR="00F04985" w:rsidRPr="00FC0367" w:rsidRDefault="00F04985" w:rsidP="00FC0367">
            <w:pPr>
              <w:rPr>
                <w:b/>
                <w:bCs/>
                <w:color w:val="000000"/>
                <w:sz w:val="20"/>
                <w:lang w:eastAsia="en-AU"/>
              </w:rPr>
            </w:pPr>
            <w:r>
              <w:rPr>
                <w:b/>
                <w:bCs/>
                <w:color w:val="000000"/>
                <w:sz w:val="20"/>
                <w:lang w:eastAsia="en-AU"/>
              </w:rPr>
              <w:t>BCR – without WTP</w:t>
            </w:r>
          </w:p>
        </w:tc>
        <w:tc>
          <w:tcPr>
            <w:tcW w:w="1494" w:type="dxa"/>
            <w:shd w:val="clear" w:color="auto" w:fill="auto"/>
            <w:vAlign w:val="bottom"/>
            <w:hideMark/>
          </w:tcPr>
          <w:p w:rsidR="00F04985" w:rsidRPr="00166214" w:rsidRDefault="00F04985" w:rsidP="00FC0367">
            <w:pPr>
              <w:jc w:val="right"/>
              <w:rPr>
                <w:sz w:val="20"/>
                <w:highlight w:val="yellow"/>
                <w:lang w:eastAsia="en-AU"/>
              </w:rPr>
            </w:pPr>
            <w:r w:rsidRPr="00166214">
              <w:rPr>
                <w:sz w:val="20"/>
              </w:rPr>
              <w:t>0.28</w:t>
            </w:r>
          </w:p>
        </w:tc>
        <w:tc>
          <w:tcPr>
            <w:tcW w:w="1494" w:type="dxa"/>
            <w:shd w:val="clear" w:color="auto" w:fill="auto"/>
            <w:vAlign w:val="bottom"/>
            <w:hideMark/>
          </w:tcPr>
          <w:p w:rsidR="00F04985" w:rsidRPr="00166214" w:rsidRDefault="00F04985" w:rsidP="00FC0367">
            <w:pPr>
              <w:jc w:val="right"/>
              <w:rPr>
                <w:sz w:val="20"/>
                <w:highlight w:val="yellow"/>
                <w:lang w:eastAsia="en-AU"/>
              </w:rPr>
            </w:pPr>
            <w:r w:rsidRPr="00166214">
              <w:rPr>
                <w:sz w:val="20"/>
              </w:rPr>
              <w:t>0.29</w:t>
            </w:r>
          </w:p>
        </w:tc>
        <w:tc>
          <w:tcPr>
            <w:tcW w:w="1494" w:type="dxa"/>
            <w:shd w:val="clear" w:color="auto" w:fill="auto"/>
            <w:vAlign w:val="bottom"/>
            <w:hideMark/>
          </w:tcPr>
          <w:p w:rsidR="00F04985" w:rsidRPr="00166214" w:rsidRDefault="00F04985" w:rsidP="00FC0367">
            <w:pPr>
              <w:jc w:val="right"/>
              <w:rPr>
                <w:sz w:val="20"/>
                <w:highlight w:val="yellow"/>
                <w:lang w:eastAsia="en-AU"/>
              </w:rPr>
            </w:pPr>
            <w:r w:rsidRPr="00166214">
              <w:rPr>
                <w:sz w:val="20"/>
              </w:rPr>
              <w:t>0.36</w:t>
            </w:r>
          </w:p>
        </w:tc>
      </w:tr>
    </w:tbl>
    <w:p w:rsidR="009A60D0" w:rsidRPr="009A60D0" w:rsidRDefault="009A60D0" w:rsidP="00C00A3A">
      <w:pPr>
        <w:pStyle w:val="Source"/>
      </w:pPr>
      <w:proofErr w:type="gramStart"/>
      <w:r>
        <w:rPr>
          <w:vertAlign w:val="superscript"/>
        </w:rPr>
        <w:t>a</w:t>
      </w:r>
      <w:proofErr w:type="gramEnd"/>
      <w:r>
        <w:rPr>
          <w:vertAlign w:val="superscript"/>
        </w:rPr>
        <w:t xml:space="preserve"> </w:t>
      </w:r>
      <w:r>
        <w:rPr>
          <w:vertAlign w:val="superscript"/>
        </w:rPr>
        <w:tab/>
      </w:r>
      <w:r>
        <w:t xml:space="preserve">Results were presented with and without the willingness-to-pay (WTP) for additional recycling activity. This reflects the uncertainty associated with the WTP approach. </w:t>
      </w:r>
    </w:p>
    <w:p w:rsidR="006D580E" w:rsidRPr="00C00A3A" w:rsidRDefault="00C00A3A" w:rsidP="00C00A3A">
      <w:pPr>
        <w:pStyle w:val="Source"/>
      </w:pPr>
      <w:r w:rsidRPr="00C00A3A">
        <w:t xml:space="preserve">Source: </w:t>
      </w:r>
      <w:r w:rsidRPr="00C00A3A">
        <w:tab/>
      </w:r>
      <w:r>
        <w:t>KPMG analysis</w:t>
      </w:r>
    </w:p>
    <w:p w:rsidR="00CE3BAC" w:rsidRDefault="00CE3BAC" w:rsidP="00CE3BAC">
      <w:pPr>
        <w:pStyle w:val="BodyText"/>
      </w:pPr>
      <w:r>
        <w:t>Results are expressed in NPV terms of the 10 years of the analysis and include:</w:t>
      </w:r>
    </w:p>
    <w:p w:rsidR="00CE3BAC" w:rsidRPr="00B82153" w:rsidRDefault="00CE3BAC" w:rsidP="00CE3BAC">
      <w:pPr>
        <w:pStyle w:val="BulletText"/>
      </w:pPr>
      <w:r w:rsidRPr="00E10441">
        <w:t xml:space="preserve">The costs exceed the benefits under each option. The costs are largely driven by the costs of additional retailer take back and disassembly activity required </w:t>
      </w:r>
      <w:proofErr w:type="gramStart"/>
      <w:r w:rsidRPr="00E10441">
        <w:t>to achieve</w:t>
      </w:r>
      <w:proofErr w:type="gramEnd"/>
      <w:r w:rsidRPr="00E10441">
        <w:t xml:space="preserve"> the higher levels of material recovery under each option. These costs could potential</w:t>
      </w:r>
      <w:r>
        <w:t>ly</w:t>
      </w:r>
      <w:r w:rsidRPr="00E10441">
        <w:t xml:space="preserve"> be reduced through </w:t>
      </w:r>
      <w:r w:rsidRPr="00E10441">
        <w:lastRenderedPageBreak/>
        <w:t xml:space="preserve">economies of scale or through the establishment of a purpose specific third-party recovery scheme.  </w:t>
      </w:r>
    </w:p>
    <w:p w:rsidR="00DA6B3F" w:rsidRPr="00B82153" w:rsidRDefault="00DA6B3F" w:rsidP="00DA6B3F">
      <w:pPr>
        <w:pStyle w:val="BulletText"/>
      </w:pPr>
      <w:r w:rsidRPr="00E10441">
        <w:t xml:space="preserve">Under all options the costs are largely borne by industry and benefits flow to the community and the environment. </w:t>
      </w:r>
      <w:r>
        <w:t xml:space="preserve">Benefits also to industry through the value of materials recovered from RAC equipment including metals and plastics. </w:t>
      </w:r>
    </w:p>
    <w:p w:rsidR="00AE2473" w:rsidRDefault="00AE2473" w:rsidP="00AE2473">
      <w:pPr>
        <w:pStyle w:val="BulletText"/>
      </w:pPr>
      <w:r w:rsidRPr="00E10441">
        <w:t xml:space="preserve">The largest </w:t>
      </w:r>
      <w:proofErr w:type="gramStart"/>
      <w:r w:rsidRPr="00E10441">
        <w:t>source of benefit</w:t>
      </w:r>
      <w:r>
        <w:t>s</w:t>
      </w:r>
      <w:r w:rsidRPr="00E10441">
        <w:t xml:space="preserve"> under each option </w:t>
      </w:r>
      <w:r>
        <w:t>are</w:t>
      </w:r>
      <w:proofErr w:type="gramEnd"/>
      <w:r>
        <w:t xml:space="preserve"> </w:t>
      </w:r>
      <w:r w:rsidRPr="00E10441">
        <w:t xml:space="preserve">those associated with increasing recovery </w:t>
      </w:r>
      <w:r>
        <w:t xml:space="preserve">RAC equipment materials including metals and plastics. </w:t>
      </w:r>
      <w:r w:rsidRPr="00E10441">
        <w:t xml:space="preserve">The results of the analysis are highly sensitive to changes in </w:t>
      </w:r>
      <w:r>
        <w:t xml:space="preserve">unit value placed on recovery of metals, plastics and </w:t>
      </w:r>
      <w:r w:rsidRPr="00E10441">
        <w:t xml:space="preserve">refrigerant gas. </w:t>
      </w:r>
    </w:p>
    <w:p w:rsidR="00AE2473" w:rsidRDefault="00AE2473" w:rsidP="00AE2473">
      <w:pPr>
        <w:pStyle w:val="BulletText"/>
      </w:pPr>
      <w:r>
        <w:t>The BCR for the options are similar to those observed for the analysis of the costs and directly observable benefits of a national recycling scheme for televisions and computers</w:t>
      </w:r>
      <w:r>
        <w:rPr>
          <w:rStyle w:val="FootnoteReference"/>
        </w:rPr>
        <w:footnoteReference w:id="6"/>
      </w:r>
      <w:r>
        <w:t>.</w:t>
      </w:r>
    </w:p>
    <w:p w:rsidR="00602E93" w:rsidRDefault="00D9278A" w:rsidP="00602E93">
      <w:pPr>
        <w:pStyle w:val="BodyText"/>
      </w:pPr>
      <w:r>
        <w:t>A series of tests were undertaken to test the sensitivity of the results of the analysis.</w:t>
      </w:r>
      <w:r w:rsidR="00DA6B3F">
        <w:rPr>
          <w:color w:val="000000"/>
          <w:sz w:val="20"/>
          <w:lang w:eastAsia="en-AU"/>
        </w:rPr>
        <w:t xml:space="preserve"> </w:t>
      </w:r>
      <w:r w:rsidR="00DA6B3F">
        <w:t>F</w:t>
      </w:r>
      <w:r w:rsidR="00602E93">
        <w:t>indings of the sensitivity analysis include:</w:t>
      </w:r>
    </w:p>
    <w:p w:rsidR="00602E93" w:rsidRPr="00A028D0" w:rsidRDefault="00602E93" w:rsidP="00602E93">
      <w:pPr>
        <w:pStyle w:val="BulletText"/>
      </w:pPr>
      <w:r>
        <w:t>Lower</w:t>
      </w:r>
      <w:r w:rsidRPr="00A028D0">
        <w:t xml:space="preserve"> rates of participation and recovery</w:t>
      </w:r>
      <w:r>
        <w:t xml:space="preserve"> results in lower</w:t>
      </w:r>
      <w:r w:rsidRPr="00A028D0">
        <w:t xml:space="preserve"> costs under each option due to lower costs of regulatory compliance (lower levels of participation) and the reduction in recovery activities and associated costs of disassembly. The benefits under each option are also lower due to the lower level of recovery of plastics and refrigerant gas and higher level of landfill relative to the central assumptions. </w:t>
      </w:r>
    </w:p>
    <w:p w:rsidR="00767C4E" w:rsidRDefault="00602E93" w:rsidP="006E0E55">
      <w:pPr>
        <w:pStyle w:val="BulletText"/>
      </w:pPr>
      <w:r>
        <w:t>H</w:t>
      </w:r>
      <w:r w:rsidRPr="005367FB">
        <w:t>igher rate</w:t>
      </w:r>
      <w:r>
        <w:t>s of participation and recovery results in</w:t>
      </w:r>
      <w:r w:rsidRPr="005367FB">
        <w:t xml:space="preserve"> higher </w:t>
      </w:r>
      <w:r>
        <w:t xml:space="preserve">costs </w:t>
      </w:r>
      <w:r w:rsidRPr="005367FB">
        <w:t>than under the central assumptions due to higher costs of regulatory compliance (higher levels of participation) and a high</w:t>
      </w:r>
      <w:r>
        <w:t>er</w:t>
      </w:r>
      <w:r w:rsidRPr="005367FB">
        <w:t xml:space="preserve"> rate of recovery of materials and associated costs. The benefits under each option are also higher, in particular the higher recovery of plastics (lower landfill).</w:t>
      </w:r>
    </w:p>
    <w:p w:rsidR="00F268D2" w:rsidRDefault="00F268D2" w:rsidP="00013197">
      <w:pPr>
        <w:pStyle w:val="Heading3"/>
        <w:numPr>
          <w:ilvl w:val="0"/>
          <w:numId w:val="0"/>
        </w:numPr>
      </w:pPr>
      <w:r>
        <w:t>Next Steps</w:t>
      </w:r>
    </w:p>
    <w:p w:rsidR="00F268D2" w:rsidRDefault="00F268D2" w:rsidP="003843B7">
      <w:pPr>
        <w:pStyle w:val="BodyText"/>
      </w:pPr>
      <w:r>
        <w:t xml:space="preserve">The purpose of the CBA is to measure the economic, environmental and social costs and benefits of preliminary product stewardship options developed by </w:t>
      </w:r>
      <w:r w:rsidR="002C5ACB">
        <w:t>the RAC Industry Working Group</w:t>
      </w:r>
      <w:r w:rsidR="00A00B61">
        <w:t xml:space="preserve"> in consultation with the Department of the Environment</w:t>
      </w:r>
      <w:r>
        <w:t xml:space="preserve">. The analysis will be used to inform detailed option development including regulatory and non-regulatory factors. Following a </w:t>
      </w:r>
      <w:r w:rsidR="00B27C98">
        <w:t xml:space="preserve">government </w:t>
      </w:r>
      <w:r>
        <w:t>decision on whether to proceed with investigating product stewardship options, there are a number of steps required</w:t>
      </w:r>
      <w:r w:rsidR="002C5ACB">
        <w:t xml:space="preserve"> should the government decide to proceed</w:t>
      </w:r>
      <w:r>
        <w:t>:</w:t>
      </w:r>
    </w:p>
    <w:p w:rsidR="00F268D2" w:rsidRDefault="00F268D2" w:rsidP="00F268D2">
      <w:pPr>
        <w:pStyle w:val="BulletText"/>
      </w:pPr>
      <w:r>
        <w:t>identification of priority options and further development;</w:t>
      </w:r>
    </w:p>
    <w:p w:rsidR="00F268D2" w:rsidRDefault="00F268D2" w:rsidP="00F268D2">
      <w:pPr>
        <w:pStyle w:val="BulletText"/>
      </w:pPr>
      <w:r>
        <w:t>Regulatory Impact Statement of preferred option(s) and Government consideration;</w:t>
      </w:r>
    </w:p>
    <w:p w:rsidR="00F268D2" w:rsidRDefault="00F268D2" w:rsidP="00F268D2">
      <w:pPr>
        <w:pStyle w:val="BulletText"/>
      </w:pPr>
      <w:r>
        <w:t>identification of implications of options and mitigation strategies; and</w:t>
      </w:r>
    </w:p>
    <w:p w:rsidR="00DF2C71" w:rsidRPr="00291E00" w:rsidRDefault="00F268D2" w:rsidP="00DF2C71">
      <w:pPr>
        <w:pStyle w:val="BulletText"/>
        <w:rPr>
          <w:sz w:val="32"/>
        </w:rPr>
      </w:pPr>
      <w:proofErr w:type="gramStart"/>
      <w:r>
        <w:t>product</w:t>
      </w:r>
      <w:proofErr w:type="gramEnd"/>
      <w:r>
        <w:t xml:space="preserve"> stewardship implementation. </w:t>
      </w:r>
      <w:r w:rsidR="00DF2C71">
        <w:br w:type="page"/>
      </w:r>
    </w:p>
    <w:p w:rsidR="00DF2C71" w:rsidRDefault="00DF2C71">
      <w:pPr>
        <w:pStyle w:val="Heading1"/>
      </w:pPr>
      <w:bookmarkStart w:id="11" w:name="_Ref391388908"/>
      <w:bookmarkStart w:id="12" w:name="_Toc403647579"/>
      <w:r>
        <w:lastRenderedPageBreak/>
        <w:t>Introduction</w:t>
      </w:r>
      <w:bookmarkEnd w:id="11"/>
      <w:bookmarkEnd w:id="12"/>
    </w:p>
    <w:p w:rsidR="00FF6E35" w:rsidRDefault="00FF6E35" w:rsidP="00FF6E35">
      <w:pPr>
        <w:pStyle w:val="BodyText"/>
      </w:pPr>
      <w:r>
        <w:t>Product stewardship is an approach to managing the impacts of different products and materials.  It acknowledges that those involved in producing, selling, using, and disposing of products have a shared responsibility to ensure that those products or materials are managed in a way that reduces their impact on the environment, human health and safety through their lifecycle.</w:t>
      </w:r>
    </w:p>
    <w:p w:rsidR="00C71019" w:rsidRDefault="00C71019" w:rsidP="00DF2C71">
      <w:pPr>
        <w:pStyle w:val="BodyText"/>
      </w:pPr>
      <w:r>
        <w:t xml:space="preserve">The Department of </w:t>
      </w:r>
      <w:r w:rsidR="006F3822">
        <w:t xml:space="preserve">the </w:t>
      </w:r>
      <w:r>
        <w:t xml:space="preserve">Environment (the ‘Department’) </w:t>
      </w:r>
      <w:r w:rsidR="000E6BEE">
        <w:t xml:space="preserve">is currently exploring </w:t>
      </w:r>
      <w:r>
        <w:t xml:space="preserve">the feasibility of a product stewardship approach for end-of-life domestic refrigeration and air conditioning (RAC) equipment </w:t>
      </w:r>
      <w:r w:rsidR="000E6BEE">
        <w:t xml:space="preserve">across </w:t>
      </w:r>
      <w:r>
        <w:t>Australia.</w:t>
      </w:r>
      <w:r w:rsidR="00ED15E5">
        <w:t xml:space="preserve">  </w:t>
      </w:r>
      <w:r>
        <w:t>Domestic RAC equipment comprises:</w:t>
      </w:r>
    </w:p>
    <w:p w:rsidR="00C71019" w:rsidRDefault="006F3822" w:rsidP="00C00A3A">
      <w:pPr>
        <w:pStyle w:val="BulletText"/>
      </w:pPr>
      <w:r>
        <w:t>r</w:t>
      </w:r>
      <w:r w:rsidR="00C71019">
        <w:t>efrigerators (comprising upright refrigerators, bar refrigerators, and wine refrigerators)</w:t>
      </w:r>
      <w:r>
        <w:t>;</w:t>
      </w:r>
    </w:p>
    <w:p w:rsidR="00C71019" w:rsidRDefault="006F3822" w:rsidP="00C00A3A">
      <w:pPr>
        <w:pStyle w:val="BulletText"/>
      </w:pPr>
      <w:r>
        <w:t>f</w:t>
      </w:r>
      <w:r w:rsidR="00C71019">
        <w:t>reezers (comprising chest freezers, upright freezers, and bar freezers)</w:t>
      </w:r>
      <w:r>
        <w:t>; and</w:t>
      </w:r>
    </w:p>
    <w:p w:rsidR="00FF6E35" w:rsidRPr="005505BB" w:rsidRDefault="006F3822" w:rsidP="00FF6E35">
      <w:pPr>
        <w:pStyle w:val="BulletText"/>
      </w:pPr>
      <w:proofErr w:type="gramStart"/>
      <w:r>
        <w:t>a</w:t>
      </w:r>
      <w:r w:rsidR="00C71019">
        <w:t>ir</w:t>
      </w:r>
      <w:proofErr w:type="gramEnd"/>
      <w:r w:rsidR="00C71019">
        <w:t xml:space="preserve"> </w:t>
      </w:r>
      <w:r w:rsidR="00C71019" w:rsidRPr="005505BB">
        <w:t>conditioners (comprising portable home air conditioners, split air conditioners, window air conditioners, evaporative coolers, and ducted air conditioning systems)</w:t>
      </w:r>
      <w:r w:rsidR="00E25C35">
        <w:rPr>
          <w:rStyle w:val="FootnoteReference"/>
        </w:rPr>
        <w:footnoteReference w:id="7"/>
      </w:r>
      <w:r w:rsidR="00C71019" w:rsidRPr="005505BB">
        <w:t>.</w:t>
      </w:r>
    </w:p>
    <w:p w:rsidR="002612DA" w:rsidRDefault="00ED15E5">
      <w:pPr>
        <w:pStyle w:val="BodyText"/>
      </w:pPr>
      <w:r w:rsidRPr="005505BB">
        <w:t xml:space="preserve">To assist in exploring this approach, </w:t>
      </w:r>
      <w:r w:rsidR="00FF6E35" w:rsidRPr="005505BB">
        <w:t xml:space="preserve">RAC </w:t>
      </w:r>
      <w:r w:rsidR="00151903">
        <w:t>I</w:t>
      </w:r>
      <w:r w:rsidR="002F1BBE" w:rsidRPr="005505BB">
        <w:t xml:space="preserve">ndustry </w:t>
      </w:r>
      <w:r w:rsidR="00151903">
        <w:t>W</w:t>
      </w:r>
      <w:r w:rsidR="002F1BBE" w:rsidRPr="005505BB">
        <w:t xml:space="preserve">orking </w:t>
      </w:r>
      <w:r w:rsidR="00151903">
        <w:t>G</w:t>
      </w:r>
      <w:r w:rsidR="002F1BBE" w:rsidRPr="005505BB">
        <w:t>roup</w:t>
      </w:r>
      <w:r w:rsidR="00FF6E35" w:rsidRPr="005505BB">
        <w:t>,</w:t>
      </w:r>
      <w:r w:rsidR="005505BB" w:rsidRPr="005505BB">
        <w:t xml:space="preserve"> in consultation with the</w:t>
      </w:r>
      <w:r w:rsidR="00FF6E35" w:rsidRPr="005505BB">
        <w:t xml:space="preserve"> </w:t>
      </w:r>
      <w:r w:rsidR="005505BB" w:rsidRPr="005505BB">
        <w:t xml:space="preserve">Department of Environment, </w:t>
      </w:r>
      <w:r w:rsidR="00FF6E35" w:rsidRPr="005505BB">
        <w:t>has developed preliminary product stewardship options to underpin advice to the Commonwealth Government on the feasibility of further consideration of product stewardship.</w:t>
      </w:r>
      <w:r w:rsidR="00FF6E35">
        <w:t xml:space="preserve"> </w:t>
      </w:r>
      <w:r w:rsidR="00DF4A79">
        <w:t xml:space="preserve">These options </w:t>
      </w:r>
      <w:r w:rsidR="00151903">
        <w:t>have been tested</w:t>
      </w:r>
      <w:r w:rsidR="00DF4A79">
        <w:t xml:space="preserve"> on refrigerators, freezers and air conditioners that will reach end-of-life </w:t>
      </w:r>
      <w:r w:rsidR="00B9468C">
        <w:t>between 2014 and 2024.</w:t>
      </w:r>
    </w:p>
    <w:p w:rsidR="00C00A3A" w:rsidRDefault="00C00A3A" w:rsidP="00C00A3A">
      <w:pPr>
        <w:pStyle w:val="Heading2"/>
      </w:pPr>
      <w:bookmarkStart w:id="13" w:name="_Toc403647580"/>
      <w:r>
        <w:t>Objectives and Scope</w:t>
      </w:r>
      <w:bookmarkEnd w:id="13"/>
    </w:p>
    <w:p w:rsidR="00EE40A8" w:rsidRDefault="00D662FF" w:rsidP="00EE40A8">
      <w:pPr>
        <w:pStyle w:val="BodyText"/>
        <w:rPr>
          <w:rFonts w:eastAsia="SimSun"/>
          <w:lang w:eastAsia="en-AU"/>
        </w:rPr>
      </w:pPr>
      <w:r>
        <w:t>The Department has commissioned KPMG to undertake a</w:t>
      </w:r>
      <w:r w:rsidR="00A04B36">
        <w:t xml:space="preserve"> Cost Benefit Analysis (CBA) </w:t>
      </w:r>
      <w:r w:rsidR="006F3822">
        <w:t>of</w:t>
      </w:r>
      <w:r w:rsidR="00A04B36">
        <w:t xml:space="preserve"> </w:t>
      </w:r>
      <w:r w:rsidR="00F268D2">
        <w:t>three</w:t>
      </w:r>
      <w:r w:rsidR="00C71019">
        <w:t xml:space="preserve"> </w:t>
      </w:r>
      <w:r w:rsidR="00D322DF">
        <w:t xml:space="preserve">product stewardship </w:t>
      </w:r>
      <w:r w:rsidR="00A04B36">
        <w:t>options</w:t>
      </w:r>
      <w:r w:rsidR="00C71019">
        <w:t xml:space="preserve"> for domestic RAC equipment.  </w:t>
      </w:r>
    </w:p>
    <w:p w:rsidR="00D1554D" w:rsidRDefault="00D1554D" w:rsidP="00D1554D">
      <w:pPr>
        <w:pStyle w:val="BodyText"/>
      </w:pPr>
      <w:r>
        <w:t xml:space="preserve">CBA is an economic appraisal tool that enables the measurement of the economic, environmental and social costs and benefits associated with a government action or intervention. There are two main features </w:t>
      </w:r>
      <w:r w:rsidR="00FC0367">
        <w:t>of CBA</w:t>
      </w:r>
      <w:r>
        <w:t>, being:</w:t>
      </w:r>
    </w:p>
    <w:p w:rsidR="00D1554D" w:rsidRPr="00B73864" w:rsidRDefault="006F3822" w:rsidP="00D1554D">
      <w:pPr>
        <w:pStyle w:val="BulletText"/>
        <w:rPr>
          <w:lang w:eastAsia="ko-KR"/>
        </w:rPr>
      </w:pPr>
      <w:r>
        <w:rPr>
          <w:lang w:eastAsia="ko-KR"/>
        </w:rPr>
        <w:t>q</w:t>
      </w:r>
      <w:r w:rsidR="00D1554D" w:rsidRPr="00B73864">
        <w:rPr>
          <w:lang w:eastAsia="ko-KR"/>
        </w:rPr>
        <w:t>uantification of costs and benefits in monetary terms to enable comparison and qualitative assessment of factors/impacts th</w:t>
      </w:r>
      <w:r>
        <w:rPr>
          <w:lang w:eastAsia="ko-KR"/>
        </w:rPr>
        <w:t>at cannot be readily quantified; and</w:t>
      </w:r>
    </w:p>
    <w:p w:rsidR="00D1554D" w:rsidRDefault="006F3822" w:rsidP="00D1554D">
      <w:pPr>
        <w:pStyle w:val="BulletText"/>
        <w:rPr>
          <w:lang w:eastAsia="ko-KR"/>
        </w:rPr>
      </w:pPr>
      <w:proofErr w:type="gramStart"/>
      <w:r>
        <w:rPr>
          <w:lang w:eastAsia="ko-KR"/>
        </w:rPr>
        <w:t>c</w:t>
      </w:r>
      <w:r w:rsidR="00D1554D" w:rsidRPr="00B73864">
        <w:rPr>
          <w:lang w:eastAsia="ko-KR"/>
        </w:rPr>
        <w:t>osts</w:t>
      </w:r>
      <w:proofErr w:type="gramEnd"/>
      <w:r w:rsidR="00D1554D" w:rsidRPr="00B73864">
        <w:rPr>
          <w:lang w:eastAsia="ko-KR"/>
        </w:rPr>
        <w:t xml:space="preserve"> and benefits are considered in terms of the economy and society as a whole.</w:t>
      </w:r>
    </w:p>
    <w:p w:rsidR="00445FE6" w:rsidRDefault="00D1554D" w:rsidP="00D1554D">
      <w:pPr>
        <w:spacing w:before="120" w:after="120"/>
        <w:jc w:val="both"/>
        <w:rPr>
          <w:rFonts w:eastAsia="Batang"/>
          <w:color w:val="000000"/>
          <w:szCs w:val="22"/>
          <w:lang w:eastAsia="ko-KR"/>
        </w:rPr>
      </w:pPr>
      <w:r>
        <w:rPr>
          <w:rFonts w:eastAsia="Batang"/>
          <w:color w:val="000000"/>
          <w:szCs w:val="22"/>
          <w:lang w:eastAsia="ko-KR"/>
        </w:rPr>
        <w:t xml:space="preserve">The economic analysis </w:t>
      </w:r>
      <w:r w:rsidR="00E25C35">
        <w:rPr>
          <w:rFonts w:eastAsia="Batang"/>
          <w:color w:val="000000"/>
          <w:szCs w:val="22"/>
          <w:lang w:eastAsia="ko-KR"/>
        </w:rPr>
        <w:t>was</w:t>
      </w:r>
      <w:r>
        <w:rPr>
          <w:rFonts w:eastAsia="Batang"/>
          <w:color w:val="000000"/>
          <w:szCs w:val="22"/>
          <w:lang w:eastAsia="ko-KR"/>
        </w:rPr>
        <w:t xml:space="preserve"> undertaken in accordance with relevant government guidelines</w:t>
      </w:r>
      <w:r w:rsidR="00445FE6">
        <w:rPr>
          <w:rFonts w:eastAsia="Batang"/>
          <w:color w:val="000000"/>
          <w:szCs w:val="22"/>
          <w:lang w:eastAsia="ko-KR"/>
        </w:rPr>
        <w:t xml:space="preserve">, namely: </w:t>
      </w:r>
    </w:p>
    <w:p w:rsidR="00445FE6" w:rsidRPr="00D1554D" w:rsidRDefault="00445FE6" w:rsidP="00445FE6">
      <w:pPr>
        <w:pStyle w:val="BulletText"/>
        <w:rPr>
          <w:i/>
        </w:rPr>
      </w:pPr>
      <w:r w:rsidRPr="00D1554D">
        <w:t xml:space="preserve">Guidelines for regulatory impact analysis published by the Office of Best Practice Regulation (OBPR), </w:t>
      </w:r>
      <w:r w:rsidRPr="00D1554D">
        <w:rPr>
          <w:i/>
        </w:rPr>
        <w:t>The Australian Government Guide to Regulation</w:t>
      </w:r>
      <w:r w:rsidR="00ED15E5">
        <w:rPr>
          <w:i/>
        </w:rPr>
        <w:t>;</w:t>
      </w:r>
    </w:p>
    <w:p w:rsidR="00445FE6" w:rsidRPr="00D1554D" w:rsidRDefault="00445FE6" w:rsidP="00445FE6">
      <w:pPr>
        <w:pStyle w:val="BulletText"/>
      </w:pPr>
      <w:r w:rsidRPr="00D1554D">
        <w:t>The modified Business Cost Calculator (BCC) that calculates the compliance costs of regulatory proposals, administered by OBPR</w:t>
      </w:r>
      <w:r w:rsidR="00ED15E5">
        <w:t>; and</w:t>
      </w:r>
    </w:p>
    <w:p w:rsidR="00D1554D" w:rsidRPr="00445FE6" w:rsidRDefault="00445FE6" w:rsidP="00445FE6">
      <w:pPr>
        <w:pStyle w:val="BulletText"/>
        <w:rPr>
          <w:rFonts w:eastAsia="SimSun"/>
          <w:lang w:eastAsia="en-AU"/>
        </w:rPr>
      </w:pPr>
      <w:r w:rsidRPr="00D1554D">
        <w:t xml:space="preserve">Commonwealth of Australia, </w:t>
      </w:r>
      <w:r w:rsidRPr="00445FE6">
        <w:rPr>
          <w:i/>
        </w:rPr>
        <w:t xml:space="preserve">Handbook of Cost Benefit Analysis, </w:t>
      </w:r>
      <w:r w:rsidRPr="00D1554D">
        <w:t xml:space="preserve">January 2006. </w:t>
      </w:r>
    </w:p>
    <w:p w:rsidR="00C00A3A" w:rsidRDefault="00C00A3A" w:rsidP="00FC0367">
      <w:pPr>
        <w:pStyle w:val="Heading2"/>
      </w:pPr>
      <w:bookmarkStart w:id="14" w:name="_Toc403647581"/>
      <w:r>
        <w:lastRenderedPageBreak/>
        <w:t>Report Structure</w:t>
      </w:r>
      <w:bookmarkEnd w:id="14"/>
    </w:p>
    <w:p w:rsidR="00C00A3A" w:rsidRDefault="00C00A3A" w:rsidP="00FC0367">
      <w:pPr>
        <w:pStyle w:val="BodyText"/>
        <w:keepNext/>
      </w:pPr>
      <w:r>
        <w:t>The remainder of the report is structured as follows:</w:t>
      </w:r>
    </w:p>
    <w:p w:rsidR="00E312DA" w:rsidRDefault="00E312DA" w:rsidP="00C00A3A">
      <w:pPr>
        <w:pStyle w:val="BulletText"/>
      </w:pPr>
      <w:r>
        <w:t>Section 2 provides background on the Department</w:t>
      </w:r>
      <w:r w:rsidR="002C5ACB">
        <w:t>’</w:t>
      </w:r>
      <w:r>
        <w:t>s investigation of the feasibility of product stewardship options;</w:t>
      </w:r>
    </w:p>
    <w:p w:rsidR="00C00A3A" w:rsidRDefault="00C00A3A" w:rsidP="00C00A3A">
      <w:pPr>
        <w:pStyle w:val="BulletText"/>
      </w:pPr>
      <w:r>
        <w:t xml:space="preserve">Section </w:t>
      </w:r>
      <w:r w:rsidR="00E312DA">
        <w:t>3</w:t>
      </w:r>
      <w:r>
        <w:t xml:space="preserve"> descri</w:t>
      </w:r>
      <w:r w:rsidR="00EE40A8">
        <w:t>be</w:t>
      </w:r>
      <w:r>
        <w:t>s our approach to undertaking the CBA</w:t>
      </w:r>
      <w:r w:rsidR="00EE40A8">
        <w:t xml:space="preserve"> and defines the options for analysis</w:t>
      </w:r>
      <w:r>
        <w:t>;</w:t>
      </w:r>
    </w:p>
    <w:p w:rsidR="00C00A3A" w:rsidRDefault="00C00A3A" w:rsidP="00C00A3A">
      <w:pPr>
        <w:pStyle w:val="BulletText"/>
      </w:pPr>
      <w:r>
        <w:t xml:space="preserve">Section </w:t>
      </w:r>
      <w:r w:rsidR="00E312DA">
        <w:t>4</w:t>
      </w:r>
      <w:r>
        <w:t xml:space="preserve"> identifies the costs and benefits of each option and quantification of these costs and benefits;</w:t>
      </w:r>
    </w:p>
    <w:p w:rsidR="00C00A3A" w:rsidRDefault="00E312DA" w:rsidP="00C00A3A">
      <w:pPr>
        <w:pStyle w:val="BulletText"/>
      </w:pPr>
      <w:r>
        <w:t>Section 5</w:t>
      </w:r>
      <w:r w:rsidR="00C00A3A">
        <w:t xml:space="preserve"> outlines the findings of the analysis; and</w:t>
      </w:r>
    </w:p>
    <w:p w:rsidR="0004302E" w:rsidRPr="0004302E" w:rsidRDefault="00E312DA" w:rsidP="00DF2C71">
      <w:pPr>
        <w:pStyle w:val="BulletText"/>
        <w:rPr>
          <w:sz w:val="32"/>
        </w:rPr>
      </w:pPr>
      <w:r>
        <w:t>Section 6</w:t>
      </w:r>
      <w:r w:rsidR="00C00A3A">
        <w:t xml:space="preserve"> provides a summary of findings and outlines potential next steps. </w:t>
      </w:r>
    </w:p>
    <w:p w:rsidR="00DF2C71" w:rsidRPr="00445FE6" w:rsidRDefault="00DF2C71" w:rsidP="0004302E">
      <w:pPr>
        <w:pStyle w:val="BulletText"/>
        <w:numPr>
          <w:ilvl w:val="0"/>
          <w:numId w:val="0"/>
        </w:numPr>
        <w:ind w:left="360" w:hanging="360"/>
        <w:rPr>
          <w:sz w:val="32"/>
        </w:rPr>
      </w:pPr>
      <w:r>
        <w:br w:type="page"/>
      </w:r>
    </w:p>
    <w:p w:rsidR="00785E11" w:rsidRDefault="00785E11" w:rsidP="00DF2C71">
      <w:pPr>
        <w:pStyle w:val="Heading1"/>
      </w:pPr>
      <w:bookmarkStart w:id="15" w:name="_Toc403647582"/>
      <w:r>
        <w:lastRenderedPageBreak/>
        <w:t>Background</w:t>
      </w:r>
      <w:bookmarkEnd w:id="15"/>
    </w:p>
    <w:p w:rsidR="00151903" w:rsidRDefault="00F268D2" w:rsidP="001304E4">
      <w:pPr>
        <w:pStyle w:val="BodyText"/>
      </w:pPr>
      <w:r>
        <w:t>Domestic RAC equipment includes refrigerators, freezers and air conditioners with small refrigerant charges. Domestic RAC equipment can contain a range of materials including refrigerants, ferrous metals, non-ferrous metals, plastic, rubber, glass, oil and other materials. Australia currently has a national product stewardship scheme for management and disposal of refrigerant gases. This scheme is run by Refrigerant Reclaim Australia</w:t>
      </w:r>
      <w:r w:rsidR="00107146">
        <w:t xml:space="preserve"> (RRA)</w:t>
      </w:r>
      <w:r>
        <w:t xml:space="preserve">. The Department is investigating the feasibility of a product stewardship approach to manage the whole </w:t>
      </w:r>
      <w:r w:rsidR="00107146">
        <w:t xml:space="preserve">RAC equipment </w:t>
      </w:r>
      <w:r>
        <w:t xml:space="preserve">product at end-of-life including all materials such as any metals, plastics and </w:t>
      </w:r>
      <w:r w:rsidR="006A05B4">
        <w:t>refrigerant gases</w:t>
      </w:r>
      <w:r>
        <w:t xml:space="preserve">. </w:t>
      </w:r>
      <w:r w:rsidR="00E25C35">
        <w:t>In addition, t</w:t>
      </w:r>
      <w:r w:rsidR="00BF5D90">
        <w:t>he Department is undertaking a separate review of the Ozone Acts. The purpose of the Ozone Act review is to:</w:t>
      </w:r>
    </w:p>
    <w:p w:rsidR="005201D9" w:rsidRDefault="00BF5D90" w:rsidP="007748FF">
      <w:pPr>
        <w:pStyle w:val="BulletText"/>
      </w:pPr>
      <w:r>
        <w:t>identify opportunities to improve and streamline the operation of the Ozone Acts including reducing regulatory compliance costs for business and the community; and</w:t>
      </w:r>
    </w:p>
    <w:p w:rsidR="005201D9" w:rsidRDefault="00BF5D90" w:rsidP="007748FF">
      <w:pPr>
        <w:pStyle w:val="BulletText"/>
      </w:pPr>
      <w:proofErr w:type="gramStart"/>
      <w:r>
        <w:t>identify</w:t>
      </w:r>
      <w:proofErr w:type="gramEnd"/>
      <w:r>
        <w:t xml:space="preserve"> opportunities to reduce emissions of ozone depleting substances and synthetic greenhouse gases in line with international efforts.</w:t>
      </w:r>
    </w:p>
    <w:p w:rsidR="00F268D2" w:rsidRDefault="00F268D2" w:rsidP="00F268D2">
      <w:pPr>
        <w:pStyle w:val="BodyText"/>
        <w:rPr>
          <w:rFonts w:eastAsia="SimSun"/>
          <w:lang w:eastAsia="en-AU"/>
        </w:rPr>
      </w:pPr>
      <w:r>
        <w:rPr>
          <w:rFonts w:eastAsia="SimSun"/>
          <w:lang w:eastAsia="en-AU"/>
        </w:rPr>
        <w:t xml:space="preserve">As illustrated in </w:t>
      </w:r>
      <w:r w:rsidR="00586F30">
        <w:rPr>
          <w:rFonts w:eastAsia="SimSun"/>
          <w:lang w:eastAsia="en-AU"/>
        </w:rPr>
        <w:fldChar w:fldCharType="begin"/>
      </w:r>
      <w:r>
        <w:rPr>
          <w:rFonts w:eastAsia="SimSun"/>
          <w:lang w:eastAsia="en-AU"/>
        </w:rPr>
        <w:instrText xml:space="preserve"> REF _Ref391367935 \h </w:instrText>
      </w:r>
      <w:r w:rsidR="00586F30">
        <w:rPr>
          <w:rFonts w:eastAsia="SimSun"/>
          <w:lang w:eastAsia="en-AU"/>
        </w:rPr>
      </w:r>
      <w:r w:rsidR="00586F30">
        <w:rPr>
          <w:rFonts w:eastAsia="SimSun"/>
          <w:lang w:eastAsia="en-AU"/>
        </w:rPr>
        <w:fldChar w:fldCharType="separate"/>
      </w:r>
      <w:r w:rsidR="001E5D7A">
        <w:t xml:space="preserve">Figure </w:t>
      </w:r>
      <w:r w:rsidR="001E5D7A">
        <w:rPr>
          <w:noProof/>
        </w:rPr>
        <w:t>2</w:t>
      </w:r>
      <w:r w:rsidR="001E5D7A">
        <w:noBreakHyphen/>
      </w:r>
      <w:r w:rsidR="001E5D7A">
        <w:rPr>
          <w:noProof/>
        </w:rPr>
        <w:t>1</w:t>
      </w:r>
      <w:r w:rsidR="00586F30">
        <w:rPr>
          <w:rFonts w:eastAsia="SimSun"/>
          <w:lang w:eastAsia="en-AU"/>
        </w:rPr>
        <w:fldChar w:fldCharType="end"/>
      </w:r>
      <w:r>
        <w:rPr>
          <w:rFonts w:eastAsia="SimSun"/>
          <w:lang w:eastAsia="en-AU"/>
        </w:rPr>
        <w:t xml:space="preserve"> and described below, the CBA forms part of a broader process of considering options and implications of product stewardship for domestic RAC equipment.</w:t>
      </w:r>
    </w:p>
    <w:p w:rsidR="00F268D2" w:rsidRPr="00253F89" w:rsidRDefault="00F268D2" w:rsidP="00F268D2">
      <w:pPr>
        <w:pStyle w:val="Caption"/>
      </w:pPr>
      <w:bookmarkStart w:id="16" w:name="_Ref391367935"/>
      <w:r>
        <w:t xml:space="preserve">Figure </w:t>
      </w:r>
      <w:r w:rsidR="00586F30">
        <w:fldChar w:fldCharType="begin"/>
      </w:r>
      <w:r w:rsidR="00341287">
        <w:instrText xml:space="preserve"> STYLEREF 1 \s </w:instrText>
      </w:r>
      <w:r w:rsidR="00586F30">
        <w:fldChar w:fldCharType="separate"/>
      </w:r>
      <w:r w:rsidR="001E5D7A">
        <w:rPr>
          <w:noProof/>
        </w:rPr>
        <w:t>2</w:t>
      </w:r>
      <w:r w:rsidR="00586F30">
        <w:fldChar w:fldCharType="end"/>
      </w:r>
      <w:r w:rsidR="00341287">
        <w:noBreakHyphen/>
      </w:r>
      <w:r w:rsidR="00586F30">
        <w:fldChar w:fldCharType="begin"/>
      </w:r>
      <w:r w:rsidR="00341287">
        <w:instrText xml:space="preserve"> SEQ Figure \* ARABIC \s 1 </w:instrText>
      </w:r>
      <w:r w:rsidR="00586F30">
        <w:fldChar w:fldCharType="separate"/>
      </w:r>
      <w:r w:rsidR="001E5D7A">
        <w:rPr>
          <w:noProof/>
        </w:rPr>
        <w:t>1</w:t>
      </w:r>
      <w:r w:rsidR="00586F30">
        <w:fldChar w:fldCharType="end"/>
      </w:r>
      <w:bookmarkEnd w:id="16"/>
      <w:r>
        <w:t>: Product stewardshi</w:t>
      </w:r>
      <w:r w:rsidRPr="00253F89">
        <w:t xml:space="preserve">p </w:t>
      </w:r>
      <w:r>
        <w:t>consideration</w:t>
      </w:r>
      <w:r w:rsidRPr="00253F89">
        <w:t xml:space="preserve"> approach </w:t>
      </w:r>
    </w:p>
    <w:tbl>
      <w:tblPr>
        <w:tblStyle w:val="TableGrid"/>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DBE5F1" w:themeFill="accent1" w:themeFillTint="33"/>
        <w:tblLook w:val="04A0"/>
      </w:tblPr>
      <w:tblGrid>
        <w:gridCol w:w="534"/>
        <w:gridCol w:w="3903"/>
        <w:gridCol w:w="190"/>
        <w:gridCol w:w="4094"/>
      </w:tblGrid>
      <w:tr w:rsidR="00F268D2" w:rsidTr="00107146">
        <w:tc>
          <w:tcPr>
            <w:tcW w:w="534" w:type="dxa"/>
            <w:shd w:val="clear" w:color="auto" w:fill="FFFFFF" w:themeFill="background1"/>
          </w:tcPr>
          <w:p w:rsidR="00F268D2" w:rsidRDefault="00F268D2" w:rsidP="00B75744">
            <w:pPr>
              <w:pStyle w:val="BodyText"/>
              <w:keepNext/>
            </w:pPr>
          </w:p>
        </w:tc>
        <w:tc>
          <w:tcPr>
            <w:tcW w:w="4093" w:type="dxa"/>
            <w:gridSpan w:val="2"/>
            <w:shd w:val="clear" w:color="auto" w:fill="31849B" w:themeFill="accent5" w:themeFillShade="BF"/>
          </w:tcPr>
          <w:p w:rsidR="00F268D2" w:rsidRPr="004A1972" w:rsidRDefault="00F268D2" w:rsidP="00B75744">
            <w:pPr>
              <w:pStyle w:val="BodyText"/>
              <w:keepNext/>
              <w:rPr>
                <w:b/>
                <w:color w:val="FFFFFF" w:themeColor="background1"/>
              </w:rPr>
            </w:pPr>
            <w:r w:rsidRPr="004A1972">
              <w:rPr>
                <w:b/>
                <w:color w:val="FFFFFF" w:themeColor="background1"/>
              </w:rPr>
              <w:t>Stage</w:t>
            </w:r>
          </w:p>
        </w:tc>
        <w:tc>
          <w:tcPr>
            <w:tcW w:w="4094" w:type="dxa"/>
            <w:shd w:val="clear" w:color="auto" w:fill="31849B" w:themeFill="accent5" w:themeFillShade="BF"/>
          </w:tcPr>
          <w:p w:rsidR="00F268D2" w:rsidRPr="004A1972" w:rsidRDefault="00F268D2" w:rsidP="00B75744">
            <w:pPr>
              <w:pStyle w:val="BodyText"/>
              <w:keepNext/>
              <w:rPr>
                <w:b/>
                <w:color w:val="FFFFFF" w:themeColor="background1"/>
              </w:rPr>
            </w:pPr>
            <w:r w:rsidRPr="004A1972">
              <w:rPr>
                <w:b/>
                <w:color w:val="FFFFFF" w:themeColor="background1"/>
              </w:rPr>
              <w:t>Outcome</w:t>
            </w:r>
          </w:p>
        </w:tc>
      </w:tr>
      <w:tr w:rsidR="00F268D2" w:rsidTr="00107146">
        <w:tc>
          <w:tcPr>
            <w:tcW w:w="534" w:type="dxa"/>
            <w:shd w:val="clear" w:color="auto" w:fill="FFFFFF" w:themeFill="background1"/>
          </w:tcPr>
          <w:p w:rsidR="00F268D2" w:rsidRDefault="00586F30" w:rsidP="00B75744">
            <w:pPr>
              <w:pStyle w:val="BodyText"/>
              <w:keepNext/>
            </w:pPr>
            <w:r>
              <w:rPr>
                <w:noProof/>
                <w:lang w:eastAsia="en-AU"/>
              </w:rPr>
              <w:pict>
                <v:oval id="Oval 12" o:spid="_x0000_s1027" style="position:absolute;left:0;text-align:left;margin-left:-4.25pt;margin-top:1.05pt;width:13.8pt;height:13.8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" fillcolor="#31849b [2408]" strokecolor="#4f81bd [3204]">
                  <v:textbox inset="0,0,0,0">
                    <w:txbxContent>
                      <w:p w:rsidR="00055F48" w:rsidRPr="004A1972" w:rsidRDefault="00055F48" w:rsidP="00F268D2">
                        <w:pPr>
                          <w:jc w:val="center"/>
                          <w:rPr>
                            <w:b/>
                            <w:color w:val="FFFFFF" w:themeColor="background1"/>
                          </w:rPr>
                        </w:pPr>
                        <w:r w:rsidRPr="004A1972">
                          <w:rPr>
                            <w:b/>
                            <w:color w:val="FFFFFF" w:themeColor="background1"/>
                          </w:rPr>
                          <w:t>1</w:t>
                        </w:r>
                      </w:p>
                    </w:txbxContent>
                  </v:textbox>
                </v:oval>
              </w:pict>
            </w:r>
          </w:p>
        </w:tc>
        <w:tc>
          <w:tcPr>
            <w:tcW w:w="4093" w:type="dxa"/>
            <w:gridSpan w:val="2"/>
            <w:shd w:val="clear" w:color="auto" w:fill="DAEEF3" w:themeFill="accent5" w:themeFillTint="33"/>
            <w:vAlign w:val="center"/>
          </w:tcPr>
          <w:p w:rsidR="00F268D2" w:rsidRDefault="00F268D2" w:rsidP="00107146">
            <w:pPr>
              <w:pStyle w:val="BodyText"/>
              <w:keepNext/>
              <w:jc w:val="center"/>
            </w:pPr>
            <w:r>
              <w:t>Analysis of the disposal of domestic RAC equipment at end-of-life in Australia (prepared by KPMG)</w:t>
            </w:r>
          </w:p>
        </w:tc>
        <w:tc>
          <w:tcPr>
            <w:tcW w:w="4094" w:type="dxa"/>
            <w:shd w:val="clear" w:color="auto" w:fill="DAEEF3" w:themeFill="accent5" w:themeFillTint="33"/>
            <w:vAlign w:val="center"/>
          </w:tcPr>
          <w:p w:rsidR="00F268D2" w:rsidRDefault="00F268D2" w:rsidP="00107146">
            <w:pPr>
              <w:pStyle w:val="BodyText"/>
              <w:keepNext/>
              <w:jc w:val="center"/>
            </w:pPr>
            <w:r>
              <w:t>Understanding of disposal pathways, key stakeholders, and influencing factors such as legislation, costs and technology</w:t>
            </w:r>
          </w:p>
        </w:tc>
      </w:tr>
      <w:tr w:rsidR="00F268D2" w:rsidTr="00107146">
        <w:tc>
          <w:tcPr>
            <w:tcW w:w="534" w:type="dxa"/>
            <w:tcBorders>
              <w:bottom w:val="dashed" w:sz="12" w:space="0" w:color="31849B" w:themeColor="accent5" w:themeShade="BF"/>
            </w:tcBorders>
            <w:shd w:val="clear" w:color="auto" w:fill="FFFFFF" w:themeFill="background1"/>
          </w:tcPr>
          <w:p w:rsidR="00F268D2" w:rsidRDefault="00586F30" w:rsidP="00B75744">
            <w:pPr>
              <w:pStyle w:val="BodyText"/>
              <w:keepNext/>
            </w:pPr>
            <w:r>
              <w:rPr>
                <w:noProof/>
                <w:lang w:eastAsia="en-AU"/>
              </w:rPr>
              <w:pict>
                <v:oval id="Oval 13" o:spid="_x0000_s1028" style="position:absolute;left:0;text-align:left;margin-left:-4.25pt;margin-top:.5pt;width:13.8pt;height:13.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" fillcolor="#31849b [2408]" strokecolor="#4f81bd [3204]">
                  <v:textbox inset="0,0,0,0">
                    <w:txbxContent>
                      <w:p w:rsidR="00055F48" w:rsidRPr="004A1972" w:rsidRDefault="00055F48" w:rsidP="00F268D2">
                        <w:pPr>
                          <w:jc w:val="center"/>
                          <w:rPr>
                            <w:b/>
                            <w:color w:val="FFFFFF" w:themeColor="background1"/>
                          </w:rPr>
                        </w:pPr>
                        <w:r>
                          <w:rPr>
                            <w:b/>
                            <w:color w:val="FFFFFF" w:themeColor="background1"/>
                          </w:rPr>
                          <w:t>2</w:t>
                        </w:r>
                      </w:p>
                    </w:txbxContent>
                  </v:textbox>
                </v:oval>
              </w:pict>
            </w:r>
          </w:p>
        </w:tc>
        <w:tc>
          <w:tcPr>
            <w:tcW w:w="4093" w:type="dxa"/>
            <w:gridSpan w:val="2"/>
            <w:tcBorders>
              <w:bottom w:val="dashed" w:sz="12" w:space="0" w:color="31849B" w:themeColor="accent5" w:themeShade="BF"/>
            </w:tcBorders>
            <w:shd w:val="clear" w:color="auto" w:fill="DAEEF3" w:themeFill="accent5" w:themeFillTint="33"/>
            <w:vAlign w:val="center"/>
          </w:tcPr>
          <w:p w:rsidR="00F268D2" w:rsidRDefault="00F268D2" w:rsidP="00676F5A">
            <w:pPr>
              <w:pStyle w:val="BodyText"/>
              <w:keepNext/>
              <w:jc w:val="center"/>
            </w:pPr>
            <w:r>
              <w:t xml:space="preserve">Draft options paper prepared by the </w:t>
            </w:r>
            <w:r w:rsidR="00676F5A">
              <w:t>RAC Working Group with assistance from the Department</w:t>
            </w:r>
          </w:p>
        </w:tc>
        <w:tc>
          <w:tcPr>
            <w:tcW w:w="4094" w:type="dxa"/>
            <w:tcBorders>
              <w:bottom w:val="dashed" w:sz="12" w:space="0" w:color="31849B" w:themeColor="accent5" w:themeShade="BF"/>
            </w:tcBorders>
            <w:shd w:val="clear" w:color="auto" w:fill="DAEEF3" w:themeFill="accent5" w:themeFillTint="33"/>
            <w:vAlign w:val="center"/>
          </w:tcPr>
          <w:p w:rsidR="00F268D2" w:rsidRDefault="00F268D2" w:rsidP="00107146">
            <w:pPr>
              <w:pStyle w:val="BodyText"/>
              <w:keepNext/>
              <w:jc w:val="center"/>
            </w:pPr>
            <w:r>
              <w:t>A series of preliminary options outlining potential approaches to product stewardship for domestic RAC equipment</w:t>
            </w:r>
          </w:p>
        </w:tc>
      </w:tr>
      <w:tr w:rsidR="00F268D2" w:rsidTr="00107146">
        <w:tc>
          <w:tcPr>
            <w:tcW w:w="534" w:type="dxa"/>
            <w:tcBorders>
              <w:top w:val="dashed" w:sz="12" w:space="0" w:color="31849B" w:themeColor="accent5" w:themeShade="BF"/>
              <w:left w:val="dashed" w:sz="12" w:space="0" w:color="31849B" w:themeColor="accent5" w:themeShade="BF"/>
              <w:bottom w:val="dashed" w:sz="12" w:space="0" w:color="31849B" w:themeColor="accent5" w:themeShade="BF"/>
            </w:tcBorders>
            <w:shd w:val="clear" w:color="auto" w:fill="FFFFFF" w:themeFill="background1"/>
          </w:tcPr>
          <w:p w:rsidR="00F268D2" w:rsidRDefault="00586F30" w:rsidP="00B75744">
            <w:pPr>
              <w:pStyle w:val="BodyText"/>
              <w:keepNext/>
            </w:pPr>
            <w:r>
              <w:rPr>
                <w:noProof/>
                <w:lang w:eastAsia="en-AU"/>
              </w:rPr>
              <w:pict>
                <v:oval id="Oval 14" o:spid="_x0000_s1029" style="position:absolute;left:0;text-align:left;margin-left:-4.25pt;margin-top:2.15pt;width:13.8pt;height:13.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" fillcolor="#31849b [2408]" strokecolor="#4f81bd [3204]">
                  <v:textbox inset="0,0,0,0">
                    <w:txbxContent>
                      <w:p w:rsidR="00055F48" w:rsidRPr="004A1972" w:rsidRDefault="00055F48" w:rsidP="00F268D2">
                        <w:pPr>
                          <w:jc w:val="center"/>
                          <w:rPr>
                            <w:b/>
                            <w:color w:val="FFFFFF" w:themeColor="background1"/>
                          </w:rPr>
                        </w:pPr>
                        <w:r>
                          <w:rPr>
                            <w:b/>
                            <w:color w:val="FFFFFF" w:themeColor="background1"/>
                          </w:rPr>
                          <w:t>3</w:t>
                        </w:r>
                      </w:p>
                    </w:txbxContent>
                  </v:textbox>
                </v:oval>
              </w:pict>
            </w:r>
          </w:p>
        </w:tc>
        <w:tc>
          <w:tcPr>
            <w:tcW w:w="4093" w:type="dxa"/>
            <w:gridSpan w:val="2"/>
            <w:tcBorders>
              <w:top w:val="dashed" w:sz="12" w:space="0" w:color="31849B" w:themeColor="accent5" w:themeShade="BF"/>
              <w:bottom w:val="dashed" w:sz="12" w:space="0" w:color="31849B" w:themeColor="accent5" w:themeShade="BF"/>
            </w:tcBorders>
            <w:shd w:val="clear" w:color="auto" w:fill="DAEEF3" w:themeFill="accent5" w:themeFillTint="33"/>
            <w:vAlign w:val="center"/>
          </w:tcPr>
          <w:p w:rsidR="00F268D2" w:rsidRDefault="00F268D2" w:rsidP="00107146">
            <w:pPr>
              <w:pStyle w:val="BodyText"/>
              <w:keepNext/>
              <w:jc w:val="center"/>
            </w:pPr>
            <w:r>
              <w:t>Cost benefit analysis of preliminary options and approaches</w:t>
            </w:r>
          </w:p>
        </w:tc>
        <w:tc>
          <w:tcPr>
            <w:tcW w:w="4094" w:type="dxa"/>
            <w:tcBorders>
              <w:top w:val="dashed" w:sz="12" w:space="0" w:color="31849B" w:themeColor="accent5" w:themeShade="BF"/>
              <w:bottom w:val="dashed" w:sz="12" w:space="0" w:color="31849B" w:themeColor="accent5" w:themeShade="BF"/>
              <w:right w:val="dashed" w:sz="12" w:space="0" w:color="31849B" w:themeColor="accent5" w:themeShade="BF"/>
            </w:tcBorders>
            <w:shd w:val="clear" w:color="auto" w:fill="DAEEF3" w:themeFill="accent5" w:themeFillTint="33"/>
            <w:vAlign w:val="center"/>
          </w:tcPr>
          <w:p w:rsidR="00F268D2" w:rsidRDefault="00F268D2" w:rsidP="00107146">
            <w:pPr>
              <w:pStyle w:val="BodyText"/>
              <w:keepNext/>
              <w:jc w:val="center"/>
            </w:pPr>
            <w:r>
              <w:t>Economic appraisal to measure the economic, environmental and social costs and benefits of each option</w:t>
            </w:r>
          </w:p>
        </w:tc>
      </w:tr>
      <w:tr w:rsidR="00F268D2" w:rsidTr="00107146">
        <w:tc>
          <w:tcPr>
            <w:tcW w:w="534" w:type="dxa"/>
            <w:tcBorders>
              <w:top w:val="dashed" w:sz="12" w:space="0" w:color="4F81BD" w:themeColor="accent1"/>
            </w:tcBorders>
            <w:shd w:val="clear" w:color="auto" w:fill="FFFFFF" w:themeFill="background1"/>
          </w:tcPr>
          <w:p w:rsidR="00F268D2" w:rsidRDefault="00586F30" w:rsidP="00B75744">
            <w:pPr>
              <w:pStyle w:val="BodyText"/>
              <w:keepNext/>
              <w:rPr>
                <w:noProof/>
                <w:lang w:eastAsia="en-AU"/>
              </w:rPr>
            </w:pPr>
            <w:r>
              <w:rPr>
                <w:noProof/>
                <w:lang w:eastAsia="en-AU"/>
              </w:rPr>
              <w:pict>
                <v:oval id="Oval 18" o:spid="_x0000_s1030" style="position:absolute;left:0;text-align:left;margin-left:-4.25pt;margin-top:-2.3pt;width:13.8pt;height:13.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" fillcolor="#31849b [2408]" strokecolor="#4f81bd [3204]">
                  <v:textbox inset="0,0,0,0">
                    <w:txbxContent>
                      <w:p w:rsidR="00055F48" w:rsidRPr="004A1972" w:rsidRDefault="00055F48" w:rsidP="00F268D2">
                        <w:pPr>
                          <w:jc w:val="center"/>
                          <w:rPr>
                            <w:b/>
                            <w:color w:val="FFFFFF" w:themeColor="background1"/>
                          </w:rPr>
                        </w:pPr>
                        <w:r>
                          <w:rPr>
                            <w:b/>
                            <w:color w:val="FFFFFF" w:themeColor="background1"/>
                          </w:rPr>
                          <w:t>4</w:t>
                        </w:r>
                      </w:p>
                    </w:txbxContent>
                  </v:textbox>
                </v:oval>
              </w:pict>
            </w:r>
          </w:p>
        </w:tc>
        <w:tc>
          <w:tcPr>
            <w:tcW w:w="8187" w:type="dxa"/>
            <w:gridSpan w:val="3"/>
            <w:tcBorders>
              <w:top w:val="dashed" w:sz="12" w:space="0" w:color="4F81BD" w:themeColor="accent1"/>
            </w:tcBorders>
            <w:shd w:val="clear" w:color="auto" w:fill="DAEEF3" w:themeFill="accent5" w:themeFillTint="33"/>
            <w:vAlign w:val="center"/>
          </w:tcPr>
          <w:p w:rsidR="00F268D2" w:rsidRDefault="00811882" w:rsidP="00107146">
            <w:pPr>
              <w:pStyle w:val="BodyText"/>
              <w:keepNext/>
              <w:jc w:val="center"/>
            </w:pPr>
            <w:r>
              <w:t>Provis</w:t>
            </w:r>
            <w:r w:rsidR="0095375B">
              <w:t>i</w:t>
            </w:r>
            <w:r>
              <w:t>on of advi</w:t>
            </w:r>
            <w:r w:rsidR="002C5ACB">
              <w:t>c</w:t>
            </w:r>
            <w:r>
              <w:t xml:space="preserve">e to government and </w:t>
            </w:r>
            <w:r w:rsidR="002C5ACB">
              <w:t xml:space="preserve">its </w:t>
            </w:r>
            <w:r w:rsidR="00F268D2">
              <w:t>decision on whether to continue to explore options or to cease work</w:t>
            </w:r>
          </w:p>
        </w:tc>
      </w:tr>
      <w:tr w:rsidR="00F268D2" w:rsidTr="00107146">
        <w:tc>
          <w:tcPr>
            <w:tcW w:w="534" w:type="dxa"/>
            <w:tcBorders>
              <w:top w:val="dashed" w:sz="12" w:space="0" w:color="4F81BD" w:themeColor="accent1"/>
            </w:tcBorders>
            <w:shd w:val="clear" w:color="auto" w:fill="FFFFFF" w:themeFill="background1"/>
          </w:tcPr>
          <w:p w:rsidR="00F268D2" w:rsidRDefault="00586F30" w:rsidP="00B75744">
            <w:pPr>
              <w:pStyle w:val="BodyText"/>
              <w:keepNext/>
              <w:rPr>
                <w:noProof/>
                <w:lang w:eastAsia="en-AU"/>
              </w:rPr>
            </w:pPr>
            <w:r>
              <w:rPr>
                <w:noProof/>
                <w:lang w:eastAsia="en-AU"/>
              </w:rPr>
              <w:pict>
                <v:oval id="Oval 19" o:spid="_x0000_s1031" style="position:absolute;left:0;text-align:left;margin-left:-3.45pt;margin-top:1.3pt;width:13.8pt;height:13.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" fillcolor="#8064a2 [3207]" strokecolor="#8064a2 [3207]">
                  <v:textbox inset="0,0,0,0">
                    <w:txbxContent>
                      <w:p w:rsidR="00055F48" w:rsidRPr="004A1972" w:rsidRDefault="00055F48" w:rsidP="00F268D2">
                        <w:pPr>
                          <w:jc w:val="center"/>
                          <w:rPr>
                            <w:b/>
                            <w:color w:val="FFFFFF" w:themeColor="background1"/>
                          </w:rPr>
                        </w:pPr>
                        <w:r>
                          <w:rPr>
                            <w:b/>
                            <w:color w:val="FFFFFF" w:themeColor="background1"/>
                          </w:rPr>
                          <w:t>5</w:t>
                        </w:r>
                      </w:p>
                    </w:txbxContent>
                  </v:textbox>
                </v:oval>
              </w:pict>
            </w:r>
          </w:p>
        </w:tc>
        <w:tc>
          <w:tcPr>
            <w:tcW w:w="8187" w:type="dxa"/>
            <w:gridSpan w:val="3"/>
            <w:tcBorders>
              <w:top w:val="dashed" w:sz="12" w:space="0" w:color="4F81BD" w:themeColor="accent1"/>
            </w:tcBorders>
            <w:shd w:val="clear" w:color="auto" w:fill="E5DFEC" w:themeFill="accent4" w:themeFillTint="33"/>
            <w:vAlign w:val="center"/>
          </w:tcPr>
          <w:p w:rsidR="00F268D2" w:rsidRDefault="00107146" w:rsidP="00107146">
            <w:pPr>
              <w:pStyle w:val="BodyText"/>
              <w:keepNext/>
              <w:jc w:val="center"/>
            </w:pPr>
            <w:r>
              <w:t>Based on decision to proceed, i</w:t>
            </w:r>
            <w:r w:rsidR="00F268D2">
              <w:t>dentification of priority options and further</w:t>
            </w:r>
            <w:r>
              <w:t xml:space="preserve"> options</w:t>
            </w:r>
            <w:r w:rsidR="00F268D2">
              <w:t xml:space="preserve"> development</w:t>
            </w:r>
          </w:p>
        </w:tc>
      </w:tr>
      <w:tr w:rsidR="00F268D2" w:rsidTr="00107146">
        <w:tc>
          <w:tcPr>
            <w:tcW w:w="534" w:type="dxa"/>
            <w:shd w:val="clear" w:color="auto" w:fill="FFFFFF" w:themeFill="background1"/>
          </w:tcPr>
          <w:p w:rsidR="00F268D2" w:rsidRDefault="00586F30" w:rsidP="00B75744">
            <w:pPr>
              <w:pStyle w:val="BodyText"/>
              <w:keepNext/>
            </w:pPr>
            <w:r>
              <w:rPr>
                <w:noProof/>
                <w:lang w:eastAsia="en-AU"/>
              </w:rPr>
              <w:pict>
                <v:oval id="Oval 16" o:spid="_x0000_s1032" style="position:absolute;left:0;text-align:left;margin-left:-4.25pt;margin-top:1.3pt;width:13.8pt;height:13.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" fillcolor="#8064a2 [3207]" strokecolor="#8064a2 [3207]">
                  <v:textbox inset="0,0,0,0">
                    <w:txbxContent>
                      <w:p w:rsidR="00055F48" w:rsidRPr="004A1972" w:rsidRDefault="00055F48" w:rsidP="00F268D2">
                        <w:pPr>
                          <w:jc w:val="center"/>
                          <w:rPr>
                            <w:b/>
                            <w:color w:val="FFFFFF" w:themeColor="background1"/>
                          </w:rPr>
                        </w:pPr>
                        <w:r>
                          <w:rPr>
                            <w:b/>
                            <w:color w:val="FFFFFF" w:themeColor="background1"/>
                          </w:rPr>
                          <w:t>6</w:t>
                        </w:r>
                      </w:p>
                    </w:txbxContent>
                  </v:textbox>
                </v:oval>
              </w:pict>
            </w:r>
          </w:p>
        </w:tc>
        <w:tc>
          <w:tcPr>
            <w:tcW w:w="3903" w:type="dxa"/>
            <w:shd w:val="clear" w:color="auto" w:fill="E5DFEC" w:themeFill="accent4" w:themeFillTint="33"/>
            <w:vAlign w:val="center"/>
          </w:tcPr>
          <w:p w:rsidR="00F268D2" w:rsidRDefault="00F268D2" w:rsidP="00107146">
            <w:pPr>
              <w:pStyle w:val="BodyText"/>
              <w:keepNext/>
              <w:jc w:val="center"/>
            </w:pPr>
            <w:r>
              <w:t>Regulatory Impact Statement of preferred option(s) and Government consideration</w:t>
            </w:r>
          </w:p>
        </w:tc>
        <w:tc>
          <w:tcPr>
            <w:tcW w:w="4284" w:type="dxa"/>
            <w:gridSpan w:val="2"/>
            <w:shd w:val="clear" w:color="auto" w:fill="E5DFEC" w:themeFill="accent4" w:themeFillTint="33"/>
            <w:vAlign w:val="center"/>
          </w:tcPr>
          <w:p w:rsidR="00F268D2" w:rsidRDefault="00F268D2" w:rsidP="00107146">
            <w:pPr>
              <w:pStyle w:val="BodyText"/>
              <w:keepNext/>
              <w:jc w:val="center"/>
            </w:pPr>
            <w:r>
              <w:t>Identification of implications of options and mitigation strategies</w:t>
            </w:r>
          </w:p>
        </w:tc>
      </w:tr>
      <w:tr w:rsidR="00F268D2" w:rsidTr="00107146">
        <w:tc>
          <w:tcPr>
            <w:tcW w:w="534" w:type="dxa"/>
            <w:shd w:val="clear" w:color="auto" w:fill="FFFFFF" w:themeFill="background1"/>
          </w:tcPr>
          <w:p w:rsidR="00F268D2" w:rsidRDefault="00586F30" w:rsidP="00B75744">
            <w:pPr>
              <w:pStyle w:val="BodyText"/>
            </w:pPr>
            <w:r>
              <w:rPr>
                <w:noProof/>
                <w:lang w:eastAsia="en-AU"/>
              </w:rPr>
              <w:pict>
                <v:oval id="Oval 17" o:spid="_x0000_s1033" style="position:absolute;left:0;text-align:left;margin-left:-4.45pt;margin-top:1.05pt;width:13.8pt;height:13.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" fillcolor="#8064a2 [3207]" strokecolor="#8064a2 [3207]">
                  <v:textbox inset="0,0,0,0">
                    <w:txbxContent>
                      <w:p w:rsidR="00055F48" w:rsidRPr="004A1972" w:rsidRDefault="00055F48" w:rsidP="00F268D2">
                        <w:pPr>
                          <w:jc w:val="center"/>
                          <w:rPr>
                            <w:b/>
                            <w:color w:val="FFFFFF" w:themeColor="background1"/>
                          </w:rPr>
                        </w:pPr>
                        <w:r>
                          <w:rPr>
                            <w:b/>
                            <w:color w:val="FFFFFF" w:themeColor="background1"/>
                          </w:rPr>
                          <w:t>7</w:t>
                        </w:r>
                      </w:p>
                    </w:txbxContent>
                  </v:textbox>
                </v:oval>
              </w:pict>
            </w:r>
          </w:p>
        </w:tc>
        <w:tc>
          <w:tcPr>
            <w:tcW w:w="3903" w:type="dxa"/>
            <w:shd w:val="clear" w:color="auto" w:fill="E5DFEC" w:themeFill="accent4" w:themeFillTint="33"/>
            <w:vAlign w:val="center"/>
          </w:tcPr>
          <w:p w:rsidR="00F268D2" w:rsidRDefault="00F268D2" w:rsidP="00107146">
            <w:pPr>
              <w:pStyle w:val="BodyText"/>
              <w:jc w:val="center"/>
            </w:pPr>
            <w:r>
              <w:t>Product stewardship implementation</w:t>
            </w:r>
          </w:p>
        </w:tc>
        <w:tc>
          <w:tcPr>
            <w:tcW w:w="4284" w:type="dxa"/>
            <w:gridSpan w:val="2"/>
            <w:shd w:val="clear" w:color="auto" w:fill="E5DFEC" w:themeFill="accent4" w:themeFillTint="33"/>
            <w:vAlign w:val="center"/>
          </w:tcPr>
          <w:p w:rsidR="00F268D2" w:rsidRDefault="00F268D2" w:rsidP="00107146">
            <w:pPr>
              <w:pStyle w:val="BodyText"/>
              <w:jc w:val="center"/>
            </w:pPr>
            <w:r>
              <w:t>Product stewardship objectives achieved</w:t>
            </w:r>
          </w:p>
        </w:tc>
      </w:tr>
    </w:tbl>
    <w:p w:rsidR="00F268D2" w:rsidRDefault="00F268D2" w:rsidP="00F268D2">
      <w:pPr>
        <w:pStyle w:val="Heading5"/>
      </w:pPr>
      <w:r>
        <w:lastRenderedPageBreak/>
        <w:t>Stage 1 – Analysis of the disposal of domestic RAC equipment</w:t>
      </w:r>
    </w:p>
    <w:p w:rsidR="00F268D2" w:rsidRDefault="00F268D2">
      <w:pPr>
        <w:pStyle w:val="BodyText"/>
      </w:pPr>
      <w:r>
        <w:t>The Department commissioned KPMG to prepare an analysis of the flow and market share dynamics of domestic RAC equipment at end-of-life in Australia</w:t>
      </w:r>
      <w:r w:rsidR="006B4A9B">
        <w:t xml:space="preserve"> over the period 2014 to 2024</w:t>
      </w:r>
      <w:r>
        <w:t>. Specifically, the analysis considered:</w:t>
      </w:r>
    </w:p>
    <w:p w:rsidR="00F268D2" w:rsidRDefault="00F268D2" w:rsidP="00F268D2">
      <w:pPr>
        <w:pStyle w:val="BulletText"/>
      </w:pPr>
      <w:r>
        <w:t>the stakeholders that participate in the RAC equipment disposal chain;</w:t>
      </w:r>
    </w:p>
    <w:p w:rsidR="00F268D2" w:rsidRDefault="00F268D2" w:rsidP="00F268D2">
      <w:pPr>
        <w:pStyle w:val="BulletText"/>
      </w:pPr>
      <w:r>
        <w:t>the factors that influence stakeholder behaviour and actions in the disposal chain;</w:t>
      </w:r>
    </w:p>
    <w:p w:rsidR="00F268D2" w:rsidRDefault="00F268D2" w:rsidP="00F268D2">
      <w:pPr>
        <w:pStyle w:val="BulletText"/>
      </w:pPr>
      <w:r>
        <w:t>the significant disposal pathways for RAC equipment;</w:t>
      </w:r>
    </w:p>
    <w:p w:rsidR="00F268D2" w:rsidRDefault="00F268D2" w:rsidP="00F268D2">
      <w:pPr>
        <w:pStyle w:val="BulletText"/>
      </w:pPr>
      <w:r>
        <w:t>an understanding of the quantity of RAC items entering the disposal chain;</w:t>
      </w:r>
      <w:r w:rsidR="00A66653">
        <w:t xml:space="preserve"> and</w:t>
      </w:r>
    </w:p>
    <w:p w:rsidR="00F268D2" w:rsidRDefault="00F268D2" w:rsidP="00F268D2">
      <w:pPr>
        <w:pStyle w:val="BulletText"/>
      </w:pPr>
      <w:proofErr w:type="gramStart"/>
      <w:r>
        <w:t>international</w:t>
      </w:r>
      <w:proofErr w:type="gramEnd"/>
      <w:r>
        <w:t xml:space="preserve"> best-practice for managed disposal of RAC equipment.</w:t>
      </w:r>
    </w:p>
    <w:p w:rsidR="00F268D2" w:rsidRDefault="00F268D2" w:rsidP="00F268D2">
      <w:pPr>
        <w:pStyle w:val="BodyText"/>
      </w:pPr>
      <w:r>
        <w:t xml:space="preserve">The findings of the analysis were used to </w:t>
      </w:r>
      <w:r w:rsidR="00107146">
        <w:t>inform the development of</w:t>
      </w:r>
      <w:r>
        <w:t xml:space="preserve"> draft options for product stewardship.</w:t>
      </w:r>
    </w:p>
    <w:p w:rsidR="00F268D2" w:rsidRDefault="00F268D2" w:rsidP="00F268D2">
      <w:pPr>
        <w:pStyle w:val="Heading5"/>
      </w:pPr>
      <w:r>
        <w:t>Stage 2 – Draft options paper</w:t>
      </w:r>
    </w:p>
    <w:p w:rsidR="00F268D2" w:rsidRDefault="00F268D2">
      <w:pPr>
        <w:pStyle w:val="BodyText"/>
      </w:pPr>
      <w:r>
        <w:t xml:space="preserve">In consultation with the </w:t>
      </w:r>
      <w:r w:rsidR="00676F5A">
        <w:t>Department</w:t>
      </w:r>
      <w:r>
        <w:t xml:space="preserve">, the </w:t>
      </w:r>
      <w:r w:rsidR="00676F5A">
        <w:t xml:space="preserve">RAC Working Group </w:t>
      </w:r>
      <w:r>
        <w:t xml:space="preserve">developed a number of preliminary product stewardship options and a draft options paper. These options are summarised in </w:t>
      </w:r>
      <w:r w:rsidR="00586F30">
        <w:fldChar w:fldCharType="begin"/>
      </w:r>
      <w:r>
        <w:instrText xml:space="preserve"> REF _Ref391465167 \h </w:instrText>
      </w:r>
      <w:r w:rsidR="00586F30">
        <w:fldChar w:fldCharType="separate"/>
      </w:r>
      <w:r w:rsidR="001E5D7A">
        <w:t xml:space="preserve">Figure </w:t>
      </w:r>
      <w:r w:rsidR="001E5D7A">
        <w:rPr>
          <w:noProof/>
        </w:rPr>
        <w:t>2</w:t>
      </w:r>
      <w:r w:rsidR="001E5D7A">
        <w:noBreakHyphen/>
      </w:r>
      <w:r w:rsidR="001E5D7A">
        <w:rPr>
          <w:noProof/>
        </w:rPr>
        <w:t>2</w:t>
      </w:r>
      <w:r w:rsidR="00586F30">
        <w:fldChar w:fldCharType="end"/>
      </w:r>
      <w:r>
        <w:t xml:space="preserve"> and outlined in further detail in Section </w:t>
      </w:r>
      <w:r w:rsidR="00586F30">
        <w:fldChar w:fldCharType="begin"/>
      </w:r>
      <w:r>
        <w:instrText xml:space="preserve"> REF _Ref391465235 \r \h </w:instrText>
      </w:r>
      <w:r w:rsidR="00586F30">
        <w:fldChar w:fldCharType="separate"/>
      </w:r>
      <w:r w:rsidR="001E5D7A">
        <w:t>3</w:t>
      </w:r>
      <w:r w:rsidR="00586F30">
        <w:fldChar w:fldCharType="end"/>
      </w:r>
      <w:r>
        <w:t>.</w:t>
      </w:r>
    </w:p>
    <w:p w:rsidR="00F268D2" w:rsidRDefault="00F268D2" w:rsidP="00F268D2">
      <w:pPr>
        <w:pStyle w:val="Caption"/>
      </w:pPr>
      <w:bookmarkStart w:id="17" w:name="_Ref391465167"/>
      <w:r>
        <w:t xml:space="preserve">Figure </w:t>
      </w:r>
      <w:r w:rsidR="00586F30">
        <w:fldChar w:fldCharType="begin"/>
      </w:r>
      <w:r w:rsidR="00341287">
        <w:instrText xml:space="preserve"> STYLEREF 1 \s </w:instrText>
      </w:r>
      <w:r w:rsidR="00586F30">
        <w:fldChar w:fldCharType="separate"/>
      </w:r>
      <w:r w:rsidR="001E5D7A">
        <w:rPr>
          <w:noProof/>
        </w:rPr>
        <w:t>2</w:t>
      </w:r>
      <w:r w:rsidR="00586F30">
        <w:fldChar w:fldCharType="end"/>
      </w:r>
      <w:r w:rsidR="00341287">
        <w:noBreakHyphen/>
      </w:r>
      <w:r w:rsidR="00586F30">
        <w:fldChar w:fldCharType="begin"/>
      </w:r>
      <w:r w:rsidR="00341287">
        <w:instrText xml:space="preserve"> SEQ Figure \* ARABIC \s 1 </w:instrText>
      </w:r>
      <w:r w:rsidR="00586F30">
        <w:fldChar w:fldCharType="separate"/>
      </w:r>
      <w:r w:rsidR="001E5D7A">
        <w:rPr>
          <w:noProof/>
        </w:rPr>
        <w:t>2</w:t>
      </w:r>
      <w:r w:rsidR="00586F30">
        <w:fldChar w:fldCharType="end"/>
      </w:r>
      <w:bookmarkEnd w:id="17"/>
      <w:r>
        <w:t>: Preliminary product stewardship options</w:t>
      </w:r>
    </w:p>
    <w:p w:rsidR="00F268D2" w:rsidRDefault="00F268D2">
      <w:pPr>
        <w:pStyle w:val="BodyText"/>
      </w:pPr>
      <w:r w:rsidRPr="00F268D2">
        <w:rPr>
          <w:noProof/>
          <w:lang w:eastAsia="en-AU"/>
        </w:rPr>
        <w:drawing>
          <wp:inline distT="0" distB="0" distL="0" distR="0">
            <wp:extent cx="5400675" cy="1615087"/>
            <wp:effectExtent l="19050" t="0" r="9525"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srcRect/>
                    <a:stretch>
                      <a:fillRect/>
                    </a:stretch>
                  </pic:blipFill>
                  <pic:spPr bwMode="auto">
                    <a:xfrm>
                      <a:off x="0" y="0"/>
                      <a:ext cx="5400675" cy="1615087"/>
                    </a:xfrm>
                    <a:prstGeom prst="rect">
                      <a:avLst/>
                    </a:prstGeom>
                    <a:noFill/>
                    <a:ln w="9525">
                      <a:noFill/>
                      <a:miter lim="800000"/>
                      <a:headEnd/>
                      <a:tailEnd/>
                    </a:ln>
                  </pic:spPr>
                </pic:pic>
              </a:graphicData>
            </a:graphic>
          </wp:inline>
        </w:drawing>
      </w:r>
    </w:p>
    <w:p w:rsidR="00F268D2" w:rsidRDefault="00F268D2" w:rsidP="00F268D2">
      <w:pPr>
        <w:pStyle w:val="Source"/>
      </w:pPr>
      <w:r>
        <w:t>Source: Departme</w:t>
      </w:r>
      <w:r w:rsidR="00107146">
        <w:t>nt of the Environment and industry consultation</w:t>
      </w:r>
    </w:p>
    <w:p w:rsidR="00F268D2" w:rsidRDefault="00F268D2" w:rsidP="00F268D2">
      <w:pPr>
        <w:pStyle w:val="Heading5"/>
      </w:pPr>
      <w:r>
        <w:t>Stage 3 – Cost benefit analysis</w:t>
      </w:r>
    </w:p>
    <w:p w:rsidR="00F268D2" w:rsidRDefault="00F268D2">
      <w:pPr>
        <w:pStyle w:val="BodyText"/>
      </w:pPr>
      <w:r>
        <w:t xml:space="preserve">The Department has commissioned this report on the costs and benefits associated with </w:t>
      </w:r>
      <w:r w:rsidR="00E25C35">
        <w:t>three</w:t>
      </w:r>
      <w:r>
        <w:t xml:space="preserve"> preliminary product stewardship options. </w:t>
      </w:r>
      <w:r w:rsidRPr="00F403A3">
        <w:t xml:space="preserve">The </w:t>
      </w:r>
      <w:r>
        <w:t>CBA</w:t>
      </w:r>
      <w:r w:rsidRPr="00F403A3">
        <w:t xml:space="preserve"> consider</w:t>
      </w:r>
      <w:r>
        <w:t>s</w:t>
      </w:r>
      <w:r w:rsidRPr="00F403A3">
        <w:t xml:space="preserve"> each </w:t>
      </w:r>
      <w:r>
        <w:t xml:space="preserve">domestic RAC </w:t>
      </w:r>
      <w:r w:rsidR="00107146">
        <w:t xml:space="preserve">equipment </w:t>
      </w:r>
      <w:r>
        <w:t xml:space="preserve">product stewardship </w:t>
      </w:r>
      <w:r w:rsidRPr="00F403A3">
        <w:t>option from a whole of community perspective to determine the costs and benefits derived from each option in terms of increased resource recovery and reduced environmental and human hea</w:t>
      </w:r>
      <w:r w:rsidR="00A66653">
        <w:t>l</w:t>
      </w:r>
      <w:r w:rsidRPr="00F403A3">
        <w:t>th impacts.</w:t>
      </w:r>
      <w:r>
        <w:t xml:space="preserve"> The purpose of the CBA is to assist the Department with further, more detailed, option development and to guide advice on whether to continue to pursue product stewardship options for RAC equipment. </w:t>
      </w:r>
    </w:p>
    <w:p w:rsidR="00F268D2" w:rsidRDefault="00F268D2" w:rsidP="00F268D2">
      <w:pPr>
        <w:pStyle w:val="Heading5"/>
      </w:pPr>
      <w:r>
        <w:lastRenderedPageBreak/>
        <w:t xml:space="preserve">Stage </w:t>
      </w:r>
      <w:r w:rsidR="00107146">
        <w:t>4</w:t>
      </w:r>
      <w:r>
        <w:t xml:space="preserve"> – </w:t>
      </w:r>
      <w:r w:rsidR="00865C39">
        <w:t xml:space="preserve">Government </w:t>
      </w:r>
      <w:r w:rsidR="002C5ACB">
        <w:t>consideration</w:t>
      </w:r>
    </w:p>
    <w:p w:rsidR="00F268D2" w:rsidRDefault="00F268D2">
      <w:pPr>
        <w:pStyle w:val="BodyText"/>
      </w:pPr>
      <w:r>
        <w:t xml:space="preserve">The Department will use the findings from Stages 1 to </w:t>
      </w:r>
      <w:r w:rsidR="001304E4">
        <w:t xml:space="preserve">3 </w:t>
      </w:r>
      <w:r>
        <w:t xml:space="preserve">to develop advice </w:t>
      </w:r>
      <w:r w:rsidR="00865C39">
        <w:t xml:space="preserve">to government </w:t>
      </w:r>
      <w:r>
        <w:t xml:space="preserve">on product stewardship for RAC equipment. </w:t>
      </w:r>
      <w:r w:rsidR="002C5ACB">
        <w:t xml:space="preserve">The </w:t>
      </w:r>
      <w:r w:rsidR="00865C39">
        <w:t xml:space="preserve">government </w:t>
      </w:r>
      <w:r>
        <w:t xml:space="preserve">will </w:t>
      </w:r>
      <w:r w:rsidR="002C5ACB">
        <w:t xml:space="preserve">consider </w:t>
      </w:r>
      <w:r>
        <w:t xml:space="preserve">whether the Department should continue to pursue product stewardship options. If the </w:t>
      </w:r>
      <w:r w:rsidR="00865C39">
        <w:t xml:space="preserve">government </w:t>
      </w:r>
      <w:r>
        <w:t xml:space="preserve">decides not to continue the investigation of product stewardship for RAC equipment in Australia, the assessment of feasibility of options will cease. </w:t>
      </w:r>
    </w:p>
    <w:p w:rsidR="00F268D2" w:rsidRDefault="00F268D2" w:rsidP="00F268D2">
      <w:pPr>
        <w:pStyle w:val="Heading5"/>
      </w:pPr>
      <w:r>
        <w:t xml:space="preserve">Stages </w:t>
      </w:r>
      <w:r w:rsidR="00107146">
        <w:t>5</w:t>
      </w:r>
      <w:r>
        <w:t>-</w:t>
      </w:r>
      <w:r w:rsidR="00107146">
        <w:t>7</w:t>
      </w:r>
      <w:r>
        <w:t xml:space="preserve"> – Option implementation</w:t>
      </w:r>
    </w:p>
    <w:p w:rsidR="00F268D2" w:rsidRDefault="00F268D2" w:rsidP="00F268D2">
      <w:pPr>
        <w:pStyle w:val="BodyText"/>
      </w:pPr>
      <w:r>
        <w:t xml:space="preserve">If the </w:t>
      </w:r>
      <w:r w:rsidR="00865C39">
        <w:t xml:space="preserve">government </w:t>
      </w:r>
      <w:r>
        <w:t>decides to continue investigation of product stewardship f</w:t>
      </w:r>
      <w:r w:rsidR="007F6E5E">
        <w:t xml:space="preserve">or RAC equipment in Australia, </w:t>
      </w:r>
      <w:r>
        <w:t xml:space="preserve">more detailed analysis of options will be required. Once the priority options are identified, </w:t>
      </w:r>
      <w:r w:rsidR="00107146">
        <w:t xml:space="preserve">more </w:t>
      </w:r>
      <w:r>
        <w:t xml:space="preserve">detailed analysis will be required </w:t>
      </w:r>
      <w:r w:rsidR="002C5ACB">
        <w:t>such as</w:t>
      </w:r>
      <w:r>
        <w:t>:</w:t>
      </w:r>
    </w:p>
    <w:p w:rsidR="00F268D2" w:rsidRDefault="00F268D2" w:rsidP="00F268D2">
      <w:pPr>
        <w:pStyle w:val="BulletText"/>
      </w:pPr>
      <w:r>
        <w:t>analysis of the costs and benefits of the options;</w:t>
      </w:r>
    </w:p>
    <w:p w:rsidR="00F268D2" w:rsidRDefault="00F268D2" w:rsidP="00F268D2">
      <w:pPr>
        <w:pStyle w:val="BulletText"/>
      </w:pPr>
      <w:r>
        <w:t>analysis of the regulatory impacts of the options;</w:t>
      </w:r>
    </w:p>
    <w:p w:rsidR="00F268D2" w:rsidRDefault="00F268D2" w:rsidP="00F268D2">
      <w:pPr>
        <w:pStyle w:val="BulletText"/>
      </w:pPr>
      <w:r>
        <w:t>analysis of the distribution of costs and regulatory burden; and</w:t>
      </w:r>
    </w:p>
    <w:p w:rsidR="00F268D2" w:rsidRPr="00F268D2" w:rsidRDefault="00F268D2" w:rsidP="00F268D2">
      <w:pPr>
        <w:pStyle w:val="BulletText"/>
      </w:pPr>
      <w:proofErr w:type="gramStart"/>
      <w:r>
        <w:t>investigation</w:t>
      </w:r>
      <w:proofErr w:type="gramEnd"/>
      <w:r>
        <w:t xml:space="preserve"> of implementation of the product stewardship program. </w:t>
      </w:r>
    </w:p>
    <w:p w:rsidR="00DF2C71" w:rsidRDefault="00DF2C71" w:rsidP="00DF2C71">
      <w:pPr>
        <w:pStyle w:val="Heading1"/>
      </w:pPr>
      <w:bookmarkStart w:id="18" w:name="_Ref391465235"/>
      <w:bookmarkStart w:id="19" w:name="_Toc403647583"/>
      <w:r>
        <w:lastRenderedPageBreak/>
        <w:t>Approach</w:t>
      </w:r>
      <w:bookmarkEnd w:id="18"/>
      <w:bookmarkEnd w:id="19"/>
    </w:p>
    <w:p w:rsidR="000D325A" w:rsidRDefault="000D325A" w:rsidP="003A5688">
      <w:pPr>
        <w:spacing w:before="240" w:after="120"/>
        <w:ind w:left="34"/>
        <w:jc w:val="both"/>
      </w:pPr>
      <w:r>
        <w:t>This section outlines the approach employed to undertake the CBA including</w:t>
      </w:r>
      <w:r w:rsidR="00EE40A8">
        <w:t xml:space="preserve"> the</w:t>
      </w:r>
      <w:r>
        <w:t>:</w:t>
      </w:r>
    </w:p>
    <w:p w:rsidR="000D325A" w:rsidRDefault="00EE40A8" w:rsidP="00EE40A8">
      <w:pPr>
        <w:pStyle w:val="BulletText"/>
      </w:pPr>
      <w:r>
        <w:t>method of analysis; and</w:t>
      </w:r>
    </w:p>
    <w:p w:rsidR="00EE40A8" w:rsidRDefault="00EE40A8" w:rsidP="00EE40A8">
      <w:pPr>
        <w:pStyle w:val="BulletText"/>
      </w:pPr>
      <w:proofErr w:type="gramStart"/>
      <w:r>
        <w:t>specification</w:t>
      </w:r>
      <w:proofErr w:type="gramEnd"/>
      <w:r>
        <w:t xml:space="preserve"> of the base case and options considered.</w:t>
      </w:r>
    </w:p>
    <w:p w:rsidR="00EE40A8" w:rsidRDefault="00EE40A8" w:rsidP="00EE40A8">
      <w:pPr>
        <w:pStyle w:val="Heading2"/>
      </w:pPr>
      <w:bookmarkStart w:id="20" w:name="_Toc403647584"/>
      <w:r>
        <w:t xml:space="preserve">Method of </w:t>
      </w:r>
      <w:r w:rsidR="00953A19">
        <w:t>A</w:t>
      </w:r>
      <w:r>
        <w:t>nalysis</w:t>
      </w:r>
      <w:bookmarkEnd w:id="20"/>
    </w:p>
    <w:p w:rsidR="00EE40A8" w:rsidRDefault="00EE40A8" w:rsidP="003A5688">
      <w:pPr>
        <w:spacing w:before="240" w:after="120"/>
        <w:ind w:left="34"/>
        <w:jc w:val="both"/>
      </w:pPr>
      <w:r>
        <w:t xml:space="preserve">The approach to undertaking the CBA is consistent with relevant evaluation guidelines, </w:t>
      </w:r>
      <w:r w:rsidR="00785E11">
        <w:t>including</w:t>
      </w:r>
      <w:r>
        <w:t>:</w:t>
      </w:r>
    </w:p>
    <w:p w:rsidR="00D1554D" w:rsidRPr="00D1554D" w:rsidRDefault="00D1554D" w:rsidP="00D1554D">
      <w:pPr>
        <w:pStyle w:val="BulletText"/>
        <w:rPr>
          <w:i/>
        </w:rPr>
      </w:pPr>
      <w:r w:rsidRPr="00D1554D">
        <w:t xml:space="preserve">Guidelines for regulatory impact analysis published by the Office of Best Practice Regulation (OBPR), </w:t>
      </w:r>
      <w:r w:rsidRPr="00D1554D">
        <w:rPr>
          <w:i/>
        </w:rPr>
        <w:t>The Australian Government Guide to Regulation</w:t>
      </w:r>
      <w:r w:rsidR="00785E11">
        <w:rPr>
          <w:i/>
        </w:rPr>
        <w:t>;</w:t>
      </w:r>
    </w:p>
    <w:p w:rsidR="00EE40A8" w:rsidRPr="00D1554D" w:rsidRDefault="00D1554D" w:rsidP="00D1554D">
      <w:pPr>
        <w:pStyle w:val="BulletText"/>
      </w:pPr>
      <w:r w:rsidRPr="00D1554D">
        <w:t>The modified Business Cost Calculator (BCC) that calculates the compliance costs of regulatory proposals, administered by OBPR</w:t>
      </w:r>
      <w:r w:rsidR="00785E11">
        <w:t>; and</w:t>
      </w:r>
    </w:p>
    <w:p w:rsidR="00D1554D" w:rsidRPr="00D1554D" w:rsidRDefault="00D1554D" w:rsidP="00D1554D">
      <w:pPr>
        <w:pStyle w:val="BulletText"/>
      </w:pPr>
      <w:r w:rsidRPr="00D1554D">
        <w:t xml:space="preserve">Commonwealth of Australia, </w:t>
      </w:r>
      <w:r w:rsidRPr="00D1554D">
        <w:rPr>
          <w:i/>
        </w:rPr>
        <w:t xml:space="preserve">Handbook of Cost Benefit Analysis, </w:t>
      </w:r>
      <w:r w:rsidRPr="00D1554D">
        <w:t xml:space="preserve">January 2006. </w:t>
      </w:r>
    </w:p>
    <w:p w:rsidR="00F403A3" w:rsidRPr="00F403A3" w:rsidRDefault="00F403A3" w:rsidP="003A5688">
      <w:pPr>
        <w:spacing w:before="240" w:after="120"/>
        <w:ind w:left="34"/>
        <w:jc w:val="both"/>
        <w:rPr>
          <w:rFonts w:eastAsia="Batang"/>
          <w:color w:val="000000"/>
          <w:szCs w:val="22"/>
          <w:lang w:eastAsia="ko-KR"/>
        </w:rPr>
      </w:pPr>
      <w:r w:rsidRPr="00F403A3">
        <w:t xml:space="preserve">The </w:t>
      </w:r>
      <w:r w:rsidR="00F268D2">
        <w:t>CBA</w:t>
      </w:r>
      <w:r w:rsidRPr="00F403A3">
        <w:t xml:space="preserve"> consider</w:t>
      </w:r>
      <w:r w:rsidR="00F268D2">
        <w:t>s</w:t>
      </w:r>
      <w:r w:rsidRPr="00F403A3">
        <w:t xml:space="preserve"> each </w:t>
      </w:r>
      <w:r w:rsidR="00C71019">
        <w:t>domestic RAC</w:t>
      </w:r>
      <w:r w:rsidR="00107146">
        <w:t xml:space="preserve"> equipment</w:t>
      </w:r>
      <w:r w:rsidR="00C71019">
        <w:t xml:space="preserve"> product stewardship </w:t>
      </w:r>
      <w:r w:rsidRPr="00F403A3">
        <w:t>option from a whole of community perspective to determine the costs and benefits derived from each option in terms of increased resource recovery and reduced environmental and human hea</w:t>
      </w:r>
      <w:r w:rsidR="00A66653">
        <w:t>l</w:t>
      </w:r>
      <w:r w:rsidRPr="00F403A3">
        <w:t>th impacts. Th</w:t>
      </w:r>
      <w:r w:rsidR="00C71019">
        <w:t>e evaluation</w:t>
      </w:r>
      <w:r w:rsidRPr="00F403A3">
        <w:t xml:space="preserve"> </w:t>
      </w:r>
      <w:r w:rsidR="00D662FF">
        <w:t>is</w:t>
      </w:r>
      <w:r w:rsidRPr="00F403A3">
        <w:t xml:space="preserve"> presented in terms of the net community gain (or loss) o</w:t>
      </w:r>
      <w:r w:rsidR="003A5688">
        <w:t xml:space="preserve">f administering each option to </w:t>
      </w:r>
      <w:r w:rsidR="003A5688">
        <w:rPr>
          <w:rFonts w:eastAsia="Batang"/>
          <w:color w:val="000000"/>
          <w:szCs w:val="22"/>
          <w:lang w:eastAsia="ko-KR"/>
        </w:rPr>
        <w:t>g</w:t>
      </w:r>
      <w:r w:rsidRPr="00F403A3">
        <w:rPr>
          <w:rFonts w:eastAsia="Batang"/>
          <w:color w:val="000000"/>
          <w:szCs w:val="22"/>
          <w:lang w:eastAsia="ko-KR"/>
        </w:rPr>
        <w:t>overnment</w:t>
      </w:r>
      <w:r w:rsidR="003A5688">
        <w:rPr>
          <w:rFonts w:eastAsia="Batang"/>
          <w:color w:val="000000"/>
          <w:szCs w:val="22"/>
          <w:lang w:eastAsia="ko-KR"/>
        </w:rPr>
        <w:t>, industry and s</w:t>
      </w:r>
      <w:r w:rsidR="000A15B9">
        <w:rPr>
          <w:rFonts w:eastAsia="Batang"/>
          <w:color w:val="000000"/>
          <w:szCs w:val="22"/>
          <w:lang w:eastAsia="ko-KR"/>
        </w:rPr>
        <w:t>ociety</w:t>
      </w:r>
      <w:r w:rsidR="003A5688">
        <w:rPr>
          <w:rFonts w:eastAsia="Batang"/>
          <w:color w:val="000000"/>
          <w:szCs w:val="22"/>
          <w:lang w:eastAsia="ko-KR"/>
        </w:rPr>
        <w:t>.</w:t>
      </w:r>
    </w:p>
    <w:p w:rsidR="00E85669" w:rsidRDefault="00E85669" w:rsidP="00F403A3">
      <w:pPr>
        <w:spacing w:before="240" w:after="120"/>
        <w:ind w:left="34"/>
        <w:jc w:val="both"/>
        <w:rPr>
          <w:rFonts w:eastAsia="Batang"/>
          <w:color w:val="000000"/>
          <w:szCs w:val="22"/>
          <w:lang w:eastAsia="ko-KR"/>
        </w:rPr>
      </w:pPr>
      <w:r>
        <w:rPr>
          <w:rFonts w:eastAsia="Batang"/>
          <w:color w:val="000000"/>
          <w:szCs w:val="22"/>
          <w:lang w:eastAsia="ko-KR"/>
        </w:rPr>
        <w:t>An overview of the approach to undertaking the CBA is illustrated in</w:t>
      </w:r>
      <w:r w:rsidR="00445FE6">
        <w:rPr>
          <w:rFonts w:eastAsia="Batang"/>
          <w:color w:val="000000"/>
          <w:szCs w:val="22"/>
          <w:lang w:eastAsia="ko-KR"/>
        </w:rPr>
        <w:t xml:space="preserve"> </w:t>
      </w:r>
      <w:r w:rsidR="00586F30">
        <w:rPr>
          <w:rFonts w:eastAsia="Batang"/>
          <w:color w:val="000000"/>
          <w:szCs w:val="22"/>
          <w:lang w:eastAsia="ko-KR"/>
        </w:rPr>
        <w:fldChar w:fldCharType="begin"/>
      </w:r>
      <w:r w:rsidR="00445FE6">
        <w:rPr>
          <w:rFonts w:eastAsia="Batang"/>
          <w:color w:val="000000"/>
          <w:szCs w:val="22"/>
          <w:lang w:eastAsia="ko-KR"/>
        </w:rPr>
        <w:instrText xml:space="preserve"> REF _Ref391368024 \h </w:instrText>
      </w:r>
      <w:r w:rsidR="00586F30">
        <w:rPr>
          <w:rFonts w:eastAsia="Batang"/>
          <w:color w:val="000000"/>
          <w:szCs w:val="22"/>
          <w:lang w:eastAsia="ko-KR"/>
        </w:rPr>
      </w:r>
      <w:r w:rsidR="00586F30">
        <w:rPr>
          <w:rFonts w:eastAsia="Batang"/>
          <w:color w:val="000000"/>
          <w:szCs w:val="22"/>
          <w:lang w:eastAsia="ko-KR"/>
        </w:rPr>
        <w:fldChar w:fldCharType="separate"/>
      </w:r>
      <w:r w:rsidR="001E5D7A">
        <w:t xml:space="preserve">Figure </w:t>
      </w:r>
      <w:r w:rsidR="001E5D7A">
        <w:rPr>
          <w:noProof/>
        </w:rPr>
        <w:t>3</w:t>
      </w:r>
      <w:r w:rsidR="001E5D7A">
        <w:noBreakHyphen/>
      </w:r>
      <w:r w:rsidR="001E5D7A">
        <w:rPr>
          <w:noProof/>
        </w:rPr>
        <w:t>1</w:t>
      </w:r>
      <w:r w:rsidR="00586F30">
        <w:rPr>
          <w:rFonts w:eastAsia="Batang"/>
          <w:color w:val="000000"/>
          <w:szCs w:val="22"/>
          <w:lang w:eastAsia="ko-KR"/>
        </w:rPr>
        <w:fldChar w:fldCharType="end"/>
      </w:r>
      <w:r>
        <w:rPr>
          <w:rFonts w:eastAsia="Batang"/>
          <w:color w:val="000000"/>
          <w:szCs w:val="22"/>
          <w:lang w:eastAsia="ko-KR"/>
        </w:rPr>
        <w:t>.</w:t>
      </w:r>
    </w:p>
    <w:p w:rsidR="00E85669" w:rsidRDefault="00E85669" w:rsidP="00E85669">
      <w:pPr>
        <w:pStyle w:val="Caption"/>
        <w:rPr>
          <w:rFonts w:eastAsia="Batang"/>
          <w:color w:val="000000"/>
          <w:szCs w:val="22"/>
          <w:lang w:eastAsia="ko-KR"/>
        </w:rPr>
      </w:pPr>
      <w:bookmarkStart w:id="21" w:name="_Ref391368024"/>
      <w:r>
        <w:t xml:space="preserve">Figure </w:t>
      </w:r>
      <w:r w:rsidR="00586F30">
        <w:fldChar w:fldCharType="begin"/>
      </w:r>
      <w:r w:rsidR="00341287">
        <w:instrText xml:space="preserve"> STYLEREF 1 \s </w:instrText>
      </w:r>
      <w:r w:rsidR="00586F30">
        <w:fldChar w:fldCharType="separate"/>
      </w:r>
      <w:r w:rsidR="001E5D7A">
        <w:rPr>
          <w:noProof/>
        </w:rPr>
        <w:t>3</w:t>
      </w:r>
      <w:r w:rsidR="00586F30">
        <w:fldChar w:fldCharType="end"/>
      </w:r>
      <w:r w:rsidR="00341287">
        <w:noBreakHyphen/>
      </w:r>
      <w:r w:rsidR="00586F30">
        <w:fldChar w:fldCharType="begin"/>
      </w:r>
      <w:r w:rsidR="00341287">
        <w:instrText xml:space="preserve"> SEQ Figure \* ARABIC \s 1 </w:instrText>
      </w:r>
      <w:r w:rsidR="00586F30">
        <w:fldChar w:fldCharType="separate"/>
      </w:r>
      <w:r w:rsidR="001E5D7A">
        <w:rPr>
          <w:noProof/>
        </w:rPr>
        <w:t>1</w:t>
      </w:r>
      <w:r w:rsidR="00586F30">
        <w:fldChar w:fldCharType="end"/>
      </w:r>
      <w:bookmarkEnd w:id="21"/>
      <w:r>
        <w:t>: Cost benefit analysis approach</w:t>
      </w:r>
    </w:p>
    <w:p w:rsidR="00EC2593" w:rsidRDefault="00F268D2" w:rsidP="00F403A3">
      <w:pPr>
        <w:spacing w:before="240" w:after="120"/>
        <w:ind w:left="34"/>
        <w:jc w:val="both"/>
        <w:rPr>
          <w:rFonts w:eastAsia="Batang"/>
          <w:color w:val="000000"/>
          <w:szCs w:val="22"/>
          <w:lang w:eastAsia="ko-KR"/>
        </w:rPr>
      </w:pPr>
      <w:r w:rsidRPr="00F268D2">
        <w:rPr>
          <w:rFonts w:eastAsia="Batang"/>
          <w:noProof/>
          <w:lang w:eastAsia="en-AU"/>
        </w:rPr>
        <w:drawing>
          <wp:inline distT="0" distB="0" distL="0" distR="0">
            <wp:extent cx="5400675" cy="2240803"/>
            <wp:effectExtent l="19050" t="0" r="9525" b="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srcRect/>
                    <a:stretch>
                      <a:fillRect/>
                    </a:stretch>
                  </pic:blipFill>
                  <pic:spPr bwMode="auto">
                    <a:xfrm>
                      <a:off x="0" y="0"/>
                      <a:ext cx="5400675" cy="2240803"/>
                    </a:xfrm>
                    <a:prstGeom prst="rect">
                      <a:avLst/>
                    </a:prstGeom>
                    <a:noFill/>
                    <a:ln w="9525">
                      <a:noFill/>
                      <a:miter lim="800000"/>
                      <a:headEnd/>
                      <a:tailEnd/>
                    </a:ln>
                  </pic:spPr>
                </pic:pic>
              </a:graphicData>
            </a:graphic>
          </wp:inline>
        </w:drawing>
      </w:r>
    </w:p>
    <w:p w:rsidR="00F403A3" w:rsidRPr="00F403A3" w:rsidRDefault="00E85669" w:rsidP="00F403A3">
      <w:pPr>
        <w:spacing w:before="240" w:after="120"/>
        <w:ind w:left="34"/>
        <w:jc w:val="both"/>
        <w:rPr>
          <w:rFonts w:eastAsia="Batang"/>
          <w:color w:val="000000"/>
          <w:szCs w:val="22"/>
          <w:lang w:eastAsia="ko-KR"/>
        </w:rPr>
      </w:pPr>
      <w:r>
        <w:rPr>
          <w:rFonts w:eastAsia="Batang"/>
          <w:color w:val="000000"/>
          <w:szCs w:val="22"/>
          <w:lang w:eastAsia="ko-KR"/>
        </w:rPr>
        <w:t>Consistent with relevant guidelines and best practice, t</w:t>
      </w:r>
      <w:r w:rsidR="002441F5">
        <w:rPr>
          <w:rFonts w:eastAsia="Batang"/>
          <w:color w:val="000000"/>
          <w:szCs w:val="22"/>
          <w:lang w:eastAsia="ko-KR"/>
        </w:rPr>
        <w:t>he approach to developing the CBA involved the following steps</w:t>
      </w:r>
      <w:r w:rsidR="006A05B4">
        <w:rPr>
          <w:rFonts w:eastAsia="Batang"/>
          <w:color w:val="000000"/>
          <w:szCs w:val="22"/>
          <w:lang w:eastAsia="ko-KR"/>
        </w:rPr>
        <w:t>:</w:t>
      </w:r>
    </w:p>
    <w:p w:rsidR="00F403A3" w:rsidRPr="00F403A3" w:rsidRDefault="000D325A" w:rsidP="00261751">
      <w:pPr>
        <w:pStyle w:val="BulletText"/>
        <w:rPr>
          <w:rFonts w:eastAsia="Batang"/>
          <w:color w:val="000000"/>
          <w:lang w:eastAsia="ko-KR"/>
        </w:rPr>
      </w:pPr>
      <w:r w:rsidRPr="00261751">
        <w:t>a</w:t>
      </w:r>
      <w:r w:rsidR="00F403A3" w:rsidRPr="00261751">
        <w:t>rticulation</w:t>
      </w:r>
      <w:r w:rsidR="00F403A3" w:rsidRPr="00F403A3">
        <w:rPr>
          <w:rFonts w:eastAsia="Batang"/>
          <w:color w:val="000000"/>
          <w:lang w:eastAsia="ko-KR"/>
        </w:rPr>
        <w:t xml:space="preserve"> of the base case scenario (status quo) and policy options</w:t>
      </w:r>
      <w:r>
        <w:rPr>
          <w:rFonts w:eastAsia="Batang"/>
          <w:color w:val="000000"/>
          <w:lang w:eastAsia="ko-KR"/>
        </w:rPr>
        <w:t>;</w:t>
      </w:r>
    </w:p>
    <w:p w:rsidR="00F403A3" w:rsidRPr="00F403A3" w:rsidRDefault="000D325A" w:rsidP="00261751">
      <w:pPr>
        <w:pStyle w:val="BulletText"/>
        <w:rPr>
          <w:rFonts w:eastAsia="Batang"/>
          <w:color w:val="000000"/>
          <w:lang w:eastAsia="ko-KR"/>
        </w:rPr>
      </w:pPr>
      <w:r w:rsidRPr="00261751">
        <w:lastRenderedPageBreak/>
        <w:t>i</w:t>
      </w:r>
      <w:r w:rsidR="00F403A3" w:rsidRPr="00261751">
        <w:t>dentification</w:t>
      </w:r>
      <w:r w:rsidR="00F403A3" w:rsidRPr="00F403A3">
        <w:rPr>
          <w:rFonts w:eastAsia="Batang"/>
          <w:color w:val="000000"/>
          <w:lang w:eastAsia="ko-KR"/>
        </w:rPr>
        <w:t xml:space="preserve"> of the relevant economic, social and environmental costs and benefits</w:t>
      </w:r>
      <w:r>
        <w:rPr>
          <w:rFonts w:eastAsia="Batang"/>
          <w:color w:val="000000"/>
          <w:lang w:eastAsia="ko-KR"/>
        </w:rPr>
        <w:t>;</w:t>
      </w:r>
    </w:p>
    <w:p w:rsidR="00F403A3" w:rsidRPr="00F403A3" w:rsidRDefault="000D325A" w:rsidP="00261751">
      <w:pPr>
        <w:pStyle w:val="BulletText"/>
        <w:rPr>
          <w:rFonts w:eastAsia="Batang"/>
          <w:color w:val="000000"/>
          <w:lang w:eastAsia="ko-KR"/>
        </w:rPr>
      </w:pPr>
      <w:r w:rsidRPr="00261751">
        <w:t>q</w:t>
      </w:r>
      <w:r w:rsidR="00F403A3" w:rsidRPr="00261751">
        <w:t>uantification</w:t>
      </w:r>
      <w:r w:rsidR="00F403A3" w:rsidRPr="00F403A3">
        <w:rPr>
          <w:rFonts w:eastAsia="Batang"/>
          <w:color w:val="000000"/>
          <w:lang w:eastAsia="ko-KR"/>
        </w:rPr>
        <w:t xml:space="preserve"> of the identified costs and benefits</w:t>
      </w:r>
      <w:r>
        <w:rPr>
          <w:rFonts w:eastAsia="Batang"/>
          <w:color w:val="000000"/>
          <w:lang w:eastAsia="ko-KR"/>
        </w:rPr>
        <w:t>;</w:t>
      </w:r>
    </w:p>
    <w:p w:rsidR="00B76115" w:rsidRDefault="000D325A" w:rsidP="00261751">
      <w:pPr>
        <w:pStyle w:val="BulletText"/>
        <w:rPr>
          <w:rFonts w:eastAsia="Batang"/>
          <w:color w:val="000000"/>
          <w:lang w:eastAsia="ko-KR"/>
        </w:rPr>
      </w:pPr>
      <w:r w:rsidRPr="00261751">
        <w:t>q</w:t>
      </w:r>
      <w:r w:rsidR="00B76115" w:rsidRPr="00261751">
        <w:t>ualitative</w:t>
      </w:r>
      <w:r w:rsidR="00B76115">
        <w:rPr>
          <w:rFonts w:eastAsia="Batang"/>
          <w:color w:val="000000"/>
          <w:lang w:eastAsia="ko-KR"/>
        </w:rPr>
        <w:t xml:space="preserve"> description of costs and benefits that cannot be readily quantified</w:t>
      </w:r>
      <w:r>
        <w:rPr>
          <w:rFonts w:eastAsia="Batang"/>
          <w:color w:val="000000"/>
          <w:lang w:eastAsia="ko-KR"/>
        </w:rPr>
        <w:t>;</w:t>
      </w:r>
    </w:p>
    <w:p w:rsidR="00F403A3" w:rsidRPr="00F403A3" w:rsidRDefault="000D325A" w:rsidP="00261751">
      <w:pPr>
        <w:pStyle w:val="BulletText"/>
        <w:rPr>
          <w:rFonts w:eastAsia="Batang"/>
          <w:color w:val="000000"/>
          <w:lang w:eastAsia="ko-KR"/>
        </w:rPr>
      </w:pPr>
      <w:r w:rsidRPr="00261751">
        <w:t>g</w:t>
      </w:r>
      <w:r w:rsidR="00F403A3" w:rsidRPr="00261751">
        <w:t>eneration</w:t>
      </w:r>
      <w:r w:rsidR="00F403A3" w:rsidRPr="00F403A3">
        <w:rPr>
          <w:rFonts w:eastAsia="Batang"/>
          <w:color w:val="000000"/>
          <w:lang w:eastAsia="ko-KR"/>
        </w:rPr>
        <w:t xml:space="preserve"> of the economic performance measures (such as net present value (NPV) and benefit cost ratio (BCR)) to: </w:t>
      </w:r>
    </w:p>
    <w:p w:rsidR="00F403A3" w:rsidRPr="00F403A3" w:rsidRDefault="000D325A" w:rsidP="00261751">
      <w:pPr>
        <w:pStyle w:val="BulletText"/>
        <w:numPr>
          <w:ilvl w:val="1"/>
          <w:numId w:val="14"/>
        </w:numPr>
        <w:rPr>
          <w:rFonts w:eastAsia="Batang"/>
          <w:color w:val="000000"/>
          <w:lang w:eastAsia="ko-KR"/>
        </w:rPr>
      </w:pPr>
      <w:r w:rsidRPr="00261751">
        <w:t>c</w:t>
      </w:r>
      <w:r w:rsidR="00F403A3" w:rsidRPr="00261751">
        <w:t>ompare</w:t>
      </w:r>
      <w:r w:rsidR="00F403A3" w:rsidRPr="00F403A3">
        <w:rPr>
          <w:rFonts w:eastAsia="Batang"/>
          <w:color w:val="000000"/>
          <w:lang w:eastAsia="ko-KR"/>
        </w:rPr>
        <w:t xml:space="preserve"> and contrast quantified costs against the benefits over an appropriate timeframe</w:t>
      </w:r>
    </w:p>
    <w:p w:rsidR="00F403A3" w:rsidRPr="00F403A3" w:rsidRDefault="000D325A" w:rsidP="00261751">
      <w:pPr>
        <w:pStyle w:val="BulletText"/>
        <w:numPr>
          <w:ilvl w:val="1"/>
          <w:numId w:val="14"/>
        </w:numPr>
        <w:rPr>
          <w:rFonts w:eastAsia="Batang"/>
          <w:color w:val="000000"/>
          <w:lang w:eastAsia="ko-KR"/>
        </w:rPr>
      </w:pPr>
      <w:r w:rsidRPr="00261751">
        <w:t>r</w:t>
      </w:r>
      <w:r w:rsidR="00F403A3" w:rsidRPr="00261751">
        <w:t>ank</w:t>
      </w:r>
      <w:r w:rsidR="00F403A3" w:rsidRPr="00F403A3">
        <w:rPr>
          <w:rFonts w:eastAsia="Batang"/>
          <w:color w:val="000000"/>
          <w:lang w:eastAsia="ko-KR"/>
        </w:rPr>
        <w:t xml:space="preserve"> the economic returns expected across the proposed options</w:t>
      </w:r>
      <w:r>
        <w:rPr>
          <w:rFonts w:eastAsia="Batang"/>
          <w:color w:val="000000"/>
          <w:lang w:eastAsia="ko-KR"/>
        </w:rPr>
        <w:t>; and</w:t>
      </w:r>
    </w:p>
    <w:p w:rsidR="00F403A3" w:rsidRDefault="000D325A" w:rsidP="00261751">
      <w:pPr>
        <w:pStyle w:val="BulletText"/>
        <w:rPr>
          <w:rFonts w:eastAsia="Batang"/>
          <w:color w:val="000000"/>
          <w:lang w:eastAsia="ko-KR"/>
        </w:rPr>
      </w:pPr>
      <w:proofErr w:type="gramStart"/>
      <w:r w:rsidRPr="00261751">
        <w:t>u</w:t>
      </w:r>
      <w:r w:rsidR="00F403A3" w:rsidRPr="00261751">
        <w:t>ndertake</w:t>
      </w:r>
      <w:proofErr w:type="gramEnd"/>
      <w:r w:rsidR="00F403A3" w:rsidRPr="00F403A3">
        <w:rPr>
          <w:rFonts w:eastAsia="Batang"/>
          <w:color w:val="000000"/>
          <w:lang w:eastAsia="ko-KR"/>
        </w:rPr>
        <w:t xml:space="preserve"> a sensitivity analysis to assess the sensitivity of performance measures to changes in key variables. </w:t>
      </w:r>
    </w:p>
    <w:p w:rsidR="00E85669" w:rsidRDefault="00E85669" w:rsidP="003A5688">
      <w:pPr>
        <w:pStyle w:val="BodyText"/>
        <w:rPr>
          <w:rFonts w:eastAsia="SimSun"/>
          <w:lang w:eastAsia="en-AU"/>
        </w:rPr>
      </w:pPr>
      <w:r>
        <w:rPr>
          <w:rFonts w:eastAsia="SimSun"/>
          <w:lang w:eastAsia="en-AU"/>
        </w:rPr>
        <w:t xml:space="preserve">The performance measures described above are defined as follows: </w:t>
      </w:r>
    </w:p>
    <w:p w:rsidR="00E85669" w:rsidRPr="00E85669" w:rsidRDefault="00E85669" w:rsidP="00E85669">
      <w:pPr>
        <w:pStyle w:val="BulletText"/>
        <w:rPr>
          <w:i/>
          <w:lang w:eastAsia="en-AU"/>
        </w:rPr>
      </w:pPr>
      <w:r w:rsidRPr="00E85669">
        <w:rPr>
          <w:i/>
          <w:lang w:eastAsia="en-AU"/>
        </w:rPr>
        <w:t>NPV</w:t>
      </w:r>
      <w:r>
        <w:rPr>
          <w:i/>
          <w:lang w:eastAsia="en-AU"/>
        </w:rPr>
        <w:t xml:space="preserve"> – </w:t>
      </w:r>
      <w:r>
        <w:rPr>
          <w:lang w:eastAsia="en-AU"/>
        </w:rPr>
        <w:t xml:space="preserve">the difference between the present value of </w:t>
      </w:r>
      <w:r w:rsidR="00B025E1">
        <w:rPr>
          <w:lang w:eastAsia="en-AU"/>
        </w:rPr>
        <w:t xml:space="preserve">total </w:t>
      </w:r>
      <w:r>
        <w:rPr>
          <w:lang w:eastAsia="en-AU"/>
        </w:rPr>
        <w:t>benefits and the present value of total costs; and</w:t>
      </w:r>
    </w:p>
    <w:p w:rsidR="00E85669" w:rsidRPr="00E85669" w:rsidRDefault="00E85669" w:rsidP="00E85669">
      <w:pPr>
        <w:pStyle w:val="BulletText"/>
        <w:rPr>
          <w:i/>
          <w:lang w:eastAsia="en-AU"/>
        </w:rPr>
      </w:pPr>
      <w:r>
        <w:rPr>
          <w:i/>
          <w:lang w:eastAsia="en-AU"/>
        </w:rPr>
        <w:t xml:space="preserve">BCR – </w:t>
      </w:r>
      <w:r>
        <w:rPr>
          <w:lang w:eastAsia="en-AU"/>
        </w:rPr>
        <w:t>ratio of the present value of total benefits to the present value of total costs.</w:t>
      </w:r>
    </w:p>
    <w:p w:rsidR="00E85669" w:rsidRDefault="00E85669" w:rsidP="003A5688">
      <w:pPr>
        <w:pStyle w:val="BodyText"/>
        <w:rPr>
          <w:rFonts w:eastAsia="SimSun"/>
          <w:lang w:eastAsia="en-AU"/>
        </w:rPr>
      </w:pPr>
      <w:r>
        <w:rPr>
          <w:rFonts w:eastAsia="SimSun"/>
          <w:lang w:eastAsia="en-AU"/>
        </w:rPr>
        <w:t xml:space="preserve">Options that yield a positive </w:t>
      </w:r>
      <w:r w:rsidR="004A470C">
        <w:rPr>
          <w:rFonts w:eastAsia="SimSun"/>
          <w:lang w:eastAsia="en-AU"/>
        </w:rPr>
        <w:t xml:space="preserve">NPV indicate that the benefits outweigh the costs over the evaluation period. </w:t>
      </w:r>
      <w:proofErr w:type="gramStart"/>
      <w:r w:rsidR="004A470C">
        <w:rPr>
          <w:rFonts w:eastAsia="SimSun"/>
          <w:lang w:eastAsia="en-AU"/>
        </w:rPr>
        <w:t xml:space="preserve">A BCR greater than </w:t>
      </w:r>
      <w:r w:rsidR="00785E11">
        <w:rPr>
          <w:rFonts w:eastAsia="SimSun"/>
          <w:lang w:eastAsia="en-AU"/>
        </w:rPr>
        <w:t xml:space="preserve">one </w:t>
      </w:r>
      <w:r w:rsidR="004A470C">
        <w:rPr>
          <w:rFonts w:eastAsia="SimSun"/>
          <w:lang w:eastAsia="en-AU"/>
        </w:rPr>
        <w:t>indicates that the option benefits exceed option costs over the evaluation period.</w:t>
      </w:r>
      <w:proofErr w:type="gramEnd"/>
      <w:r w:rsidR="004A470C">
        <w:rPr>
          <w:rFonts w:eastAsia="SimSun"/>
          <w:lang w:eastAsia="en-AU"/>
        </w:rPr>
        <w:t xml:space="preserve"> </w:t>
      </w:r>
      <w:r w:rsidR="008C4591">
        <w:rPr>
          <w:rFonts w:eastAsia="SimSun"/>
          <w:lang w:eastAsia="en-AU"/>
        </w:rPr>
        <w:t xml:space="preserve">A BCR less than one </w:t>
      </w:r>
      <w:proofErr w:type="gramStart"/>
      <w:r w:rsidR="008C4591">
        <w:rPr>
          <w:rFonts w:eastAsia="SimSun"/>
          <w:lang w:eastAsia="en-AU"/>
        </w:rPr>
        <w:t>indicates</w:t>
      </w:r>
      <w:proofErr w:type="gramEnd"/>
      <w:r w:rsidR="008C4591">
        <w:rPr>
          <w:rFonts w:eastAsia="SimSun"/>
          <w:lang w:eastAsia="en-AU"/>
        </w:rPr>
        <w:t xml:space="preserve"> that the option costs exceed the option benefits over the evaluation period. </w:t>
      </w:r>
    </w:p>
    <w:p w:rsidR="00F403A3" w:rsidRDefault="003A5688" w:rsidP="003A5688">
      <w:pPr>
        <w:pStyle w:val="BodyText"/>
        <w:rPr>
          <w:rFonts w:eastAsia="SimSun"/>
          <w:lang w:eastAsia="en-AU"/>
        </w:rPr>
      </w:pPr>
      <w:r>
        <w:rPr>
          <w:rFonts w:eastAsia="SimSun"/>
          <w:lang w:eastAsia="en-AU"/>
        </w:rPr>
        <w:t>Standard economic evaluation assumptions adopted for the analysis are outline in</w:t>
      </w:r>
      <w:r w:rsidR="00CE3BAC">
        <w:rPr>
          <w:rFonts w:eastAsia="SimSun"/>
          <w:lang w:eastAsia="en-AU"/>
        </w:rPr>
        <w:t xml:space="preserve"> </w:t>
      </w:r>
      <w:r w:rsidR="00586F30">
        <w:rPr>
          <w:rFonts w:eastAsia="SimSun"/>
          <w:lang w:eastAsia="en-AU"/>
        </w:rPr>
        <w:fldChar w:fldCharType="begin"/>
      </w:r>
      <w:r w:rsidR="00CE3BAC">
        <w:rPr>
          <w:rFonts w:eastAsia="SimSun"/>
          <w:lang w:eastAsia="en-AU"/>
        </w:rPr>
        <w:instrText xml:space="preserve"> REF _Ref396765741 \h </w:instrText>
      </w:r>
      <w:r w:rsidR="00586F30">
        <w:rPr>
          <w:rFonts w:eastAsia="SimSun"/>
          <w:lang w:eastAsia="en-AU"/>
        </w:rPr>
      </w:r>
      <w:r w:rsidR="00586F30">
        <w:rPr>
          <w:rFonts w:eastAsia="SimSun"/>
          <w:lang w:eastAsia="en-AU"/>
        </w:rPr>
        <w:fldChar w:fldCharType="separate"/>
      </w:r>
      <w:r w:rsidR="001E5D7A">
        <w:t xml:space="preserve">Table </w:t>
      </w:r>
      <w:r w:rsidR="001E5D7A">
        <w:rPr>
          <w:noProof/>
        </w:rPr>
        <w:t>3</w:t>
      </w:r>
      <w:r w:rsidR="001E5D7A">
        <w:noBreakHyphen/>
      </w:r>
      <w:r w:rsidR="001E5D7A">
        <w:rPr>
          <w:noProof/>
        </w:rPr>
        <w:t>1</w:t>
      </w:r>
      <w:r w:rsidR="00586F30">
        <w:rPr>
          <w:rFonts w:eastAsia="SimSun"/>
          <w:lang w:eastAsia="en-AU"/>
        </w:rPr>
        <w:fldChar w:fldCharType="end"/>
      </w:r>
      <w:r w:rsidR="00CE3BAC">
        <w:rPr>
          <w:rFonts w:eastAsia="SimSun"/>
          <w:lang w:eastAsia="en-AU"/>
        </w:rPr>
        <w:t>.</w:t>
      </w:r>
    </w:p>
    <w:p w:rsidR="003A5688" w:rsidRDefault="00CE3BAC" w:rsidP="00CE3BAC">
      <w:pPr>
        <w:pStyle w:val="Caption"/>
        <w:rPr>
          <w:rFonts w:eastAsia="SimSun"/>
          <w:lang w:eastAsia="en-AU"/>
        </w:rPr>
      </w:pPr>
      <w:bookmarkStart w:id="22" w:name="_Ref396765741"/>
      <w:r>
        <w:t xml:space="preserve">Table </w:t>
      </w:r>
      <w:r w:rsidR="00586F30">
        <w:fldChar w:fldCharType="begin"/>
      </w:r>
      <w:r w:rsidR="00C478AE">
        <w:instrText xml:space="preserve"> STYLEREF 1 \s </w:instrText>
      </w:r>
      <w:r w:rsidR="00586F30">
        <w:fldChar w:fldCharType="separate"/>
      </w:r>
      <w:r w:rsidR="001E5D7A">
        <w:rPr>
          <w:noProof/>
        </w:rPr>
        <w:t>3</w:t>
      </w:r>
      <w:r w:rsidR="00586F30">
        <w:rPr>
          <w:noProof/>
        </w:rPr>
        <w:fldChar w:fldCharType="end"/>
      </w:r>
      <w:r>
        <w:noBreakHyphen/>
      </w:r>
      <w:r w:rsidR="00586F30">
        <w:fldChar w:fldCharType="begin"/>
      </w:r>
      <w:r w:rsidR="00C478AE">
        <w:instrText xml:space="preserve"> SEQ Table \* ARABIC \s 1 </w:instrText>
      </w:r>
      <w:r w:rsidR="00586F30">
        <w:fldChar w:fldCharType="separate"/>
      </w:r>
      <w:r w:rsidR="001E5D7A">
        <w:rPr>
          <w:noProof/>
        </w:rPr>
        <w:t>1</w:t>
      </w:r>
      <w:r w:rsidR="00586F30">
        <w:rPr>
          <w:noProof/>
        </w:rPr>
        <w:fldChar w:fldCharType="end"/>
      </w:r>
      <w:bookmarkEnd w:id="22"/>
      <w:r>
        <w:t xml:space="preserve">: </w:t>
      </w:r>
      <w:r w:rsidR="003A5688" w:rsidRPr="000D325A">
        <w:rPr>
          <w:rFonts w:eastAsia="SimSun"/>
        </w:rPr>
        <w:t>Standard economic appraisal assumptions</w:t>
      </w:r>
    </w:p>
    <w:tbl>
      <w:tblPr>
        <w:tblStyle w:val="TableGrid"/>
        <w:tblW w:w="0" w:type="auto"/>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tblPr>
      <w:tblGrid>
        <w:gridCol w:w="1242"/>
        <w:gridCol w:w="1134"/>
        <w:gridCol w:w="6345"/>
      </w:tblGrid>
      <w:tr w:rsidR="003A5688" w:rsidRPr="008C4591" w:rsidTr="003F3B13">
        <w:trPr>
          <w:tblHeader/>
        </w:trPr>
        <w:tc>
          <w:tcPr>
            <w:tcW w:w="1242" w:type="dxa"/>
            <w:shd w:val="clear" w:color="auto" w:fill="1F497D" w:themeFill="text2"/>
          </w:tcPr>
          <w:p w:rsidR="003A5688" w:rsidRPr="008C4591" w:rsidRDefault="003A5688" w:rsidP="003A5688">
            <w:pPr>
              <w:pStyle w:val="BodyText"/>
              <w:rPr>
                <w:rFonts w:eastAsia="SimSun"/>
                <w:b/>
                <w:color w:val="FFFFFF" w:themeColor="background1"/>
                <w:sz w:val="20"/>
                <w:lang w:eastAsia="en-AU"/>
              </w:rPr>
            </w:pPr>
            <w:r w:rsidRPr="008C4591">
              <w:rPr>
                <w:rFonts w:eastAsia="SimSun"/>
                <w:b/>
                <w:color w:val="FFFFFF" w:themeColor="background1"/>
                <w:sz w:val="20"/>
                <w:lang w:eastAsia="en-AU"/>
              </w:rPr>
              <w:t>Parameter</w:t>
            </w:r>
          </w:p>
        </w:tc>
        <w:tc>
          <w:tcPr>
            <w:tcW w:w="1134" w:type="dxa"/>
            <w:shd w:val="clear" w:color="auto" w:fill="1F497D" w:themeFill="text2"/>
          </w:tcPr>
          <w:p w:rsidR="003A5688" w:rsidRPr="008C4591" w:rsidRDefault="003A5688" w:rsidP="000D325A">
            <w:pPr>
              <w:pStyle w:val="BodyText"/>
              <w:jc w:val="right"/>
              <w:rPr>
                <w:rFonts w:eastAsia="SimSun"/>
                <w:b/>
                <w:color w:val="FFFFFF" w:themeColor="background1"/>
                <w:sz w:val="20"/>
                <w:lang w:eastAsia="en-AU"/>
              </w:rPr>
            </w:pPr>
            <w:r w:rsidRPr="008C4591">
              <w:rPr>
                <w:rFonts w:eastAsia="SimSun"/>
                <w:b/>
                <w:color w:val="FFFFFF" w:themeColor="background1"/>
                <w:sz w:val="20"/>
                <w:lang w:eastAsia="en-AU"/>
              </w:rPr>
              <w:t xml:space="preserve">Value </w:t>
            </w:r>
          </w:p>
        </w:tc>
        <w:tc>
          <w:tcPr>
            <w:tcW w:w="6345" w:type="dxa"/>
            <w:shd w:val="clear" w:color="auto" w:fill="1F497D" w:themeFill="text2"/>
          </w:tcPr>
          <w:p w:rsidR="003A5688" w:rsidRPr="008C4591" w:rsidRDefault="003A5688" w:rsidP="003A5688">
            <w:pPr>
              <w:pStyle w:val="BodyText"/>
              <w:rPr>
                <w:rFonts w:eastAsia="SimSun"/>
                <w:b/>
                <w:color w:val="FFFFFF" w:themeColor="background1"/>
                <w:sz w:val="20"/>
                <w:lang w:eastAsia="en-AU"/>
              </w:rPr>
            </w:pPr>
            <w:r w:rsidRPr="008C4591">
              <w:rPr>
                <w:rFonts w:eastAsia="SimSun"/>
                <w:b/>
                <w:color w:val="FFFFFF" w:themeColor="background1"/>
                <w:sz w:val="20"/>
                <w:lang w:eastAsia="en-AU"/>
              </w:rPr>
              <w:t>Rationale</w:t>
            </w:r>
          </w:p>
        </w:tc>
      </w:tr>
      <w:tr w:rsidR="003A5688" w:rsidRPr="008C4591" w:rsidTr="008C4591">
        <w:trPr>
          <w:trHeight w:val="1569"/>
        </w:trPr>
        <w:tc>
          <w:tcPr>
            <w:tcW w:w="1242" w:type="dxa"/>
            <w:shd w:val="clear" w:color="auto" w:fill="C6D9F1" w:themeFill="text2" w:themeFillTint="33"/>
          </w:tcPr>
          <w:p w:rsidR="003A5688" w:rsidRPr="008C4591" w:rsidRDefault="003A5688" w:rsidP="003A5688">
            <w:pPr>
              <w:pStyle w:val="BodyText"/>
              <w:rPr>
                <w:rFonts w:eastAsia="SimSun"/>
                <w:sz w:val="20"/>
                <w:lang w:eastAsia="en-AU"/>
              </w:rPr>
            </w:pPr>
            <w:r w:rsidRPr="008C4591">
              <w:rPr>
                <w:rFonts w:eastAsia="SimSun"/>
                <w:sz w:val="20"/>
                <w:lang w:eastAsia="en-AU"/>
              </w:rPr>
              <w:t>Discount rate</w:t>
            </w:r>
          </w:p>
        </w:tc>
        <w:tc>
          <w:tcPr>
            <w:tcW w:w="1134" w:type="dxa"/>
          </w:tcPr>
          <w:p w:rsidR="003A5688" w:rsidRPr="008C4591" w:rsidRDefault="000D325A" w:rsidP="000D325A">
            <w:pPr>
              <w:pStyle w:val="BodyText"/>
              <w:jc w:val="right"/>
              <w:rPr>
                <w:rFonts w:eastAsia="SimSun"/>
                <w:sz w:val="20"/>
                <w:lang w:eastAsia="en-AU"/>
              </w:rPr>
            </w:pPr>
            <w:r w:rsidRPr="008C4591">
              <w:rPr>
                <w:rFonts w:eastAsia="SimSun"/>
                <w:sz w:val="20"/>
                <w:lang w:eastAsia="en-AU"/>
              </w:rPr>
              <w:t>7 per cent</w:t>
            </w:r>
          </w:p>
        </w:tc>
        <w:tc>
          <w:tcPr>
            <w:tcW w:w="6345" w:type="dxa"/>
          </w:tcPr>
          <w:p w:rsidR="003A5688" w:rsidRPr="008C4591" w:rsidRDefault="003A5688" w:rsidP="003A5688">
            <w:pPr>
              <w:pStyle w:val="BodyText"/>
              <w:rPr>
                <w:rFonts w:eastAsia="SimSun"/>
                <w:sz w:val="20"/>
                <w:lang w:eastAsia="en-AU"/>
              </w:rPr>
            </w:pPr>
            <w:r w:rsidRPr="008C4591">
              <w:rPr>
                <w:rFonts w:eastAsia="SimSun"/>
                <w:sz w:val="20"/>
                <w:lang w:eastAsia="en-AU"/>
              </w:rPr>
              <w:t xml:space="preserve">The discount rate converts costs and benefits that occur in different time periods to the present value (see price year) so they can be compared. </w:t>
            </w:r>
          </w:p>
          <w:p w:rsidR="003A5688" w:rsidRPr="008C4591" w:rsidRDefault="003A5688" w:rsidP="003A5688">
            <w:pPr>
              <w:pStyle w:val="BodyText"/>
              <w:rPr>
                <w:rFonts w:eastAsia="SimSun"/>
                <w:sz w:val="20"/>
                <w:lang w:eastAsia="en-AU"/>
              </w:rPr>
            </w:pPr>
            <w:r w:rsidRPr="008C4591">
              <w:rPr>
                <w:rFonts w:eastAsia="SimSun"/>
                <w:sz w:val="20"/>
                <w:lang w:eastAsia="en-AU"/>
              </w:rPr>
              <w:t xml:space="preserve">The discount rate is aligned with the OBPR’s guidelines for RIS and BCC. </w:t>
            </w:r>
          </w:p>
          <w:p w:rsidR="003A5688" w:rsidRPr="008C4591" w:rsidRDefault="003A5688" w:rsidP="003A5688">
            <w:pPr>
              <w:pStyle w:val="BodyText"/>
              <w:rPr>
                <w:rFonts w:eastAsia="SimSun"/>
                <w:sz w:val="20"/>
                <w:lang w:eastAsia="en-AU"/>
              </w:rPr>
            </w:pPr>
            <w:r w:rsidRPr="008C4591">
              <w:rPr>
                <w:rFonts w:eastAsia="SimSun"/>
                <w:sz w:val="20"/>
                <w:lang w:eastAsia="en-AU"/>
              </w:rPr>
              <w:t>The OBPR recommends 7% as the default real discount rate for use with the Business Cost Calculator.</w:t>
            </w:r>
          </w:p>
        </w:tc>
      </w:tr>
      <w:tr w:rsidR="003A5688" w:rsidRPr="008C4591" w:rsidTr="008C4591">
        <w:tc>
          <w:tcPr>
            <w:tcW w:w="1242" w:type="dxa"/>
            <w:shd w:val="clear" w:color="auto" w:fill="C6D9F1" w:themeFill="text2" w:themeFillTint="33"/>
          </w:tcPr>
          <w:p w:rsidR="003A5688" w:rsidRPr="008C4591" w:rsidRDefault="003A5688" w:rsidP="003A5688">
            <w:pPr>
              <w:pStyle w:val="BodyText"/>
              <w:rPr>
                <w:rFonts w:eastAsia="SimSun"/>
                <w:sz w:val="20"/>
                <w:lang w:eastAsia="en-AU"/>
              </w:rPr>
            </w:pPr>
            <w:r w:rsidRPr="008C4591">
              <w:rPr>
                <w:rFonts w:eastAsia="SimSun"/>
                <w:sz w:val="20"/>
                <w:lang w:eastAsia="en-AU"/>
              </w:rPr>
              <w:t>Price year</w:t>
            </w:r>
          </w:p>
        </w:tc>
        <w:tc>
          <w:tcPr>
            <w:tcW w:w="1134" w:type="dxa"/>
          </w:tcPr>
          <w:p w:rsidR="003A5688" w:rsidRPr="008C4591" w:rsidRDefault="003A5688" w:rsidP="000D325A">
            <w:pPr>
              <w:pStyle w:val="BodyText"/>
              <w:jc w:val="right"/>
              <w:rPr>
                <w:rFonts w:eastAsia="SimSun"/>
                <w:sz w:val="20"/>
                <w:lang w:eastAsia="en-AU"/>
              </w:rPr>
            </w:pPr>
            <w:r w:rsidRPr="008C4591">
              <w:rPr>
                <w:rFonts w:eastAsia="SimSun"/>
                <w:sz w:val="20"/>
                <w:lang w:eastAsia="en-AU"/>
              </w:rPr>
              <w:t>2014</w:t>
            </w:r>
          </w:p>
        </w:tc>
        <w:tc>
          <w:tcPr>
            <w:tcW w:w="6345" w:type="dxa"/>
          </w:tcPr>
          <w:p w:rsidR="003A5688" w:rsidRPr="008C4591" w:rsidRDefault="003A5688">
            <w:pPr>
              <w:pStyle w:val="BodyText"/>
              <w:rPr>
                <w:rFonts w:eastAsia="SimSun"/>
                <w:sz w:val="20"/>
                <w:lang w:eastAsia="en-AU"/>
              </w:rPr>
            </w:pPr>
            <w:r w:rsidRPr="008C4591">
              <w:rPr>
                <w:rFonts w:eastAsia="SimSun"/>
                <w:sz w:val="20"/>
                <w:lang w:eastAsia="en-AU"/>
              </w:rPr>
              <w:t xml:space="preserve">The price year is the year in which the value of all costs and benefits will be expressed. All values will be discounted to the price year. </w:t>
            </w:r>
            <w:r w:rsidR="00B025E1">
              <w:rPr>
                <w:rFonts w:eastAsia="SimSun"/>
                <w:sz w:val="20"/>
                <w:lang w:eastAsia="en-AU"/>
              </w:rPr>
              <w:t>Due to factors like inflation and the opportunity cost of investing, a</w:t>
            </w:r>
            <w:r w:rsidRPr="008C4591">
              <w:rPr>
                <w:rFonts w:eastAsia="SimSun"/>
                <w:sz w:val="20"/>
                <w:lang w:eastAsia="en-AU"/>
              </w:rPr>
              <w:t xml:space="preserve"> dollar today is worth more than a dollar tomorrow, so future costs and benefits will be converted to an equivalent amount in the price year’s dollars by applying the discount rate.</w:t>
            </w:r>
          </w:p>
        </w:tc>
      </w:tr>
      <w:tr w:rsidR="003A5688" w:rsidRPr="008C4591" w:rsidTr="008C4591">
        <w:tc>
          <w:tcPr>
            <w:tcW w:w="1242" w:type="dxa"/>
            <w:shd w:val="clear" w:color="auto" w:fill="C6D9F1" w:themeFill="text2" w:themeFillTint="33"/>
          </w:tcPr>
          <w:p w:rsidR="003A5688" w:rsidRPr="008C4591" w:rsidRDefault="003A5688" w:rsidP="003A5688">
            <w:pPr>
              <w:pStyle w:val="BodyText"/>
              <w:rPr>
                <w:rFonts w:eastAsia="SimSun"/>
                <w:sz w:val="20"/>
                <w:lang w:eastAsia="en-AU"/>
              </w:rPr>
            </w:pPr>
            <w:r w:rsidRPr="008C4591">
              <w:rPr>
                <w:rFonts w:eastAsia="SimSun"/>
                <w:sz w:val="20"/>
                <w:lang w:eastAsia="en-AU"/>
              </w:rPr>
              <w:t>Evaluation period</w:t>
            </w:r>
          </w:p>
        </w:tc>
        <w:tc>
          <w:tcPr>
            <w:tcW w:w="1134" w:type="dxa"/>
          </w:tcPr>
          <w:p w:rsidR="003A5688" w:rsidRPr="008C4591" w:rsidRDefault="003A5688" w:rsidP="000D325A">
            <w:pPr>
              <w:pStyle w:val="BodyText"/>
              <w:jc w:val="right"/>
              <w:rPr>
                <w:rFonts w:eastAsia="SimSun"/>
                <w:sz w:val="20"/>
                <w:lang w:eastAsia="en-AU"/>
              </w:rPr>
            </w:pPr>
            <w:r w:rsidRPr="008C4591">
              <w:rPr>
                <w:rFonts w:eastAsia="SimSun"/>
                <w:sz w:val="20"/>
                <w:lang w:eastAsia="en-AU"/>
              </w:rPr>
              <w:t>10 years</w:t>
            </w:r>
          </w:p>
        </w:tc>
        <w:tc>
          <w:tcPr>
            <w:tcW w:w="6345" w:type="dxa"/>
          </w:tcPr>
          <w:p w:rsidR="003A5688" w:rsidRPr="008C4591" w:rsidRDefault="003A5688" w:rsidP="003A5688">
            <w:pPr>
              <w:pStyle w:val="BodyText"/>
              <w:rPr>
                <w:rFonts w:eastAsia="SimSun"/>
                <w:sz w:val="20"/>
                <w:lang w:eastAsia="en-AU"/>
              </w:rPr>
            </w:pPr>
            <w:r w:rsidRPr="008C4591">
              <w:rPr>
                <w:rFonts w:eastAsia="SimSun"/>
                <w:sz w:val="20"/>
                <w:lang w:eastAsia="en-AU"/>
              </w:rPr>
              <w:t>The options will be evaluated in terms of the costs and benefits they will yield over a set evaluation period</w:t>
            </w:r>
            <w:r w:rsidR="00D6559E">
              <w:rPr>
                <w:rFonts w:eastAsia="SimSun"/>
                <w:sz w:val="20"/>
                <w:lang w:eastAsia="en-AU"/>
              </w:rPr>
              <w:t xml:space="preserve"> (2014 to 2024)</w:t>
            </w:r>
            <w:r w:rsidRPr="008C4591">
              <w:rPr>
                <w:rFonts w:eastAsia="SimSun"/>
                <w:sz w:val="20"/>
                <w:lang w:eastAsia="en-AU"/>
              </w:rPr>
              <w:t xml:space="preserve">. The OBPR does not have a recommended timeframe for evaluation. The Regulatory Burden Measurement Framework outlines a 10 year timeframe for calculating </w:t>
            </w:r>
            <w:r w:rsidRPr="008C4591">
              <w:rPr>
                <w:rFonts w:eastAsia="SimSun"/>
                <w:sz w:val="20"/>
                <w:lang w:eastAsia="en-AU"/>
              </w:rPr>
              <w:lastRenderedPageBreak/>
              <w:t>business compliance costs.</w:t>
            </w:r>
          </w:p>
        </w:tc>
      </w:tr>
    </w:tbl>
    <w:p w:rsidR="00DF2C71" w:rsidRDefault="00AD54B5" w:rsidP="00EE40A8">
      <w:pPr>
        <w:pStyle w:val="Heading2"/>
      </w:pPr>
      <w:bookmarkStart w:id="23" w:name="_Toc403647585"/>
      <w:r>
        <w:lastRenderedPageBreak/>
        <w:t xml:space="preserve">Base Case and </w:t>
      </w:r>
      <w:r w:rsidR="00EE40A8">
        <w:t>O</w:t>
      </w:r>
      <w:r>
        <w:t>ptions</w:t>
      </w:r>
      <w:r w:rsidR="00EE40A8">
        <w:t xml:space="preserve"> for Analysis</w:t>
      </w:r>
      <w:bookmarkEnd w:id="23"/>
    </w:p>
    <w:p w:rsidR="00EB06E8" w:rsidRDefault="00EB06E8" w:rsidP="00EB06E8">
      <w:pPr>
        <w:pStyle w:val="BodyText"/>
      </w:pPr>
      <w:r w:rsidRPr="006B512D">
        <w:t xml:space="preserve">The current treatment of RAC equipment at end-of-life </w:t>
      </w:r>
      <w:r>
        <w:t xml:space="preserve">has </w:t>
      </w:r>
      <w:r w:rsidRPr="006B512D">
        <w:t>created a range of externalities that businesses and society pay for</w:t>
      </w:r>
      <w:r>
        <w:t>, including:</w:t>
      </w:r>
    </w:p>
    <w:p w:rsidR="00EB06E8" w:rsidRDefault="00EB06E8" w:rsidP="00D1554D">
      <w:pPr>
        <w:pStyle w:val="BulletText"/>
      </w:pPr>
      <w:r w:rsidRPr="006B512D">
        <w:t>human health impacts</w:t>
      </w:r>
      <w:r>
        <w:t>,</w:t>
      </w:r>
    </w:p>
    <w:p w:rsidR="00EB06E8" w:rsidRDefault="00EB06E8" w:rsidP="00D1554D">
      <w:pPr>
        <w:pStyle w:val="BulletText"/>
      </w:pPr>
      <w:r w:rsidRPr="006B512D">
        <w:t>environmental impacts</w:t>
      </w:r>
      <w:r>
        <w:t>, and</w:t>
      </w:r>
    </w:p>
    <w:p w:rsidR="00EB06E8" w:rsidRDefault="00EB06E8" w:rsidP="00D1554D">
      <w:pPr>
        <w:pStyle w:val="BulletText"/>
      </w:pPr>
      <w:proofErr w:type="gramStart"/>
      <w:r w:rsidRPr="006B512D">
        <w:t>loss</w:t>
      </w:r>
      <w:proofErr w:type="gramEnd"/>
      <w:r w:rsidRPr="006B512D">
        <w:t xml:space="preserve"> of recoverable resources.</w:t>
      </w:r>
    </w:p>
    <w:p w:rsidR="00445FE6" w:rsidRPr="00445FE6" w:rsidRDefault="00DF4A79" w:rsidP="00445FE6">
      <w:pPr>
        <w:pStyle w:val="ListBullet"/>
        <w:numPr>
          <w:ilvl w:val="0"/>
          <w:numId w:val="0"/>
        </w:numPr>
        <w:spacing w:before="0" w:line="260" w:lineRule="atLeast"/>
        <w:jc w:val="left"/>
      </w:pPr>
      <w:r>
        <w:t xml:space="preserve">There are a number of potential approaches to reducing these </w:t>
      </w:r>
      <w:r w:rsidR="001304E4">
        <w:t>impacts</w:t>
      </w:r>
      <w:r>
        <w:t xml:space="preserve"> including improved compliance with existing schemes and the introduction of product stewardship options. As outlined in Section 1, the objective and scope of this report is to investigate the costs and benefits associated with </w:t>
      </w:r>
      <w:r w:rsidR="00D6559E">
        <w:t xml:space="preserve">three </w:t>
      </w:r>
      <w:r>
        <w:t xml:space="preserve">product stewardship options. </w:t>
      </w:r>
      <w:r w:rsidR="00445FE6" w:rsidRPr="00792DEB">
        <w:t>The</w:t>
      </w:r>
      <w:r w:rsidR="00445FE6">
        <w:t xml:space="preserve"> </w:t>
      </w:r>
      <w:r w:rsidR="00445FE6" w:rsidRPr="00445FE6">
        <w:t xml:space="preserve">definition of the options were informed by: </w:t>
      </w:r>
    </w:p>
    <w:p w:rsidR="00445FE6" w:rsidRPr="00445FE6" w:rsidRDefault="00445FE6" w:rsidP="00261751">
      <w:pPr>
        <w:pStyle w:val="BulletText"/>
      </w:pPr>
      <w:r w:rsidRPr="00445FE6">
        <w:t xml:space="preserve">KPMG 2014, </w:t>
      </w:r>
      <w:r w:rsidRPr="00445FE6">
        <w:rPr>
          <w:i/>
          <w:iCs/>
        </w:rPr>
        <w:t xml:space="preserve">End-of-life domestic refrigeration and air conditioning equipment in Australia, </w:t>
      </w:r>
      <w:r w:rsidRPr="00445FE6">
        <w:t xml:space="preserve">report prepared for the Department of the Environment; and </w:t>
      </w:r>
    </w:p>
    <w:p w:rsidR="00445FE6" w:rsidRPr="00445FE6" w:rsidRDefault="00676F5A" w:rsidP="00261751">
      <w:pPr>
        <w:pStyle w:val="BulletText"/>
      </w:pPr>
      <w:r>
        <w:t>RAC Working Group</w:t>
      </w:r>
      <w:r w:rsidR="00445FE6" w:rsidRPr="00445FE6">
        <w:t xml:space="preserve"> 2014, </w:t>
      </w:r>
      <w:r w:rsidR="00445FE6" w:rsidRPr="00445FE6">
        <w:rPr>
          <w:i/>
          <w:iCs/>
        </w:rPr>
        <w:t>Feasibility of Product Stewardship for End-of-Life Domestic Refrigerators and Air Conditioners (Draft Options Paper)</w:t>
      </w:r>
      <w:r w:rsidR="00445FE6" w:rsidRPr="00445FE6">
        <w:t xml:space="preserve">, version 2, issued to KPMG in May 2014. </w:t>
      </w:r>
    </w:p>
    <w:p w:rsidR="00DF2C71" w:rsidRDefault="00974A65" w:rsidP="00DF2C71">
      <w:pPr>
        <w:pStyle w:val="BodyText"/>
      </w:pPr>
      <w:r>
        <w:t>All options aim to achieve the following outcomes:</w:t>
      </w:r>
    </w:p>
    <w:p w:rsidR="00A25B26" w:rsidRDefault="00A25B26" w:rsidP="00D1554D">
      <w:pPr>
        <w:pStyle w:val="BulletText"/>
      </w:pPr>
      <w:r>
        <w:t>a reduction in landfill;</w:t>
      </w:r>
    </w:p>
    <w:p w:rsidR="00A25B26" w:rsidRDefault="00A25B26" w:rsidP="00D1554D">
      <w:pPr>
        <w:pStyle w:val="BulletText"/>
      </w:pPr>
      <w:r>
        <w:t>an increase in refrigerant recovery; and</w:t>
      </w:r>
    </w:p>
    <w:p w:rsidR="00A25B26" w:rsidRDefault="00A25B26" w:rsidP="00D1554D">
      <w:pPr>
        <w:pStyle w:val="BulletText"/>
      </w:pPr>
      <w:proofErr w:type="gramStart"/>
      <w:r>
        <w:t>an</w:t>
      </w:r>
      <w:proofErr w:type="gramEnd"/>
      <w:r>
        <w:t xml:space="preserve"> increase in recovery of other resources. </w:t>
      </w:r>
    </w:p>
    <w:p w:rsidR="00974A65" w:rsidRDefault="00974A65" w:rsidP="00974A65">
      <w:pPr>
        <w:spacing w:before="120" w:after="120"/>
        <w:jc w:val="both"/>
      </w:pPr>
      <w:r>
        <w:t>Maintaining the status quo represents the base case and is required to enable identification and measurement of the incremental costs and benefits.</w:t>
      </w:r>
    </w:p>
    <w:p w:rsidR="00974A65" w:rsidRDefault="00974A65" w:rsidP="00974A65">
      <w:pPr>
        <w:spacing w:before="120" w:after="120"/>
        <w:jc w:val="both"/>
      </w:pPr>
      <w:r>
        <w:t>The following sections outlined the base case and options for analysis, including:</w:t>
      </w:r>
    </w:p>
    <w:p w:rsidR="00974A65" w:rsidRDefault="00974A65" w:rsidP="00D1554D">
      <w:pPr>
        <w:pStyle w:val="BulletText"/>
      </w:pPr>
      <w:r>
        <w:t>a description of the option;</w:t>
      </w:r>
    </w:p>
    <w:p w:rsidR="00974A65" w:rsidRDefault="00974A65" w:rsidP="00D1554D">
      <w:pPr>
        <w:pStyle w:val="BulletText"/>
      </w:pPr>
      <w:r>
        <w:t xml:space="preserve">an outline of the specific requirements of each option; </w:t>
      </w:r>
    </w:p>
    <w:p w:rsidR="00B9468C" w:rsidRDefault="00974A65" w:rsidP="00D1554D">
      <w:pPr>
        <w:pStyle w:val="BulletText"/>
      </w:pPr>
      <w:r>
        <w:t>the proposed management arrangements</w:t>
      </w:r>
      <w:r w:rsidR="00B9468C">
        <w:t>; and</w:t>
      </w:r>
    </w:p>
    <w:p w:rsidR="00974A65" w:rsidRDefault="00B9468C" w:rsidP="00D1554D">
      <w:pPr>
        <w:pStyle w:val="BulletText"/>
      </w:pPr>
      <w:proofErr w:type="gramStart"/>
      <w:r>
        <w:t>the</w:t>
      </w:r>
      <w:proofErr w:type="gramEnd"/>
      <w:r>
        <w:t xml:space="preserve"> outcomes achieved.</w:t>
      </w:r>
    </w:p>
    <w:p w:rsidR="00B9468C" w:rsidRDefault="00B9468C" w:rsidP="00E00EE8">
      <w:pPr>
        <w:spacing w:before="120" w:after="120"/>
        <w:jc w:val="both"/>
      </w:pPr>
      <w:r>
        <w:t>The base case and options focus on RAC equipment that will reach end-of-life between 2014 and 2024.</w:t>
      </w:r>
      <w:r w:rsidR="00CB0B21">
        <w:t xml:space="preserve"> The base case and options rely on analysis of historical sales data, forecast sales data, estimated life span and stock to forecast RAC equipment disposal rate and stock level on a </w:t>
      </w:r>
      <w:r w:rsidR="00CB0B21">
        <w:lastRenderedPageBreak/>
        <w:t xml:space="preserve">yearly basis over the 10 year period. It is recognised that RAC equipment disposal and stock levels depend on the expected life span of the equipment. This life span can be impacted by a number of physical characteristics (e.g. quality of design and assembly) and behavioural influences (e.g. desire to upgrade and existence of market for second hand goods). </w:t>
      </w:r>
      <w:r w:rsidR="00BF5D90">
        <w:t>It is recognised that the stock and disposal data that underpin the analysis was developed based</w:t>
      </w:r>
      <w:r w:rsidR="0063673E">
        <w:t xml:space="preserve"> partly </w:t>
      </w:r>
      <w:r w:rsidR="00BF5D90">
        <w:t xml:space="preserve">on anecdotal evidence gathered through stakeholder consultation. Further </w:t>
      </w:r>
      <w:proofErr w:type="gramStart"/>
      <w:r w:rsidR="00BF5D90">
        <w:t>detail regarding the limitations of these data are</w:t>
      </w:r>
      <w:proofErr w:type="gramEnd"/>
      <w:r w:rsidR="00BF5D90">
        <w:t xml:space="preserve"> outlined in Appendix A. </w:t>
      </w:r>
    </w:p>
    <w:p w:rsidR="001304E4" w:rsidRDefault="001304E4" w:rsidP="00E00EE8">
      <w:pPr>
        <w:spacing w:before="120" w:after="120"/>
        <w:jc w:val="both"/>
      </w:pPr>
      <w:r>
        <w:t xml:space="preserve">It is recognised that the RAC industry is undergoing technological change which </w:t>
      </w:r>
      <w:r w:rsidR="008075A9">
        <w:t>has altered the material composition of domestic RAC equipment since the early 1990s and will continue to evolve over the next decade</w:t>
      </w:r>
      <w:r>
        <w:t xml:space="preserve">. In particular, the industry is now manufacturing equipment with refrigerant gases with low GWPs and improved energy efficiency. This report has been limited to the stock of RAC equipment which is expected to reach end of life during 2014-2024. It is acknowledged that the stock of equipment reaching end of life after 2024 could be different. </w:t>
      </w:r>
    </w:p>
    <w:p w:rsidR="0081406E" w:rsidRDefault="002C5ACB" w:rsidP="00E00EE8">
      <w:pPr>
        <w:spacing w:before="120" w:after="120"/>
        <w:jc w:val="both"/>
      </w:pPr>
      <w:r>
        <w:t xml:space="preserve">Under </w:t>
      </w:r>
      <w:r w:rsidR="000E62FA" w:rsidRPr="00F268D2">
        <w:t>all the options, including the base cas</w:t>
      </w:r>
      <w:r>
        <w:t>e</w:t>
      </w:r>
      <w:r w:rsidR="00E47C36">
        <w:t>,</w:t>
      </w:r>
      <w:r>
        <w:t xml:space="preserve"> it is assumed that there is no carbon price</w:t>
      </w:r>
      <w:r w:rsidR="00E47C36">
        <w:t>.</w:t>
      </w:r>
      <w:r w:rsidR="000E62FA" w:rsidRPr="00F268D2">
        <w:t xml:space="preserve">  The repeal of the carbon price </w:t>
      </w:r>
      <w:r w:rsidR="000E62FA">
        <w:t>is expected to reduce the cost of new refrigerants which may</w:t>
      </w:r>
      <w:r w:rsidR="000E62FA" w:rsidRPr="00F268D2">
        <w:t xml:space="preserve"> </w:t>
      </w:r>
      <w:r w:rsidR="000E62FA">
        <w:t xml:space="preserve">cause </w:t>
      </w:r>
      <w:r w:rsidR="000E62FA" w:rsidRPr="00F268D2">
        <w:t xml:space="preserve">a decline in the demand for “second hand” refrigerant gases. Subsequently, </w:t>
      </w:r>
      <w:r>
        <w:t>it is anticipated that the treatment of use</w:t>
      </w:r>
      <w:r w:rsidR="001304E4">
        <w:t>d</w:t>
      </w:r>
      <w:r>
        <w:t xml:space="preserve"> refrigerant at end of life will change, with </w:t>
      </w:r>
      <w:r w:rsidR="000E62FA" w:rsidRPr="00F268D2">
        <w:t xml:space="preserve">the relative proportion of refrigerant gases destroyed </w:t>
      </w:r>
      <w:r>
        <w:t xml:space="preserve">expected to </w:t>
      </w:r>
      <w:r w:rsidR="000E62FA" w:rsidRPr="00F268D2">
        <w:t xml:space="preserve">increase and the </w:t>
      </w:r>
      <w:r>
        <w:t>pro</w:t>
      </w:r>
      <w:r w:rsidR="000E62FA" w:rsidRPr="00F268D2">
        <w:t xml:space="preserve">portion of refrigerant gases reused </w:t>
      </w:r>
      <w:r>
        <w:t xml:space="preserve">expected to </w:t>
      </w:r>
      <w:r w:rsidR="000E62FA" w:rsidRPr="00F268D2">
        <w:t xml:space="preserve">reduce. </w:t>
      </w:r>
      <w:r w:rsidR="00CB0B21">
        <w:t xml:space="preserve">This effect is consistent across all </w:t>
      </w:r>
      <w:proofErr w:type="gramStart"/>
      <w:r w:rsidR="00CB0B21">
        <w:t>options,</w:t>
      </w:r>
      <w:proofErr w:type="gramEnd"/>
      <w:r w:rsidR="00CB0B21">
        <w:t xml:space="preserve"> a</w:t>
      </w:r>
      <w:r w:rsidR="000E62FA" w:rsidRPr="00F268D2">
        <w:t xml:space="preserve">s such this will have </w:t>
      </w:r>
      <w:r w:rsidR="00D6559E">
        <w:t>no net</w:t>
      </w:r>
      <w:r w:rsidR="00D6559E" w:rsidRPr="00F268D2">
        <w:t xml:space="preserve"> </w:t>
      </w:r>
      <w:r w:rsidR="000E62FA" w:rsidRPr="00F268D2">
        <w:t xml:space="preserve">impact on the relative proportion of gas recovered between options. </w:t>
      </w:r>
    </w:p>
    <w:p w:rsidR="00974A65" w:rsidRDefault="00974A65" w:rsidP="00EE40A8">
      <w:pPr>
        <w:pStyle w:val="Heading3"/>
      </w:pPr>
      <w:r>
        <w:t>Base Case (Status Quo)</w:t>
      </w:r>
    </w:p>
    <w:p w:rsidR="0095375B" w:rsidRDefault="008F6C5D" w:rsidP="00EB06E8">
      <w:pPr>
        <w:pStyle w:val="BodyText"/>
      </w:pPr>
      <w:r>
        <w:t>A clearly articulated base case is critical to effectively demonstrate the overall net incremental impact of the product stewardship options. T</w:t>
      </w:r>
      <w:r w:rsidR="00EB06E8">
        <w:t>he base case scenario for the CBA is based on the status quo of current management o</w:t>
      </w:r>
      <w:r w:rsidR="00445FE6">
        <w:t>f RAC equipment at end-of-life</w:t>
      </w:r>
      <w:r w:rsidR="00EB06E8">
        <w:t xml:space="preserve"> in Australia</w:t>
      </w:r>
      <w:r w:rsidR="0095375B">
        <w:t xml:space="preserve">. The base case was developed based on analysis of stakeholders involved in the RAC disposal chain, the impact of stakeholders on disposal practices and the impact of other factors such as regulations and supply chain costs. It also includes quantitative analysis of the amounts of RAC items entering the disposal chain from 2014 to 2024 </w:t>
      </w:r>
      <w:r w:rsidR="00445FE6">
        <w:t>(KPMG 2014)</w:t>
      </w:r>
      <w:r w:rsidR="00EB06E8">
        <w:t>.</w:t>
      </w:r>
      <w:r w:rsidR="0095375B">
        <w:t xml:space="preserve"> Data to inform the baseline was gathered by way of:</w:t>
      </w:r>
    </w:p>
    <w:p w:rsidR="0081406E" w:rsidRDefault="007748FF">
      <w:pPr>
        <w:pStyle w:val="BulletText"/>
      </w:pPr>
      <w:r>
        <w:t>r</w:t>
      </w:r>
      <w:r w:rsidR="0095375B">
        <w:t xml:space="preserve">esearch into the RAC equipment supply chain and the factors affecting sales, disposal rates, and choice of </w:t>
      </w:r>
      <w:r>
        <w:t>disposal pathway;</w:t>
      </w:r>
    </w:p>
    <w:p w:rsidR="0081406E" w:rsidRDefault="007748FF">
      <w:pPr>
        <w:pStyle w:val="BulletText"/>
      </w:pPr>
      <w:r>
        <w:t>e</w:t>
      </w:r>
      <w:r w:rsidR="0095375B">
        <w:t>xtensive consultation with industry stakeholders in the retail, manufacturing, importing, regulation</w:t>
      </w:r>
      <w:r>
        <w:t xml:space="preserve"> and choice of disposal pathway; and</w:t>
      </w:r>
    </w:p>
    <w:p w:rsidR="0081406E" w:rsidRDefault="007748FF">
      <w:pPr>
        <w:pStyle w:val="BulletText"/>
      </w:pPr>
      <w:proofErr w:type="gramStart"/>
      <w:r>
        <w:t>a</w:t>
      </w:r>
      <w:r w:rsidR="0095375B">
        <w:t>nalysis</w:t>
      </w:r>
      <w:proofErr w:type="gramEnd"/>
      <w:r w:rsidR="0095375B">
        <w:t xml:space="preserve"> of sales and lifespan data to determine disposal rates from 2014 to 2024.</w:t>
      </w:r>
      <w:r w:rsidR="00EB06E8">
        <w:t xml:space="preserve"> </w:t>
      </w:r>
    </w:p>
    <w:p w:rsidR="00EB06E8" w:rsidRDefault="00EB06E8" w:rsidP="00EB06E8">
      <w:pPr>
        <w:pStyle w:val="BodyText"/>
      </w:pPr>
      <w:r>
        <w:t xml:space="preserve">Broadly </w:t>
      </w:r>
      <w:r w:rsidR="0095375B">
        <w:t xml:space="preserve">the baseline </w:t>
      </w:r>
      <w:r>
        <w:t xml:space="preserve">includes: </w:t>
      </w:r>
    </w:p>
    <w:p w:rsidR="0081406E" w:rsidRDefault="00EB06E8">
      <w:pPr>
        <w:pStyle w:val="BulletText"/>
      </w:pPr>
      <w:r>
        <w:t>voluntary retailer take-back programs;</w:t>
      </w:r>
    </w:p>
    <w:p w:rsidR="0081406E" w:rsidRDefault="00EB06E8">
      <w:pPr>
        <w:pStyle w:val="BulletText"/>
      </w:pPr>
      <w:r>
        <w:t>State Government recycling programs;</w:t>
      </w:r>
    </w:p>
    <w:p w:rsidR="0081406E" w:rsidRDefault="00EB06E8">
      <w:pPr>
        <w:pStyle w:val="BulletText"/>
      </w:pPr>
      <w:r>
        <w:t>some collection and removal of refrigerant gases;</w:t>
      </w:r>
      <w:r w:rsidR="00E47C36">
        <w:t xml:space="preserve"> and</w:t>
      </w:r>
    </w:p>
    <w:p w:rsidR="0081406E" w:rsidRDefault="00EB06E8">
      <w:pPr>
        <w:pStyle w:val="BulletText"/>
      </w:pPr>
      <w:proofErr w:type="gramStart"/>
      <w:r>
        <w:t>collection</w:t>
      </w:r>
      <w:proofErr w:type="gramEnd"/>
      <w:r>
        <w:t xml:space="preserve"> of ferrous metal and limited collection of non-ferrous.</w:t>
      </w:r>
    </w:p>
    <w:p w:rsidR="00122F56" w:rsidRDefault="00122F56" w:rsidP="00122F56">
      <w:pPr>
        <w:pStyle w:val="BodyText"/>
      </w:pPr>
      <w:r>
        <w:lastRenderedPageBreak/>
        <w:t>There is currently no recovery of blowing agent from insulating foam in Australia.</w:t>
      </w:r>
      <w:r w:rsidR="00BF5D90">
        <w:t xml:space="preserve"> Accordingly, foam has not been considered in the analysis of the base case or the options. </w:t>
      </w:r>
    </w:p>
    <w:p w:rsidR="00122F56" w:rsidRDefault="008F6C5D" w:rsidP="00122F56">
      <w:pPr>
        <w:pStyle w:val="BodyText"/>
      </w:pPr>
      <w:r>
        <w:t>The</w:t>
      </w:r>
      <w:r w:rsidR="00122F56">
        <w:t xml:space="preserve"> base case, as it relates to the different equipment types, is outlined below</w:t>
      </w:r>
      <w:r>
        <w:t xml:space="preserve"> with </w:t>
      </w:r>
      <w:r w:rsidR="00E47C36">
        <w:t xml:space="preserve">a </w:t>
      </w:r>
      <w:r>
        <w:t>detailed description included in Appendix A</w:t>
      </w:r>
      <w:r w:rsidR="00122F56">
        <w:t xml:space="preserve">. </w:t>
      </w:r>
    </w:p>
    <w:p w:rsidR="00122F56" w:rsidRDefault="00122F56" w:rsidP="00EE40A8">
      <w:pPr>
        <w:pStyle w:val="Heading5"/>
      </w:pPr>
      <w:r>
        <w:t>Air conditioners</w:t>
      </w:r>
    </w:p>
    <w:p w:rsidR="00445FE6" w:rsidRPr="00445FE6" w:rsidRDefault="00445FE6" w:rsidP="00445FE6">
      <w:pPr>
        <w:pStyle w:val="BodyText"/>
      </w:pPr>
      <w:r w:rsidRPr="00445FE6">
        <w:t xml:space="preserve">Under the current waste management model the householder or equipment owner pays for disposal of air conditioners through the services of a technician to remove and dispose of the unit.  Technicians will remove the refrigerant </w:t>
      </w:r>
      <w:r w:rsidR="00F268D2">
        <w:t>and it</w:t>
      </w:r>
      <w:r w:rsidRPr="00445FE6">
        <w:t xml:space="preserve"> is collected for reuse or sent to RRA for destruction (via a refrigerant wholesaler).</w:t>
      </w:r>
    </w:p>
    <w:p w:rsidR="00445FE6" w:rsidRPr="00445FE6" w:rsidRDefault="00445FE6" w:rsidP="00445FE6">
      <w:pPr>
        <w:pStyle w:val="BodyText"/>
      </w:pPr>
      <w:r w:rsidRPr="00445FE6">
        <w:t xml:space="preserve">No </w:t>
      </w:r>
      <w:r w:rsidR="008C4591">
        <w:t xml:space="preserve">retailer or wholesaler </w:t>
      </w:r>
      <w:r w:rsidRPr="00445FE6">
        <w:t>take</w:t>
      </w:r>
      <w:r w:rsidR="008C4591">
        <w:t>-</w:t>
      </w:r>
      <w:r w:rsidRPr="00445FE6">
        <w:t xml:space="preserve">back programs were identified for end-of-life air </w:t>
      </w:r>
      <w:proofErr w:type="gramStart"/>
      <w:r w:rsidRPr="00445FE6">
        <w:t>conditioners</w:t>
      </w:r>
      <w:r w:rsidR="00785E11">
        <w:t>,</w:t>
      </w:r>
      <w:proofErr w:type="gramEnd"/>
      <w:r w:rsidRPr="00445FE6">
        <w:t xml:space="preserve"> however</w:t>
      </w:r>
      <w:r w:rsidR="00785E11">
        <w:t>,</w:t>
      </w:r>
      <w:r w:rsidRPr="00445FE6">
        <w:t xml:space="preserve"> if the </w:t>
      </w:r>
      <w:r w:rsidR="00A7618E">
        <w:t>t</w:t>
      </w:r>
      <w:r w:rsidRPr="00445FE6">
        <w:t xml:space="preserve">echnician contracted to remove the unit works for a wholesaler or retailer, the unit is likely to be taken to a distribution centre where it is partially disassembled.  Separated metal is sold to a scrap metal merchant or recycler and the remaining materials are sent to landfill.  Alternatively, the unit is taken to a scrap metal merchant for disassembly prior to being sent to a metal recycler for shredding. </w:t>
      </w:r>
    </w:p>
    <w:p w:rsidR="00122F56" w:rsidRDefault="00341B66" w:rsidP="00445FE6">
      <w:pPr>
        <w:pStyle w:val="BodyText"/>
      </w:pPr>
      <w:r>
        <w:t>Industry consultation has indicated that a</w:t>
      </w:r>
      <w:r w:rsidR="00445FE6" w:rsidRPr="00445FE6">
        <w:t xml:space="preserve">pproximately 90 per cent of air conditioners are estimated to be recovered through the pathway described.  </w:t>
      </w:r>
      <w:r w:rsidR="00122F56" w:rsidRPr="00445FE6">
        <w:t>The</w:t>
      </w:r>
      <w:r w:rsidR="00122F56">
        <w:t xml:space="preserve"> estimated stocks and number of units of air conditioners disposed of at end-of-life are provided in</w:t>
      </w:r>
      <w:r w:rsidR="00F268D2">
        <w:t xml:space="preserve"> </w:t>
      </w:r>
      <w:r w:rsidR="00586F30">
        <w:fldChar w:fldCharType="begin"/>
      </w:r>
      <w:r w:rsidR="00F268D2">
        <w:instrText xml:space="preserve"> REF _Ref391467788 \h </w:instrText>
      </w:r>
      <w:r w:rsidR="00586F30">
        <w:fldChar w:fldCharType="separate"/>
      </w:r>
      <w:r w:rsidR="001E5D7A">
        <w:t xml:space="preserve">Chart </w:t>
      </w:r>
      <w:r w:rsidR="001E5D7A">
        <w:rPr>
          <w:noProof/>
        </w:rPr>
        <w:t>3</w:t>
      </w:r>
      <w:r w:rsidR="001E5D7A">
        <w:noBreakHyphen/>
      </w:r>
      <w:r w:rsidR="001E5D7A">
        <w:rPr>
          <w:noProof/>
        </w:rPr>
        <w:t>1</w:t>
      </w:r>
      <w:r w:rsidR="00586F30">
        <w:fldChar w:fldCharType="end"/>
      </w:r>
      <w:proofErr w:type="gramStart"/>
      <w:r w:rsidR="00122F56">
        <w:t>,</w:t>
      </w:r>
      <w:proofErr w:type="gramEnd"/>
      <w:r w:rsidR="00122F56">
        <w:t xml:space="preserve"> values are based on the </w:t>
      </w:r>
      <w:r w:rsidR="006A05B4">
        <w:t xml:space="preserve">previous </w:t>
      </w:r>
      <w:r w:rsidR="00122F56">
        <w:t xml:space="preserve">KPMG </w:t>
      </w:r>
      <w:r w:rsidR="00A7618E">
        <w:t>analysis</w:t>
      </w:r>
      <w:r w:rsidR="00A7618E">
        <w:rPr>
          <w:rStyle w:val="FootnoteReference"/>
        </w:rPr>
        <w:footnoteReference w:id="8"/>
      </w:r>
      <w:r w:rsidR="00122F56">
        <w:t xml:space="preserve">. </w:t>
      </w:r>
    </w:p>
    <w:p w:rsidR="00817855" w:rsidRPr="00817855" w:rsidRDefault="00817855" w:rsidP="00817855">
      <w:pPr>
        <w:pStyle w:val="BodyText"/>
      </w:pPr>
      <w:r w:rsidRPr="00817855">
        <w:t xml:space="preserve">The stock of domestic air conditioning units comprises: </w:t>
      </w:r>
    </w:p>
    <w:p w:rsidR="00817855" w:rsidRPr="00D20B7E" w:rsidRDefault="00817855" w:rsidP="00817855">
      <w:pPr>
        <w:pStyle w:val="BulletText"/>
      </w:pPr>
      <w:r w:rsidRPr="00D20B7E">
        <w:t>53 per cent split system units (not ducted)</w:t>
      </w:r>
      <w:r>
        <w:t>;</w:t>
      </w:r>
    </w:p>
    <w:p w:rsidR="00817855" w:rsidRPr="00D20B7E" w:rsidRDefault="00817855" w:rsidP="00817855">
      <w:pPr>
        <w:pStyle w:val="BulletText"/>
      </w:pPr>
      <w:r w:rsidRPr="00D20B7E">
        <w:t>19 per cent evaporative coolers</w:t>
      </w:r>
      <w:r>
        <w:t>;</w:t>
      </w:r>
      <w:r w:rsidR="00913369">
        <w:rPr>
          <w:rStyle w:val="FootnoteReference"/>
        </w:rPr>
        <w:footnoteReference w:id="9"/>
      </w:r>
    </w:p>
    <w:p w:rsidR="00817855" w:rsidRDefault="00817855" w:rsidP="00817855">
      <w:pPr>
        <w:pStyle w:val="BulletText"/>
      </w:pPr>
      <w:r w:rsidRPr="00D20B7E">
        <w:t>14 per cent window or wall units</w:t>
      </w:r>
      <w:r>
        <w:t>; and</w:t>
      </w:r>
    </w:p>
    <w:p w:rsidR="00817855" w:rsidRDefault="00817855" w:rsidP="00817855">
      <w:pPr>
        <w:pStyle w:val="BulletText"/>
      </w:pPr>
      <w:proofErr w:type="gramStart"/>
      <w:r>
        <w:t>r</w:t>
      </w:r>
      <w:r w:rsidRPr="00817855">
        <w:t>emainder</w:t>
      </w:r>
      <w:proofErr w:type="gramEnd"/>
      <w:r w:rsidRPr="00817855">
        <w:t xml:space="preserve"> are ducted split systems and portable air conditioners.</w:t>
      </w:r>
      <w:r w:rsidR="00A7618E">
        <w:rPr>
          <w:rStyle w:val="FootnoteReference"/>
        </w:rPr>
        <w:footnoteReference w:id="10"/>
      </w:r>
    </w:p>
    <w:p w:rsidR="00122F56" w:rsidRPr="00A7618E" w:rsidRDefault="00F268D2" w:rsidP="00F268D2">
      <w:pPr>
        <w:pStyle w:val="Caption"/>
      </w:pPr>
      <w:bookmarkStart w:id="24" w:name="_Ref391467788"/>
      <w:r>
        <w:lastRenderedPageBreak/>
        <w:t xml:space="preserve">Chart </w:t>
      </w:r>
      <w:r w:rsidR="00586F30">
        <w:fldChar w:fldCharType="begin"/>
      </w:r>
      <w:r w:rsidR="0011645F">
        <w:instrText xml:space="preserve"> STYLEREF 1 \s </w:instrText>
      </w:r>
      <w:r w:rsidR="00586F30">
        <w:fldChar w:fldCharType="separate"/>
      </w:r>
      <w:r w:rsidR="001E5D7A">
        <w:rPr>
          <w:noProof/>
        </w:rPr>
        <w:t>3</w:t>
      </w:r>
      <w:r w:rsidR="00586F30">
        <w:fldChar w:fldCharType="end"/>
      </w:r>
      <w:r w:rsidR="0011645F">
        <w:noBreakHyphen/>
      </w:r>
      <w:r w:rsidR="00586F30">
        <w:fldChar w:fldCharType="begin"/>
      </w:r>
      <w:r w:rsidR="0011645F">
        <w:instrText xml:space="preserve"> SEQ Chart \* ARABIC \s 1 </w:instrText>
      </w:r>
      <w:r w:rsidR="00586F30">
        <w:fldChar w:fldCharType="separate"/>
      </w:r>
      <w:r w:rsidR="001E5D7A">
        <w:rPr>
          <w:noProof/>
        </w:rPr>
        <w:t>1</w:t>
      </w:r>
      <w:r w:rsidR="00586F30">
        <w:fldChar w:fldCharType="end"/>
      </w:r>
      <w:bookmarkEnd w:id="24"/>
      <w:r>
        <w:t xml:space="preserve">: </w:t>
      </w:r>
      <w:r w:rsidR="00122F56" w:rsidRPr="00D6221F">
        <w:t>Stock and disposals of domes</w:t>
      </w:r>
      <w:r w:rsidR="00265EF0">
        <w:t xml:space="preserve">tic air conditioning </w:t>
      </w:r>
      <w:proofErr w:type="spellStart"/>
      <w:r w:rsidR="00265EF0">
        <w:t>equipment</w:t>
      </w:r>
      <w:r w:rsidR="00A7618E">
        <w:rPr>
          <w:vertAlign w:val="superscript"/>
        </w:rPr>
        <w:t>a</w:t>
      </w:r>
      <w:proofErr w:type="spellEnd"/>
    </w:p>
    <w:p w:rsidR="00F268D2" w:rsidRDefault="009726E8" w:rsidP="00817855">
      <w:pPr>
        <w:pStyle w:val="BodyText"/>
        <w:rPr>
          <w:sz w:val="16"/>
          <w:szCs w:val="16"/>
        </w:rPr>
      </w:pPr>
      <w:r>
        <w:rPr>
          <w:noProof/>
          <w:lang w:eastAsia="en-AU"/>
        </w:rPr>
        <w:drawing>
          <wp:inline distT="0" distB="0" distL="0" distR="0">
            <wp:extent cx="4729163" cy="2652713"/>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A7618E" w:rsidRDefault="00A7618E" w:rsidP="00A7618E">
      <w:pPr>
        <w:pStyle w:val="Source"/>
        <w:rPr>
          <w:sz w:val="16"/>
          <w:szCs w:val="16"/>
        </w:rPr>
      </w:pPr>
      <w:proofErr w:type="gramStart"/>
      <w:r>
        <w:rPr>
          <w:sz w:val="16"/>
          <w:szCs w:val="16"/>
          <w:vertAlign w:val="superscript"/>
        </w:rPr>
        <w:t>a</w:t>
      </w:r>
      <w:proofErr w:type="gramEnd"/>
      <w:r>
        <w:rPr>
          <w:sz w:val="16"/>
          <w:szCs w:val="16"/>
          <w:vertAlign w:val="superscript"/>
        </w:rPr>
        <w:t xml:space="preserve"> </w:t>
      </w:r>
      <w:r>
        <w:rPr>
          <w:sz w:val="16"/>
          <w:szCs w:val="16"/>
          <w:vertAlign w:val="superscript"/>
        </w:rPr>
        <w:tab/>
      </w:r>
      <w:r>
        <w:rPr>
          <w:sz w:val="16"/>
          <w:szCs w:val="16"/>
        </w:rPr>
        <w:t>Stock and disposals are based on sales data for each product category and the expected lifespan of each product. Detailed method of estimating stocks and disposals are outlined in KPMG (2014).</w:t>
      </w:r>
    </w:p>
    <w:p w:rsidR="00122F56" w:rsidRPr="00A7618E" w:rsidRDefault="00817855" w:rsidP="00A7618E">
      <w:pPr>
        <w:pStyle w:val="Source"/>
        <w:rPr>
          <w:rStyle w:val="SourceChar"/>
        </w:rPr>
      </w:pPr>
      <w:r>
        <w:rPr>
          <w:sz w:val="16"/>
          <w:szCs w:val="16"/>
        </w:rPr>
        <w:t>Source:</w:t>
      </w:r>
      <w:r w:rsidR="00A7618E">
        <w:rPr>
          <w:sz w:val="16"/>
          <w:szCs w:val="16"/>
        </w:rPr>
        <w:t xml:space="preserve"> </w:t>
      </w:r>
      <w:r w:rsidR="00A7618E">
        <w:rPr>
          <w:sz w:val="16"/>
          <w:szCs w:val="16"/>
        </w:rPr>
        <w:tab/>
      </w:r>
      <w:r w:rsidR="00A7618E" w:rsidRPr="00A7618E">
        <w:rPr>
          <w:rStyle w:val="SourceChar"/>
        </w:rPr>
        <w:t xml:space="preserve">KPMG 2014, </w:t>
      </w:r>
      <w:r w:rsidR="00A7618E" w:rsidRPr="00A7618E">
        <w:rPr>
          <w:rStyle w:val="SourceChar"/>
          <w:i/>
        </w:rPr>
        <w:t>End-of-life domestic refrigeration and air conditioning equipment in Australia</w:t>
      </w:r>
      <w:r w:rsidR="00A7618E" w:rsidRPr="00A7618E">
        <w:rPr>
          <w:rStyle w:val="SourceChar"/>
        </w:rPr>
        <w:t>, report prepared for the Department of the Environment</w:t>
      </w:r>
      <w:r w:rsidR="00A7618E">
        <w:rPr>
          <w:rStyle w:val="SourceChar"/>
        </w:rPr>
        <w:t>.</w:t>
      </w:r>
    </w:p>
    <w:p w:rsidR="00445FE6" w:rsidRPr="00445FE6" w:rsidRDefault="00445FE6" w:rsidP="00445FE6">
      <w:pPr>
        <w:pStyle w:val="BodyText"/>
      </w:pPr>
      <w:r w:rsidRPr="00445FE6">
        <w:t xml:space="preserve">Of the air conditioners recovered, </w:t>
      </w:r>
      <w:r w:rsidR="00341B66">
        <w:t xml:space="preserve">industry stakeholders have estimated that </w:t>
      </w:r>
      <w:r w:rsidRPr="00445FE6">
        <w:t xml:space="preserve">the end-of-life waste material recovery and recycling rates include: </w:t>
      </w:r>
    </w:p>
    <w:p w:rsidR="00445FE6" w:rsidRPr="00445FE6" w:rsidRDefault="00445FE6" w:rsidP="00261751">
      <w:pPr>
        <w:pStyle w:val="BulletText"/>
      </w:pPr>
      <w:r w:rsidRPr="00445FE6">
        <w:t xml:space="preserve">approximately 80 per cent of the </w:t>
      </w:r>
      <w:r>
        <w:t xml:space="preserve">Ozone-Depleting </w:t>
      </w:r>
      <w:r w:rsidRPr="001C4357">
        <w:t>Substance (ODS) or</w:t>
      </w:r>
      <w:r w:rsidRPr="00445FE6">
        <w:t xml:space="preserve"> </w:t>
      </w:r>
      <w:r w:rsidR="001C4357" w:rsidRPr="001C4357">
        <w:t>Synthetic Greenhouse Gases</w:t>
      </w:r>
      <w:r w:rsidR="001C4357">
        <w:t xml:space="preserve"> </w:t>
      </w:r>
      <w:r>
        <w:t>(</w:t>
      </w:r>
      <w:r w:rsidRPr="001C4357">
        <w:t xml:space="preserve">SGG) </w:t>
      </w:r>
      <w:r w:rsidRPr="00445FE6">
        <w:t xml:space="preserve">refrigerant gas </w:t>
      </w:r>
      <w:r w:rsidR="00A7618E">
        <w:t xml:space="preserve">are </w:t>
      </w:r>
      <w:r w:rsidRPr="00445FE6">
        <w:t xml:space="preserve">recovered for reuse or </w:t>
      </w:r>
      <w:r w:rsidR="00A7618E">
        <w:t xml:space="preserve">for </w:t>
      </w:r>
      <w:r w:rsidRPr="00445FE6">
        <w:t xml:space="preserve">disposal </w:t>
      </w:r>
      <w:r w:rsidR="00A7618E">
        <w:t>by</w:t>
      </w:r>
      <w:r w:rsidRPr="00445FE6">
        <w:t xml:space="preserve"> RRA;</w:t>
      </w:r>
    </w:p>
    <w:p w:rsidR="00445FE6" w:rsidRPr="00445FE6" w:rsidRDefault="00445FE6" w:rsidP="00261751">
      <w:pPr>
        <w:pStyle w:val="BulletText"/>
      </w:pPr>
      <w:r w:rsidRPr="00445FE6">
        <w:t>approximately 90 per cent of metals are recycled, compris</w:t>
      </w:r>
      <w:r w:rsidR="00E47C36">
        <w:t>ing</w:t>
      </w:r>
      <w:r w:rsidRPr="00445FE6">
        <w:t xml:space="preserve"> of 58.2 per cent steel, 12.7 per cent copper and 8.3 per cent aluminium; and</w:t>
      </w:r>
    </w:p>
    <w:p w:rsidR="00445FE6" w:rsidRPr="00445FE6" w:rsidRDefault="00445FE6" w:rsidP="00261751">
      <w:pPr>
        <w:pStyle w:val="BulletText"/>
      </w:pPr>
      <w:proofErr w:type="gramStart"/>
      <w:r w:rsidRPr="00445FE6">
        <w:t>other</w:t>
      </w:r>
      <w:proofErr w:type="gramEnd"/>
      <w:r w:rsidRPr="00445FE6">
        <w:t xml:space="preserve"> materials</w:t>
      </w:r>
      <w:r w:rsidR="00E47C36">
        <w:t>,</w:t>
      </w:r>
      <w:r w:rsidRPr="00445FE6">
        <w:t xml:space="preserve"> such as plastics (which account for 12.4 per cent of air conditioning waste) and circuit boards </w:t>
      </w:r>
      <w:r w:rsidR="00A7618E">
        <w:t>are sent to</w:t>
      </w:r>
      <w:r w:rsidRPr="00445FE6">
        <w:t xml:space="preserve"> landfill. </w:t>
      </w:r>
    </w:p>
    <w:p w:rsidR="00817855" w:rsidRDefault="00817855" w:rsidP="00122F56">
      <w:pPr>
        <w:pStyle w:val="BodyText"/>
      </w:pPr>
      <w:r>
        <w:t xml:space="preserve">The recovery pathways for materials contained in air conditioners at </w:t>
      </w:r>
      <w:r w:rsidR="00F268D2">
        <w:t>end-of-life</w:t>
      </w:r>
      <w:r>
        <w:t xml:space="preserve"> are summarised in </w:t>
      </w:r>
      <w:fldSimple w:instr=" REF _Ref391022337 \h  \* MERGEFORMAT ">
        <w:r w:rsidR="001E5D7A" w:rsidRPr="001E5D7A">
          <w:rPr>
            <w:szCs w:val="22"/>
          </w:rPr>
          <w:t xml:space="preserve">Figure </w:t>
        </w:r>
        <w:r w:rsidR="001E5D7A" w:rsidRPr="001E5D7A">
          <w:rPr>
            <w:noProof/>
            <w:szCs w:val="22"/>
          </w:rPr>
          <w:t>3</w:t>
        </w:r>
        <w:r w:rsidR="001E5D7A" w:rsidRPr="001E5D7A">
          <w:rPr>
            <w:noProof/>
            <w:szCs w:val="22"/>
          </w:rPr>
          <w:noBreakHyphen/>
          <w:t>2</w:t>
        </w:r>
      </w:fldSimple>
      <w:r w:rsidR="00F268D2">
        <w:t xml:space="preserve"> and outlined in further detail in Appendix B</w:t>
      </w:r>
      <w:r w:rsidR="005E2654" w:rsidRPr="00EC2593">
        <w:rPr>
          <w:szCs w:val="22"/>
        </w:rPr>
        <w:t>.</w:t>
      </w:r>
    </w:p>
    <w:p w:rsidR="00A25B26" w:rsidRPr="00977278" w:rsidRDefault="00A25B26" w:rsidP="00A25B26">
      <w:pPr>
        <w:pStyle w:val="Caption"/>
        <w:rPr>
          <w:sz w:val="18"/>
        </w:rPr>
      </w:pPr>
      <w:bookmarkStart w:id="25" w:name="_Ref391022337"/>
      <w:r w:rsidRPr="00977278">
        <w:rPr>
          <w:sz w:val="18"/>
        </w:rPr>
        <w:lastRenderedPageBreak/>
        <w:t xml:space="preserve">Figure </w:t>
      </w:r>
      <w:r w:rsidR="00586F30">
        <w:rPr>
          <w:sz w:val="18"/>
        </w:rPr>
        <w:fldChar w:fldCharType="begin"/>
      </w:r>
      <w:r w:rsidR="00341287">
        <w:rPr>
          <w:sz w:val="18"/>
        </w:rPr>
        <w:instrText xml:space="preserve"> STYLEREF 1 \s </w:instrText>
      </w:r>
      <w:r w:rsidR="00586F30">
        <w:rPr>
          <w:sz w:val="18"/>
        </w:rPr>
        <w:fldChar w:fldCharType="separate"/>
      </w:r>
      <w:r w:rsidR="001E5D7A">
        <w:rPr>
          <w:noProof/>
          <w:sz w:val="18"/>
        </w:rPr>
        <w:t>3</w:t>
      </w:r>
      <w:r w:rsidR="00586F30">
        <w:rPr>
          <w:sz w:val="18"/>
        </w:rPr>
        <w:fldChar w:fldCharType="end"/>
      </w:r>
      <w:r w:rsidR="00341287">
        <w:rPr>
          <w:sz w:val="18"/>
        </w:rPr>
        <w:noBreakHyphen/>
      </w:r>
      <w:r w:rsidR="00586F30">
        <w:rPr>
          <w:sz w:val="18"/>
        </w:rPr>
        <w:fldChar w:fldCharType="begin"/>
      </w:r>
      <w:r w:rsidR="00341287">
        <w:rPr>
          <w:sz w:val="18"/>
        </w:rPr>
        <w:instrText xml:space="preserve"> SEQ Figure \* ARABIC \s 1 </w:instrText>
      </w:r>
      <w:r w:rsidR="00586F30">
        <w:rPr>
          <w:sz w:val="18"/>
        </w:rPr>
        <w:fldChar w:fldCharType="separate"/>
      </w:r>
      <w:r w:rsidR="001E5D7A">
        <w:rPr>
          <w:noProof/>
          <w:sz w:val="18"/>
        </w:rPr>
        <w:t>2</w:t>
      </w:r>
      <w:r w:rsidR="00586F30">
        <w:rPr>
          <w:sz w:val="18"/>
        </w:rPr>
        <w:fldChar w:fldCharType="end"/>
      </w:r>
      <w:bookmarkEnd w:id="25"/>
      <w:r>
        <w:rPr>
          <w:sz w:val="18"/>
        </w:rPr>
        <w:t>: Recovery pathways for air conditioners, base case</w:t>
      </w:r>
    </w:p>
    <w:p w:rsidR="00A25B26" w:rsidRDefault="001C4357" w:rsidP="00A25B26">
      <w:pPr>
        <w:pStyle w:val="BodyText"/>
      </w:pPr>
      <w:r w:rsidRPr="001C4357">
        <w:rPr>
          <w:noProof/>
          <w:lang w:eastAsia="en-AU"/>
        </w:rPr>
        <w:drawing>
          <wp:inline distT="0" distB="0" distL="0" distR="0">
            <wp:extent cx="5400675" cy="2002034"/>
            <wp:effectExtent l="19050" t="0" r="9525"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srcRect/>
                    <a:stretch>
                      <a:fillRect/>
                    </a:stretch>
                  </pic:blipFill>
                  <pic:spPr bwMode="auto">
                    <a:xfrm>
                      <a:off x="0" y="0"/>
                      <a:ext cx="5400675" cy="2002034"/>
                    </a:xfrm>
                    <a:prstGeom prst="rect">
                      <a:avLst/>
                    </a:prstGeom>
                    <a:noFill/>
                    <a:ln w="9525">
                      <a:noFill/>
                      <a:miter lim="800000"/>
                      <a:headEnd/>
                      <a:tailEnd/>
                    </a:ln>
                  </pic:spPr>
                </pic:pic>
              </a:graphicData>
            </a:graphic>
          </wp:inline>
        </w:drawing>
      </w:r>
    </w:p>
    <w:p w:rsidR="005E2654" w:rsidRDefault="005E2654" w:rsidP="005E2654">
      <w:pPr>
        <w:pStyle w:val="Source"/>
      </w:pPr>
      <w:r>
        <w:t xml:space="preserve">Source: </w:t>
      </w:r>
      <w:r w:rsidR="00A7618E">
        <w:tab/>
      </w:r>
      <w:r w:rsidR="003843B7" w:rsidRPr="00A7618E">
        <w:rPr>
          <w:rStyle w:val="SourceChar"/>
        </w:rPr>
        <w:t xml:space="preserve">KPMG 2014, </w:t>
      </w:r>
      <w:r w:rsidR="003843B7" w:rsidRPr="00A7618E">
        <w:rPr>
          <w:rStyle w:val="SourceChar"/>
          <w:i/>
        </w:rPr>
        <w:t>End-of-life domestic refrigeration and air conditioning equipment in Australia</w:t>
      </w:r>
      <w:r w:rsidR="003843B7" w:rsidRPr="00A7618E">
        <w:rPr>
          <w:rStyle w:val="SourceChar"/>
        </w:rPr>
        <w:t>, report prepared for the Department of the Environment</w:t>
      </w:r>
      <w:r w:rsidR="003843B7">
        <w:rPr>
          <w:rStyle w:val="SourceChar"/>
        </w:rPr>
        <w:t>.</w:t>
      </w:r>
    </w:p>
    <w:p w:rsidR="00122F56" w:rsidRDefault="00122F56" w:rsidP="00EE40A8">
      <w:pPr>
        <w:pStyle w:val="Heading5"/>
      </w:pPr>
      <w:r>
        <w:t xml:space="preserve">Refrigerators </w:t>
      </w:r>
    </w:p>
    <w:p w:rsidR="001C4357" w:rsidRPr="001C4357" w:rsidRDefault="001C4357" w:rsidP="001C4357">
      <w:pPr>
        <w:pStyle w:val="BodyText"/>
      </w:pPr>
      <w:r w:rsidRPr="001C4357">
        <w:t xml:space="preserve">Under the current waste management model the householder or equipment owner pays for disposal through the services of a retailer (i.e. service fee) or local government authority (LGA) (i.e. council rates) to remove and dispose of the unit.  Several retailers offer take-back services.  </w:t>
      </w:r>
    </w:p>
    <w:p w:rsidR="001C4357" w:rsidRPr="001C4357" w:rsidRDefault="00341B66" w:rsidP="001C4357">
      <w:pPr>
        <w:pStyle w:val="BodyText"/>
      </w:pPr>
      <w:r>
        <w:t>Industry consultation suggests that c</w:t>
      </w:r>
      <w:r w:rsidRPr="001C4357">
        <w:t>urrently</w:t>
      </w:r>
      <w:r>
        <w:t xml:space="preserve"> approximately</w:t>
      </w:r>
      <w:r w:rsidR="001C4357" w:rsidRPr="001C4357">
        <w:t xml:space="preserve"> 30 per cent of refrigerators are collected through retailer take-back schemes and 60 per cent </w:t>
      </w:r>
      <w:r w:rsidR="00A7618E">
        <w:t>are</w:t>
      </w:r>
      <w:r w:rsidR="001C4357" w:rsidRPr="001C4357">
        <w:t xml:space="preserve"> disposed</w:t>
      </w:r>
      <w:r w:rsidR="00A7618E">
        <w:t xml:space="preserve"> of</w:t>
      </w:r>
      <w:r w:rsidR="001C4357" w:rsidRPr="001C4357">
        <w:t xml:space="preserve"> through kerb side collection.  </w:t>
      </w:r>
      <w:r>
        <w:t>Consultation suggests that a</w:t>
      </w:r>
      <w:r w:rsidR="001C4357" w:rsidRPr="001C4357">
        <w:t xml:space="preserve">pproximately half of the refrigerators left out for kerbside collection are scavenged and the other </w:t>
      </w:r>
      <w:proofErr w:type="gramStart"/>
      <w:r w:rsidR="001C4357" w:rsidRPr="001C4357">
        <w:t xml:space="preserve">half </w:t>
      </w:r>
      <w:r>
        <w:t>are</w:t>
      </w:r>
      <w:proofErr w:type="gramEnd"/>
      <w:r w:rsidRPr="001C4357">
        <w:t xml:space="preserve"> </w:t>
      </w:r>
      <w:r w:rsidR="001C4357" w:rsidRPr="001C4357">
        <w:t>collected by local government</w:t>
      </w:r>
      <w:r w:rsidR="00137325">
        <w:rPr>
          <w:rStyle w:val="FootnoteReference"/>
        </w:rPr>
        <w:footnoteReference w:id="11"/>
      </w:r>
      <w:r w:rsidR="001C4357" w:rsidRPr="001C4357">
        <w:t xml:space="preserve">. </w:t>
      </w:r>
    </w:p>
    <w:p w:rsidR="001C4357" w:rsidRPr="001C4357" w:rsidRDefault="001C4357" w:rsidP="001C4357">
      <w:pPr>
        <w:pStyle w:val="BodyText"/>
      </w:pPr>
      <w:r w:rsidRPr="001C4357">
        <w:t xml:space="preserve">Collected refrigerators are consolidated at waste transfer stations, retail distribution centres or scrap metal merchants.  Refrigerant gas is then collected by some retailers and LGAs with an estimated refrigerant collection rate of between 30 and 40 per cent for all refrigerators. Refrigerators are then sent to or collected by metal recyclers where they are shredded and the metals are recovered for recycling.  The waste shredder </w:t>
      </w:r>
      <w:proofErr w:type="spellStart"/>
      <w:r w:rsidRPr="001C4357">
        <w:t>floc</w:t>
      </w:r>
      <w:proofErr w:type="spellEnd"/>
      <w:r w:rsidRPr="001C4357">
        <w:t>, consisting mainly of plastic, is sent to landfill</w:t>
      </w:r>
      <w:r w:rsidR="00341B66">
        <w:rPr>
          <w:rStyle w:val="FootnoteReference"/>
        </w:rPr>
        <w:footnoteReference w:id="12"/>
      </w:r>
      <w:r w:rsidRPr="001C4357">
        <w:t>.</w:t>
      </w:r>
    </w:p>
    <w:p w:rsidR="00122F56" w:rsidRDefault="00122F56" w:rsidP="00122F56">
      <w:pPr>
        <w:pStyle w:val="BodyText"/>
      </w:pPr>
      <w:r>
        <w:t>Domestic refrigerators contain approximately 5 to 10 kg of insulating polyurethane foam.  This foam in turn contains about 5</w:t>
      </w:r>
      <w:r w:rsidR="001C4357">
        <w:t xml:space="preserve"> per cent</w:t>
      </w:r>
      <w:r w:rsidR="00A7618E">
        <w:t xml:space="preserve"> by weight of blowing agent</w:t>
      </w:r>
      <w:r w:rsidR="00A7618E">
        <w:rPr>
          <w:rStyle w:val="FootnoteReference"/>
        </w:rPr>
        <w:footnoteReference w:id="13"/>
      </w:r>
      <w:r>
        <w:t xml:space="preserve">. </w:t>
      </w:r>
    </w:p>
    <w:p w:rsidR="00436A37" w:rsidRPr="000F413C" w:rsidRDefault="00122F56" w:rsidP="00436A37">
      <w:pPr>
        <w:pStyle w:val="BodyText"/>
      </w:pPr>
      <w:r>
        <w:t>The estimated stocks and number of units of refrigerators disposed of at end-of- life are provided in</w:t>
      </w:r>
      <w:r w:rsidR="00F268D2">
        <w:t xml:space="preserve"> </w:t>
      </w:r>
      <w:r w:rsidR="00586F30">
        <w:fldChar w:fldCharType="begin"/>
      </w:r>
      <w:r w:rsidR="00F268D2">
        <w:instrText xml:space="preserve"> REF _Ref391467889 \h </w:instrText>
      </w:r>
      <w:r w:rsidR="00586F30">
        <w:fldChar w:fldCharType="separate"/>
      </w:r>
      <w:r w:rsidR="001E5D7A">
        <w:t xml:space="preserve">Chart </w:t>
      </w:r>
      <w:r w:rsidR="001E5D7A">
        <w:rPr>
          <w:noProof/>
        </w:rPr>
        <w:t>3</w:t>
      </w:r>
      <w:r w:rsidR="001E5D7A">
        <w:noBreakHyphen/>
      </w:r>
      <w:r w:rsidR="001E5D7A">
        <w:rPr>
          <w:noProof/>
        </w:rPr>
        <w:t>2</w:t>
      </w:r>
      <w:r w:rsidR="00586F30">
        <w:fldChar w:fldCharType="end"/>
      </w:r>
      <w:r>
        <w:t xml:space="preserve">. </w:t>
      </w:r>
      <w:r w:rsidR="00436A37" w:rsidRPr="000F413C">
        <w:t xml:space="preserve">For the stock of domestic refrigerators units: </w:t>
      </w:r>
    </w:p>
    <w:p w:rsidR="00436A37" w:rsidRPr="000F413C" w:rsidRDefault="00436A37" w:rsidP="00436A37">
      <w:pPr>
        <w:pStyle w:val="BulletText"/>
      </w:pPr>
      <w:r>
        <w:t>s</w:t>
      </w:r>
      <w:r w:rsidRPr="000F413C">
        <w:t>tandalone freezers are in decline</w:t>
      </w:r>
      <w:r>
        <w:t>; and</w:t>
      </w:r>
    </w:p>
    <w:p w:rsidR="00436A37" w:rsidRPr="000F413C" w:rsidRDefault="00436A37" w:rsidP="00436A37">
      <w:pPr>
        <w:pStyle w:val="BulletText"/>
      </w:pPr>
      <w:proofErr w:type="gramStart"/>
      <w:r>
        <w:t>i</w:t>
      </w:r>
      <w:r w:rsidRPr="000F413C">
        <w:t>nfluenced</w:t>
      </w:r>
      <w:proofErr w:type="gramEnd"/>
      <w:r w:rsidRPr="000F413C">
        <w:t xml:space="preserve"> by household growth as it is considered a saturated market</w:t>
      </w:r>
      <w:r w:rsidR="00A7618E">
        <w:rPr>
          <w:rStyle w:val="FootnoteReference"/>
        </w:rPr>
        <w:footnoteReference w:id="14"/>
      </w:r>
      <w:r>
        <w:t>.</w:t>
      </w:r>
    </w:p>
    <w:p w:rsidR="00122F56" w:rsidRPr="00341B66" w:rsidRDefault="00F268D2" w:rsidP="00F268D2">
      <w:pPr>
        <w:pStyle w:val="Caption"/>
        <w:rPr>
          <w:vertAlign w:val="superscript"/>
        </w:rPr>
      </w:pPr>
      <w:bookmarkStart w:id="26" w:name="_Ref391467889"/>
      <w:r>
        <w:lastRenderedPageBreak/>
        <w:t xml:space="preserve">Chart </w:t>
      </w:r>
      <w:r w:rsidR="00586F30">
        <w:fldChar w:fldCharType="begin"/>
      </w:r>
      <w:r w:rsidR="0011645F">
        <w:instrText xml:space="preserve"> STYLEREF 1 \s </w:instrText>
      </w:r>
      <w:r w:rsidR="00586F30">
        <w:fldChar w:fldCharType="separate"/>
      </w:r>
      <w:r w:rsidR="001E5D7A">
        <w:rPr>
          <w:noProof/>
        </w:rPr>
        <w:t>3</w:t>
      </w:r>
      <w:r w:rsidR="00586F30">
        <w:fldChar w:fldCharType="end"/>
      </w:r>
      <w:r w:rsidR="0011645F">
        <w:noBreakHyphen/>
      </w:r>
      <w:r w:rsidR="00586F30">
        <w:fldChar w:fldCharType="begin"/>
      </w:r>
      <w:r w:rsidR="0011645F">
        <w:instrText xml:space="preserve"> SEQ Chart \* ARABIC \s 1 </w:instrText>
      </w:r>
      <w:r w:rsidR="00586F30">
        <w:fldChar w:fldCharType="separate"/>
      </w:r>
      <w:r w:rsidR="001E5D7A">
        <w:rPr>
          <w:noProof/>
        </w:rPr>
        <w:t>2</w:t>
      </w:r>
      <w:r w:rsidR="00586F30">
        <w:fldChar w:fldCharType="end"/>
      </w:r>
      <w:bookmarkEnd w:id="26"/>
      <w:r>
        <w:t xml:space="preserve">: </w:t>
      </w:r>
      <w:r w:rsidR="00122F56" w:rsidRPr="001C4357">
        <w:t>Stock and disposals of do</w:t>
      </w:r>
      <w:r w:rsidR="00436A37">
        <w:t>mestic refrigerators equipment</w:t>
      </w:r>
      <w:r w:rsidR="00341B66">
        <w:t xml:space="preserve"> </w:t>
      </w:r>
      <w:r w:rsidR="00341B66">
        <w:rPr>
          <w:vertAlign w:val="superscript"/>
        </w:rPr>
        <w:t>a</w:t>
      </w:r>
    </w:p>
    <w:p w:rsidR="00F268D2" w:rsidRDefault="007F6E5E" w:rsidP="00122F56">
      <w:pPr>
        <w:pStyle w:val="BodyText"/>
        <w:rPr>
          <w:sz w:val="16"/>
          <w:szCs w:val="16"/>
        </w:rPr>
      </w:pPr>
      <w:r>
        <w:rPr>
          <w:noProof/>
          <w:lang w:eastAsia="en-AU"/>
        </w:rPr>
        <w:drawing>
          <wp:inline distT="0" distB="0" distL="0" distR="0">
            <wp:extent cx="4724400" cy="2652713"/>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341B66" w:rsidRDefault="00341B66" w:rsidP="00455CB0">
      <w:pPr>
        <w:pStyle w:val="BodyText"/>
        <w:ind w:left="851" w:hanging="851"/>
        <w:rPr>
          <w:sz w:val="16"/>
          <w:szCs w:val="16"/>
        </w:rPr>
      </w:pPr>
      <w:proofErr w:type="gramStart"/>
      <w:r>
        <w:rPr>
          <w:sz w:val="16"/>
          <w:szCs w:val="16"/>
          <w:vertAlign w:val="superscript"/>
        </w:rPr>
        <w:t>a</w:t>
      </w:r>
      <w:proofErr w:type="gramEnd"/>
      <w:r>
        <w:rPr>
          <w:sz w:val="16"/>
          <w:szCs w:val="16"/>
          <w:vertAlign w:val="superscript"/>
        </w:rPr>
        <w:t xml:space="preserve"> </w:t>
      </w:r>
      <w:r w:rsidR="00455CB0">
        <w:rPr>
          <w:sz w:val="16"/>
          <w:szCs w:val="16"/>
          <w:vertAlign w:val="superscript"/>
        </w:rPr>
        <w:tab/>
      </w:r>
      <w:r>
        <w:rPr>
          <w:sz w:val="16"/>
          <w:szCs w:val="16"/>
        </w:rPr>
        <w:t>Stock and disposals are based on sales data for each product category and the expected lifespan of each product. Detailed method of estimating stocks and disposals are outlined in KPMG (2014).</w:t>
      </w:r>
    </w:p>
    <w:p w:rsidR="00122F56" w:rsidRPr="00D20B7E" w:rsidRDefault="00122F56" w:rsidP="007E34F8">
      <w:pPr>
        <w:pStyle w:val="Source"/>
        <w:rPr>
          <w:sz w:val="16"/>
          <w:szCs w:val="16"/>
        </w:rPr>
      </w:pPr>
      <w:r w:rsidRPr="00D20B7E">
        <w:rPr>
          <w:sz w:val="16"/>
          <w:szCs w:val="16"/>
        </w:rPr>
        <w:t xml:space="preserve">Source: </w:t>
      </w:r>
      <w:r w:rsidR="007E34F8">
        <w:rPr>
          <w:sz w:val="16"/>
          <w:szCs w:val="16"/>
        </w:rPr>
        <w:tab/>
      </w:r>
      <w:proofErr w:type="spellStart"/>
      <w:r w:rsidR="00390168">
        <w:rPr>
          <w:sz w:val="16"/>
          <w:szCs w:val="16"/>
        </w:rPr>
        <w:t>GfK</w:t>
      </w:r>
      <w:proofErr w:type="spellEnd"/>
      <w:r w:rsidR="00390168">
        <w:rPr>
          <w:sz w:val="16"/>
          <w:szCs w:val="16"/>
        </w:rPr>
        <w:t xml:space="preserve"> Market Research and </w:t>
      </w:r>
      <w:r w:rsidR="007E34F8" w:rsidRPr="007E34F8">
        <w:rPr>
          <w:sz w:val="16"/>
          <w:szCs w:val="16"/>
        </w:rPr>
        <w:t>KPMG</w:t>
      </w:r>
      <w:r w:rsidR="007E34F8" w:rsidRPr="00445FE6">
        <w:t xml:space="preserve"> 2014, </w:t>
      </w:r>
      <w:r w:rsidR="007E34F8" w:rsidRPr="00445FE6">
        <w:rPr>
          <w:i/>
          <w:iCs/>
        </w:rPr>
        <w:t xml:space="preserve">End-of-life domestic refrigeration and air conditioning equipment in Australia, </w:t>
      </w:r>
      <w:r w:rsidR="007E34F8" w:rsidRPr="00445FE6">
        <w:t>report prepared for the Department of the Environment</w:t>
      </w:r>
      <w:r w:rsidR="001C4357">
        <w:rPr>
          <w:sz w:val="16"/>
          <w:szCs w:val="16"/>
        </w:rPr>
        <w:t>.</w:t>
      </w:r>
    </w:p>
    <w:p w:rsidR="00436A37" w:rsidRPr="00436A37" w:rsidRDefault="00436A37" w:rsidP="00436A37">
      <w:pPr>
        <w:pStyle w:val="BodyText"/>
      </w:pPr>
      <w:r w:rsidRPr="00436A37">
        <w:t xml:space="preserve">Of the refrigerators recovered, the </w:t>
      </w:r>
      <w:r w:rsidR="00F268D2">
        <w:t>end-of-life</w:t>
      </w:r>
      <w:r w:rsidRPr="00436A37">
        <w:t xml:space="preserve"> waste material recovery and recycling rates contain: </w:t>
      </w:r>
    </w:p>
    <w:p w:rsidR="00436A37" w:rsidRPr="00436A37" w:rsidRDefault="00436A37" w:rsidP="00436A37">
      <w:pPr>
        <w:pStyle w:val="BulletText"/>
        <w:rPr>
          <w:color w:val="auto"/>
        </w:rPr>
      </w:pPr>
      <w:r w:rsidRPr="00436A37">
        <w:rPr>
          <w:color w:val="auto"/>
        </w:rPr>
        <w:t xml:space="preserve">approximately </w:t>
      </w:r>
      <w:r w:rsidRPr="00436A37">
        <w:rPr>
          <w:rFonts w:cs="Calibri"/>
          <w:color w:val="auto"/>
          <w:lang w:eastAsia="en-AU"/>
        </w:rPr>
        <w:t>60 to 100g</w:t>
      </w:r>
      <w:r w:rsidRPr="00436A37">
        <w:rPr>
          <w:color w:val="auto"/>
        </w:rPr>
        <w:t xml:space="preserve"> of refrigerant gas for an average refrigerator at </w:t>
      </w:r>
      <w:r w:rsidR="00F268D2">
        <w:t>end-of-life</w:t>
      </w:r>
      <w:r w:rsidRPr="00436A37">
        <w:rPr>
          <w:color w:val="auto"/>
        </w:rPr>
        <w:t xml:space="preserve">; </w:t>
      </w:r>
    </w:p>
    <w:p w:rsidR="00436A37" w:rsidRPr="00436A37" w:rsidRDefault="00436A37" w:rsidP="00436A37">
      <w:pPr>
        <w:pStyle w:val="BulletText"/>
        <w:rPr>
          <w:color w:val="auto"/>
        </w:rPr>
      </w:pPr>
      <w:r w:rsidRPr="00436A37">
        <w:rPr>
          <w:color w:val="auto"/>
        </w:rPr>
        <w:t>non-ferrous metals that are exported;</w:t>
      </w:r>
    </w:p>
    <w:p w:rsidR="00436A37" w:rsidRPr="00436A37" w:rsidRDefault="00436A37" w:rsidP="00436A37">
      <w:pPr>
        <w:pStyle w:val="BulletText"/>
        <w:rPr>
          <w:color w:val="auto"/>
        </w:rPr>
      </w:pPr>
      <w:r w:rsidRPr="00436A37">
        <w:rPr>
          <w:color w:val="auto"/>
        </w:rPr>
        <w:t>ferrous metals that are sold (locally or exported); and</w:t>
      </w:r>
    </w:p>
    <w:p w:rsidR="00436A37" w:rsidRDefault="00436A37" w:rsidP="00436A37">
      <w:pPr>
        <w:pStyle w:val="BulletText"/>
        <w:rPr>
          <w:color w:val="auto"/>
        </w:rPr>
      </w:pPr>
      <w:proofErr w:type="gramStart"/>
      <w:r w:rsidRPr="00436A37">
        <w:rPr>
          <w:color w:val="auto"/>
        </w:rPr>
        <w:t>waste</w:t>
      </w:r>
      <w:proofErr w:type="gramEnd"/>
      <w:r w:rsidRPr="00436A37">
        <w:rPr>
          <w:color w:val="auto"/>
        </w:rPr>
        <w:t xml:space="preserve"> shredder </w:t>
      </w:r>
      <w:proofErr w:type="spellStart"/>
      <w:r w:rsidRPr="00436A37">
        <w:rPr>
          <w:color w:val="auto"/>
        </w:rPr>
        <w:t>floc</w:t>
      </w:r>
      <w:proofErr w:type="spellEnd"/>
      <w:r w:rsidRPr="00436A37">
        <w:rPr>
          <w:color w:val="auto"/>
        </w:rPr>
        <w:t>, consisting mainly of plastic, which is sent to landfill.  Materials contain foam, plastic, coppers, lead and cadmium (from printed circuit boards)</w:t>
      </w:r>
      <w:r w:rsidR="00137325">
        <w:rPr>
          <w:color w:val="auto"/>
        </w:rPr>
        <w:t xml:space="preserve"> and oil</w:t>
      </w:r>
      <w:r w:rsidR="00390168">
        <w:rPr>
          <w:rStyle w:val="FootnoteReference"/>
          <w:color w:val="auto"/>
        </w:rPr>
        <w:footnoteReference w:id="15"/>
      </w:r>
      <w:r w:rsidRPr="00436A37">
        <w:rPr>
          <w:color w:val="auto"/>
        </w:rPr>
        <w:t xml:space="preserve">.  </w:t>
      </w:r>
    </w:p>
    <w:p w:rsidR="00436A37" w:rsidRPr="00137325" w:rsidRDefault="00436A37" w:rsidP="00602E93">
      <w:pPr>
        <w:pStyle w:val="BodyText"/>
        <w:rPr>
          <w:szCs w:val="22"/>
        </w:rPr>
      </w:pPr>
      <w:r w:rsidRPr="00602E93">
        <w:t xml:space="preserve">Resource recovery pathways for refrigerators and freezers at end-of-life are illustrated </w:t>
      </w:r>
      <w:r w:rsidRPr="00137325">
        <w:rPr>
          <w:szCs w:val="22"/>
        </w:rPr>
        <w:t>in</w:t>
      </w:r>
      <w:r w:rsidR="00137325" w:rsidRPr="00137325">
        <w:rPr>
          <w:szCs w:val="22"/>
        </w:rPr>
        <w:t xml:space="preserve"> </w:t>
      </w:r>
      <w:fldSimple w:instr=" REF _Ref391369267 \h  \* MERGEFORMAT ">
        <w:r w:rsidR="001E5D7A" w:rsidRPr="001E5D7A">
          <w:rPr>
            <w:szCs w:val="22"/>
          </w:rPr>
          <w:t xml:space="preserve">Figure </w:t>
        </w:r>
        <w:r w:rsidR="001E5D7A" w:rsidRPr="001E5D7A">
          <w:rPr>
            <w:noProof/>
            <w:szCs w:val="22"/>
          </w:rPr>
          <w:t>3</w:t>
        </w:r>
        <w:r w:rsidR="001E5D7A" w:rsidRPr="001E5D7A">
          <w:rPr>
            <w:noProof/>
            <w:szCs w:val="22"/>
          </w:rPr>
          <w:noBreakHyphen/>
          <w:t>3</w:t>
        </w:r>
      </w:fldSimple>
      <w:r w:rsidR="00602E93" w:rsidRPr="00137325">
        <w:rPr>
          <w:szCs w:val="22"/>
        </w:rPr>
        <w:t xml:space="preserve"> </w:t>
      </w:r>
      <w:r w:rsidR="00F268D2" w:rsidRPr="00137325">
        <w:rPr>
          <w:szCs w:val="22"/>
        </w:rPr>
        <w:t>and outlined in further detail in Appendix B</w:t>
      </w:r>
      <w:r w:rsidRPr="00137325">
        <w:rPr>
          <w:szCs w:val="22"/>
        </w:rPr>
        <w:t>.</w:t>
      </w:r>
    </w:p>
    <w:p w:rsidR="00A25B26" w:rsidRPr="00977278" w:rsidRDefault="00A25B26" w:rsidP="00A25B26">
      <w:pPr>
        <w:pStyle w:val="Caption"/>
        <w:rPr>
          <w:sz w:val="18"/>
        </w:rPr>
      </w:pPr>
      <w:bookmarkStart w:id="27" w:name="_Ref391369267"/>
      <w:r w:rsidRPr="00977278">
        <w:rPr>
          <w:sz w:val="18"/>
        </w:rPr>
        <w:lastRenderedPageBreak/>
        <w:t xml:space="preserve">Figure </w:t>
      </w:r>
      <w:r w:rsidR="00586F30">
        <w:rPr>
          <w:sz w:val="18"/>
        </w:rPr>
        <w:fldChar w:fldCharType="begin"/>
      </w:r>
      <w:r w:rsidR="00341287">
        <w:rPr>
          <w:sz w:val="18"/>
        </w:rPr>
        <w:instrText xml:space="preserve"> STYLEREF 1 \s </w:instrText>
      </w:r>
      <w:r w:rsidR="00586F30">
        <w:rPr>
          <w:sz w:val="18"/>
        </w:rPr>
        <w:fldChar w:fldCharType="separate"/>
      </w:r>
      <w:r w:rsidR="001E5D7A">
        <w:rPr>
          <w:noProof/>
          <w:sz w:val="18"/>
        </w:rPr>
        <w:t>3</w:t>
      </w:r>
      <w:r w:rsidR="00586F30">
        <w:rPr>
          <w:sz w:val="18"/>
        </w:rPr>
        <w:fldChar w:fldCharType="end"/>
      </w:r>
      <w:r w:rsidR="00341287">
        <w:rPr>
          <w:sz w:val="18"/>
        </w:rPr>
        <w:noBreakHyphen/>
      </w:r>
      <w:r w:rsidR="00586F30">
        <w:rPr>
          <w:sz w:val="18"/>
        </w:rPr>
        <w:fldChar w:fldCharType="begin"/>
      </w:r>
      <w:r w:rsidR="00341287">
        <w:rPr>
          <w:sz w:val="18"/>
        </w:rPr>
        <w:instrText xml:space="preserve"> SEQ Figure \* ARABIC \s 1 </w:instrText>
      </w:r>
      <w:r w:rsidR="00586F30">
        <w:rPr>
          <w:sz w:val="18"/>
        </w:rPr>
        <w:fldChar w:fldCharType="separate"/>
      </w:r>
      <w:r w:rsidR="001E5D7A">
        <w:rPr>
          <w:noProof/>
          <w:sz w:val="18"/>
        </w:rPr>
        <w:t>3</w:t>
      </w:r>
      <w:r w:rsidR="00586F30">
        <w:rPr>
          <w:sz w:val="18"/>
        </w:rPr>
        <w:fldChar w:fldCharType="end"/>
      </w:r>
      <w:bookmarkEnd w:id="27"/>
      <w:r>
        <w:rPr>
          <w:sz w:val="18"/>
        </w:rPr>
        <w:t>: Recovery pathways for refrigerators, base case</w:t>
      </w:r>
    </w:p>
    <w:p w:rsidR="00A25B26" w:rsidRDefault="004D6207" w:rsidP="00A25B26">
      <w:pPr>
        <w:pStyle w:val="BodyText"/>
      </w:pPr>
      <w:r w:rsidRPr="004D6207">
        <w:rPr>
          <w:noProof/>
          <w:lang w:eastAsia="en-AU"/>
        </w:rPr>
        <w:drawing>
          <wp:inline distT="0" distB="0" distL="0" distR="0">
            <wp:extent cx="5400675" cy="1953687"/>
            <wp:effectExtent l="19050" t="0" r="9525"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srcRect/>
                    <a:stretch>
                      <a:fillRect/>
                    </a:stretch>
                  </pic:blipFill>
                  <pic:spPr bwMode="auto">
                    <a:xfrm>
                      <a:off x="0" y="0"/>
                      <a:ext cx="5400675" cy="1953687"/>
                    </a:xfrm>
                    <a:prstGeom prst="rect">
                      <a:avLst/>
                    </a:prstGeom>
                    <a:noFill/>
                    <a:ln w="9525">
                      <a:noFill/>
                      <a:miter lim="800000"/>
                      <a:headEnd/>
                      <a:tailEnd/>
                    </a:ln>
                  </pic:spPr>
                </pic:pic>
              </a:graphicData>
            </a:graphic>
          </wp:inline>
        </w:drawing>
      </w:r>
    </w:p>
    <w:p w:rsidR="007E34F8" w:rsidRDefault="007E34F8" w:rsidP="007E34F8">
      <w:pPr>
        <w:pStyle w:val="Source"/>
      </w:pPr>
      <w:r>
        <w:t xml:space="preserve">Source: </w:t>
      </w:r>
      <w:r>
        <w:tab/>
      </w:r>
      <w:r w:rsidR="003843B7" w:rsidRPr="00A7618E">
        <w:rPr>
          <w:rStyle w:val="SourceChar"/>
        </w:rPr>
        <w:t xml:space="preserve">KPMG 2014, </w:t>
      </w:r>
      <w:r w:rsidR="003843B7" w:rsidRPr="00A7618E">
        <w:rPr>
          <w:rStyle w:val="SourceChar"/>
          <w:i/>
        </w:rPr>
        <w:t>End-of-life domestic refrigeration and air conditioning equipment in Australia</w:t>
      </w:r>
      <w:r w:rsidR="003843B7" w:rsidRPr="00A7618E">
        <w:rPr>
          <w:rStyle w:val="SourceChar"/>
        </w:rPr>
        <w:t>, report prepared for the Department of the Environment</w:t>
      </w:r>
      <w:r w:rsidR="003843B7">
        <w:rPr>
          <w:rStyle w:val="SourceChar"/>
        </w:rPr>
        <w:t>.</w:t>
      </w:r>
    </w:p>
    <w:p w:rsidR="00EB06E8" w:rsidRDefault="00EB06E8" w:rsidP="00EE40A8">
      <w:pPr>
        <w:pStyle w:val="Heading3"/>
      </w:pPr>
      <w:r>
        <w:t>Option 1 – Voluntary</w:t>
      </w:r>
    </w:p>
    <w:p w:rsidR="00A25B26" w:rsidRPr="00046955" w:rsidRDefault="00A25B26" w:rsidP="00A25B26">
      <w:pPr>
        <w:pStyle w:val="BodyText"/>
      </w:pPr>
      <w:r>
        <w:t xml:space="preserve">The following table summarises </w:t>
      </w:r>
      <w:r w:rsidR="008E41D3">
        <w:t>o</w:t>
      </w:r>
      <w:r>
        <w:t xml:space="preserve">ption 1 </w:t>
      </w:r>
      <w:r w:rsidR="00F268D2">
        <w:t xml:space="preserve">as outlined in </w:t>
      </w:r>
      <w:r w:rsidR="00137325">
        <w:t>the draft options paper prepared by the RAC Industry Working Group</w:t>
      </w:r>
      <w:r w:rsidR="00A00B61">
        <w:t xml:space="preserve"> in consultation with the Department</w:t>
      </w:r>
      <w:r w:rsidR="00F268D2">
        <w:t xml:space="preserve">, </w:t>
      </w:r>
      <w:r>
        <w:t xml:space="preserve">including the requirements, management, potential features and benefits and costs. The implications of this option on recovery of materials from refrigerators and air conditioners are illustrated in the diagrams that follow. </w:t>
      </w:r>
    </w:p>
    <w:p w:rsidR="00EB06E8" w:rsidRPr="00EB06E8" w:rsidRDefault="00CE3BAC" w:rsidP="00CE3BAC">
      <w:pPr>
        <w:pStyle w:val="Caption"/>
      </w:pPr>
      <w:r>
        <w:t xml:space="preserve">Table </w:t>
      </w:r>
      <w:r w:rsidR="00586F30">
        <w:fldChar w:fldCharType="begin"/>
      </w:r>
      <w:r w:rsidR="00C478AE">
        <w:instrText xml:space="preserve"> STYLEREF 1 \s </w:instrText>
      </w:r>
      <w:r w:rsidR="00586F30">
        <w:fldChar w:fldCharType="separate"/>
      </w:r>
      <w:r w:rsidR="001E5D7A">
        <w:rPr>
          <w:noProof/>
        </w:rPr>
        <w:t>3</w:t>
      </w:r>
      <w:r w:rsidR="00586F30">
        <w:rPr>
          <w:noProof/>
        </w:rPr>
        <w:fldChar w:fldCharType="end"/>
      </w:r>
      <w:r>
        <w:noBreakHyphen/>
      </w:r>
      <w:r w:rsidR="00586F30">
        <w:fldChar w:fldCharType="begin"/>
      </w:r>
      <w:r w:rsidR="00C478AE">
        <w:instrText xml:space="preserve"> SEQ Table \* ARABIC \s 1 </w:instrText>
      </w:r>
      <w:r w:rsidR="00586F30">
        <w:fldChar w:fldCharType="separate"/>
      </w:r>
      <w:r w:rsidR="001E5D7A">
        <w:rPr>
          <w:noProof/>
        </w:rPr>
        <w:t>2</w:t>
      </w:r>
      <w:r w:rsidR="00586F30">
        <w:rPr>
          <w:noProof/>
        </w:rPr>
        <w:fldChar w:fldCharType="end"/>
      </w:r>
      <w:r>
        <w:t xml:space="preserve">: </w:t>
      </w:r>
      <w:r w:rsidR="00A25B26" w:rsidRPr="00046955">
        <w:rPr>
          <w:sz w:val="18"/>
        </w:rPr>
        <w:t xml:space="preserve">Summary, </w:t>
      </w:r>
      <w:r w:rsidR="008E41D3">
        <w:rPr>
          <w:sz w:val="18"/>
        </w:rPr>
        <w:t>option 1 – v</w:t>
      </w:r>
      <w:r w:rsidR="00A25B26" w:rsidRPr="00046955">
        <w:rPr>
          <w:sz w:val="18"/>
        </w:rPr>
        <w:t xml:space="preserve">oluntary </w:t>
      </w:r>
      <w:r w:rsidR="008E41D3">
        <w:rPr>
          <w:sz w:val="18"/>
        </w:rPr>
        <w:t>s</w:t>
      </w:r>
      <w:r w:rsidR="00A25B26" w:rsidRPr="00046955">
        <w:rPr>
          <w:sz w:val="18"/>
        </w:rPr>
        <w:t>cheme</w:t>
      </w:r>
    </w:p>
    <w:tbl>
      <w:tblPr>
        <w:tblStyle w:val="TableGrid"/>
        <w:tblW w:w="0" w:type="auto"/>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tblPr>
      <w:tblGrid>
        <w:gridCol w:w="1668"/>
        <w:gridCol w:w="7053"/>
      </w:tblGrid>
      <w:tr w:rsidR="00EB06E8" w:rsidRPr="008E41D3" w:rsidTr="00940C51">
        <w:tc>
          <w:tcPr>
            <w:tcW w:w="1668" w:type="dxa"/>
            <w:shd w:val="clear" w:color="auto" w:fill="1F497D" w:themeFill="text2"/>
          </w:tcPr>
          <w:p w:rsidR="00EB06E8" w:rsidRPr="008E41D3" w:rsidRDefault="00EB06E8" w:rsidP="00CD7A23">
            <w:pPr>
              <w:pStyle w:val="BodyText"/>
              <w:spacing w:before="60" w:after="60"/>
              <w:rPr>
                <w:b/>
                <w:color w:val="FFFFFF" w:themeColor="background1"/>
                <w:sz w:val="20"/>
              </w:rPr>
            </w:pPr>
            <w:r w:rsidRPr="008E41D3">
              <w:rPr>
                <w:b/>
                <w:color w:val="FFFFFF" w:themeColor="background1"/>
                <w:sz w:val="20"/>
              </w:rPr>
              <w:t>Description</w:t>
            </w:r>
          </w:p>
        </w:tc>
        <w:tc>
          <w:tcPr>
            <w:tcW w:w="7053" w:type="dxa"/>
          </w:tcPr>
          <w:p w:rsidR="00EB06E8" w:rsidRPr="008E41D3" w:rsidRDefault="00EB06E8" w:rsidP="007E34F8">
            <w:pPr>
              <w:pStyle w:val="BodyText"/>
              <w:spacing w:before="60" w:after="60"/>
              <w:rPr>
                <w:sz w:val="20"/>
              </w:rPr>
            </w:pPr>
            <w:r w:rsidRPr="008E41D3">
              <w:rPr>
                <w:sz w:val="20"/>
              </w:rPr>
              <w:t xml:space="preserve">Under a voluntary scheme an Administrator manages the product stewardship arrangement on behalf of participants to achieve a set of outcomes.  </w:t>
            </w:r>
            <w:r w:rsidR="00436A37" w:rsidRPr="008E41D3">
              <w:rPr>
                <w:sz w:val="20"/>
              </w:rPr>
              <w:t xml:space="preserve">Participants </w:t>
            </w:r>
            <w:r w:rsidRPr="008E41D3">
              <w:rPr>
                <w:sz w:val="20"/>
              </w:rPr>
              <w:t xml:space="preserve">would be accredited and required to meet specific </w:t>
            </w:r>
            <w:r w:rsidR="00436A37" w:rsidRPr="008E41D3">
              <w:rPr>
                <w:sz w:val="20"/>
              </w:rPr>
              <w:t xml:space="preserve">scheme </w:t>
            </w:r>
            <w:r w:rsidRPr="008E41D3">
              <w:rPr>
                <w:sz w:val="20"/>
              </w:rPr>
              <w:t>requirements.  Accreditation is voluntary and demonstrates that an organisation ha</w:t>
            </w:r>
            <w:r w:rsidR="007E34F8" w:rsidRPr="008E41D3">
              <w:rPr>
                <w:sz w:val="20"/>
              </w:rPr>
              <w:t>s been independently assessed</w:t>
            </w:r>
            <w:r w:rsidRPr="008E41D3">
              <w:rPr>
                <w:sz w:val="20"/>
              </w:rPr>
              <w:t>.</w:t>
            </w:r>
          </w:p>
        </w:tc>
      </w:tr>
      <w:tr w:rsidR="00EB06E8" w:rsidRPr="008E41D3" w:rsidTr="00940C51">
        <w:tc>
          <w:tcPr>
            <w:tcW w:w="1668" w:type="dxa"/>
            <w:shd w:val="clear" w:color="auto" w:fill="1F497D" w:themeFill="text2"/>
          </w:tcPr>
          <w:p w:rsidR="00EB06E8" w:rsidRPr="008E41D3" w:rsidRDefault="00EB06E8" w:rsidP="00CD7A23">
            <w:pPr>
              <w:pStyle w:val="BodyText"/>
              <w:spacing w:before="60" w:after="60"/>
              <w:rPr>
                <w:b/>
                <w:color w:val="FFFFFF" w:themeColor="background1"/>
                <w:sz w:val="20"/>
              </w:rPr>
            </w:pPr>
            <w:r w:rsidRPr="008E41D3">
              <w:rPr>
                <w:b/>
                <w:color w:val="FFFFFF" w:themeColor="background1"/>
                <w:sz w:val="20"/>
              </w:rPr>
              <w:t>Requirements</w:t>
            </w:r>
          </w:p>
        </w:tc>
        <w:tc>
          <w:tcPr>
            <w:tcW w:w="7053" w:type="dxa"/>
          </w:tcPr>
          <w:p w:rsidR="00940C51" w:rsidRPr="008E41D3" w:rsidRDefault="00940C51" w:rsidP="00CD7A23">
            <w:pPr>
              <w:pStyle w:val="BodyText"/>
              <w:spacing w:before="60" w:after="60"/>
              <w:rPr>
                <w:sz w:val="20"/>
              </w:rPr>
            </w:pPr>
            <w:r w:rsidRPr="008E41D3">
              <w:rPr>
                <w:sz w:val="20"/>
              </w:rPr>
              <w:t>Requirements of the voluntary scheme include:</w:t>
            </w:r>
          </w:p>
          <w:p w:rsidR="00EB06E8" w:rsidRPr="008E41D3" w:rsidRDefault="00436A37" w:rsidP="00746EAA">
            <w:pPr>
              <w:pStyle w:val="BulletText"/>
              <w:rPr>
                <w:sz w:val="20"/>
                <w:szCs w:val="20"/>
              </w:rPr>
            </w:pPr>
            <w:r w:rsidRPr="008E41D3">
              <w:rPr>
                <w:sz w:val="20"/>
                <w:szCs w:val="20"/>
              </w:rPr>
              <w:t>A</w:t>
            </w:r>
            <w:r w:rsidR="00EB06E8" w:rsidRPr="008E41D3">
              <w:rPr>
                <w:sz w:val="20"/>
                <w:szCs w:val="20"/>
              </w:rPr>
              <w:t xml:space="preserve">n education campaign </w:t>
            </w:r>
            <w:r w:rsidR="00390168" w:rsidRPr="008E41D3">
              <w:rPr>
                <w:sz w:val="20"/>
                <w:szCs w:val="20"/>
              </w:rPr>
              <w:t xml:space="preserve">for consumers </w:t>
            </w:r>
            <w:r w:rsidR="00EB06E8" w:rsidRPr="008E41D3">
              <w:rPr>
                <w:sz w:val="20"/>
                <w:szCs w:val="20"/>
              </w:rPr>
              <w:t>about the benefits of:</w:t>
            </w:r>
          </w:p>
          <w:p w:rsidR="00EB06E8" w:rsidRPr="008E41D3" w:rsidRDefault="00EB06E8" w:rsidP="00305FA1">
            <w:pPr>
              <w:pStyle w:val="BodyText"/>
              <w:numPr>
                <w:ilvl w:val="0"/>
                <w:numId w:val="11"/>
              </w:numPr>
              <w:spacing w:before="60" w:after="60"/>
              <w:ind w:left="697" w:hanging="357"/>
              <w:rPr>
                <w:sz w:val="20"/>
              </w:rPr>
            </w:pPr>
            <w:r w:rsidRPr="008E41D3">
              <w:rPr>
                <w:sz w:val="20"/>
              </w:rPr>
              <w:t>using an accredited air conditioning installer;</w:t>
            </w:r>
            <w:r w:rsidR="00436A37" w:rsidRPr="008E41D3">
              <w:rPr>
                <w:sz w:val="20"/>
              </w:rPr>
              <w:t xml:space="preserve"> and</w:t>
            </w:r>
            <w:r w:rsidRPr="008E41D3">
              <w:rPr>
                <w:sz w:val="20"/>
              </w:rPr>
              <w:t xml:space="preserve"> </w:t>
            </w:r>
          </w:p>
          <w:p w:rsidR="00EB06E8" w:rsidRPr="008E41D3" w:rsidRDefault="00EB06E8" w:rsidP="00305FA1">
            <w:pPr>
              <w:pStyle w:val="BodyText"/>
              <w:numPr>
                <w:ilvl w:val="0"/>
                <w:numId w:val="11"/>
              </w:numPr>
              <w:spacing w:before="60" w:after="60"/>
              <w:ind w:left="697" w:hanging="357"/>
              <w:rPr>
                <w:sz w:val="20"/>
              </w:rPr>
            </w:pPr>
            <w:proofErr w:type="gramStart"/>
            <w:r w:rsidRPr="008E41D3">
              <w:rPr>
                <w:sz w:val="20"/>
              </w:rPr>
              <w:t>appropriately</w:t>
            </w:r>
            <w:proofErr w:type="gramEnd"/>
            <w:r w:rsidRPr="008E41D3">
              <w:rPr>
                <w:sz w:val="20"/>
              </w:rPr>
              <w:t xml:space="preserve"> disposing of RAC equipment.</w:t>
            </w:r>
          </w:p>
          <w:p w:rsidR="00436A37" w:rsidRPr="008E41D3" w:rsidRDefault="00436A37" w:rsidP="00746EAA">
            <w:pPr>
              <w:pStyle w:val="BulletText"/>
              <w:rPr>
                <w:sz w:val="20"/>
                <w:szCs w:val="20"/>
              </w:rPr>
            </w:pPr>
            <w:r w:rsidRPr="008E41D3">
              <w:rPr>
                <w:sz w:val="20"/>
                <w:szCs w:val="20"/>
              </w:rPr>
              <w:t>An education campaign for metal recyclers to increase awareness of need for refrigerant recovery.</w:t>
            </w:r>
          </w:p>
          <w:p w:rsidR="00EB06E8" w:rsidRPr="008E41D3" w:rsidRDefault="00390168" w:rsidP="00746EAA">
            <w:pPr>
              <w:pStyle w:val="BulletText"/>
              <w:rPr>
                <w:sz w:val="20"/>
                <w:szCs w:val="20"/>
              </w:rPr>
            </w:pPr>
            <w:r w:rsidRPr="008E41D3">
              <w:rPr>
                <w:sz w:val="20"/>
                <w:szCs w:val="20"/>
              </w:rPr>
              <w:t xml:space="preserve">Accreditation and a logo to encourage </w:t>
            </w:r>
            <w:r w:rsidR="00EB06E8" w:rsidRPr="008E41D3">
              <w:rPr>
                <w:sz w:val="20"/>
                <w:szCs w:val="20"/>
              </w:rPr>
              <w:t xml:space="preserve">a greater number of </w:t>
            </w:r>
            <w:r w:rsidR="00F16BDD" w:rsidRPr="008E41D3">
              <w:rPr>
                <w:sz w:val="20"/>
                <w:szCs w:val="20"/>
              </w:rPr>
              <w:t>retailer take</w:t>
            </w:r>
            <w:r w:rsidR="007E34F8" w:rsidRPr="008E41D3">
              <w:rPr>
                <w:sz w:val="20"/>
                <w:szCs w:val="20"/>
              </w:rPr>
              <w:t>-</w:t>
            </w:r>
            <w:r w:rsidR="00F16BDD" w:rsidRPr="008E41D3">
              <w:rPr>
                <w:sz w:val="20"/>
                <w:szCs w:val="20"/>
              </w:rPr>
              <w:t>back schemes</w:t>
            </w:r>
            <w:r w:rsidR="00EB06E8" w:rsidRPr="008E41D3">
              <w:rPr>
                <w:sz w:val="20"/>
                <w:szCs w:val="20"/>
              </w:rPr>
              <w:t xml:space="preserve"> to reduce </w:t>
            </w:r>
            <w:r w:rsidR="00F16BDD" w:rsidRPr="008E41D3">
              <w:rPr>
                <w:sz w:val="20"/>
                <w:szCs w:val="20"/>
              </w:rPr>
              <w:t>the refrigerators put out for kerbside collection and thereby reducing the</w:t>
            </w:r>
            <w:r w:rsidR="00EB06E8" w:rsidRPr="008E41D3">
              <w:rPr>
                <w:sz w:val="20"/>
                <w:szCs w:val="20"/>
              </w:rPr>
              <w:t xml:space="preserve"> ability for scavengers to collect refrigerators.</w:t>
            </w:r>
            <w:r w:rsidR="00174F9F" w:rsidRPr="008E41D3">
              <w:rPr>
                <w:sz w:val="20"/>
                <w:szCs w:val="20"/>
              </w:rPr>
              <w:t xml:space="preserve">  </w:t>
            </w:r>
          </w:p>
          <w:p w:rsidR="00436A37" w:rsidRPr="008E41D3" w:rsidRDefault="00436A37" w:rsidP="00CD7A23">
            <w:pPr>
              <w:pStyle w:val="BulletText"/>
              <w:rPr>
                <w:sz w:val="20"/>
                <w:szCs w:val="20"/>
              </w:rPr>
            </w:pPr>
            <w:r w:rsidRPr="008E41D3">
              <w:rPr>
                <w:sz w:val="20"/>
                <w:szCs w:val="20"/>
              </w:rPr>
              <w:t xml:space="preserve">A target to reduce the proportion of shredder </w:t>
            </w:r>
            <w:proofErr w:type="spellStart"/>
            <w:r w:rsidRPr="008E41D3">
              <w:rPr>
                <w:sz w:val="20"/>
                <w:szCs w:val="20"/>
              </w:rPr>
              <w:t>floc</w:t>
            </w:r>
            <w:proofErr w:type="spellEnd"/>
            <w:r w:rsidRPr="008E41D3">
              <w:rPr>
                <w:sz w:val="20"/>
                <w:szCs w:val="20"/>
              </w:rPr>
              <w:t xml:space="preserve"> from RAC equipment entering landfill (e.g. reduce the amount of shredder </w:t>
            </w:r>
            <w:proofErr w:type="spellStart"/>
            <w:r w:rsidRPr="008E41D3">
              <w:rPr>
                <w:sz w:val="20"/>
                <w:szCs w:val="20"/>
              </w:rPr>
              <w:t>floc</w:t>
            </w:r>
            <w:proofErr w:type="spellEnd"/>
            <w:r w:rsidRPr="008E41D3">
              <w:rPr>
                <w:sz w:val="20"/>
                <w:szCs w:val="20"/>
              </w:rPr>
              <w:t xml:space="preserve"> going to landfill by 15 per cent), funded by industry (e.g. manufacturers, importers, retailers).</w:t>
            </w:r>
          </w:p>
          <w:p w:rsidR="00390168" w:rsidRPr="008E41D3" w:rsidRDefault="00EB06E8" w:rsidP="00CD7A23">
            <w:pPr>
              <w:pStyle w:val="BulletText"/>
              <w:spacing w:line="240" w:lineRule="auto"/>
              <w:ind w:left="357" w:hanging="357"/>
              <w:rPr>
                <w:sz w:val="20"/>
                <w:szCs w:val="20"/>
              </w:rPr>
            </w:pPr>
            <w:r w:rsidRPr="008E41D3">
              <w:rPr>
                <w:sz w:val="20"/>
                <w:szCs w:val="20"/>
              </w:rPr>
              <w:t>Increasing the rebates paid to contractors for t</w:t>
            </w:r>
            <w:r w:rsidR="00436A37" w:rsidRPr="008E41D3">
              <w:rPr>
                <w:sz w:val="20"/>
                <w:szCs w:val="20"/>
              </w:rPr>
              <w:t xml:space="preserve">he return of ODS and SGG to </w:t>
            </w:r>
            <w:r w:rsidR="00436A37" w:rsidRPr="008E41D3">
              <w:rPr>
                <w:sz w:val="20"/>
                <w:szCs w:val="20"/>
              </w:rPr>
              <w:lastRenderedPageBreak/>
              <w:t>RRA</w:t>
            </w:r>
            <w:r w:rsidR="00390168" w:rsidRPr="008E41D3">
              <w:rPr>
                <w:sz w:val="20"/>
                <w:szCs w:val="20"/>
              </w:rPr>
              <w:t xml:space="preserve"> for destruction.</w:t>
            </w:r>
          </w:p>
          <w:p w:rsidR="00EB06E8" w:rsidRPr="008E41D3" w:rsidRDefault="00390168" w:rsidP="00676F5A">
            <w:pPr>
              <w:pStyle w:val="BulletText"/>
              <w:spacing w:line="240" w:lineRule="auto"/>
              <w:ind w:left="357" w:hanging="357"/>
              <w:rPr>
                <w:sz w:val="20"/>
                <w:szCs w:val="20"/>
              </w:rPr>
            </w:pPr>
            <w:r w:rsidRPr="008E41D3">
              <w:rPr>
                <w:sz w:val="20"/>
                <w:szCs w:val="20"/>
              </w:rPr>
              <w:t xml:space="preserve">Encouraging LGAs to increase </w:t>
            </w:r>
            <w:r w:rsidR="00676F5A">
              <w:rPr>
                <w:sz w:val="20"/>
                <w:szCs w:val="20"/>
              </w:rPr>
              <w:t>booked collections</w:t>
            </w:r>
            <w:r w:rsidRPr="008E41D3">
              <w:rPr>
                <w:sz w:val="20"/>
                <w:szCs w:val="20"/>
              </w:rPr>
              <w:t>.</w:t>
            </w:r>
          </w:p>
        </w:tc>
      </w:tr>
      <w:tr w:rsidR="00EB06E8" w:rsidRPr="008E41D3" w:rsidTr="00940C51">
        <w:tc>
          <w:tcPr>
            <w:tcW w:w="1668" w:type="dxa"/>
            <w:shd w:val="clear" w:color="auto" w:fill="1F497D" w:themeFill="text2"/>
          </w:tcPr>
          <w:p w:rsidR="00EB06E8" w:rsidRPr="008E41D3" w:rsidRDefault="00EB06E8" w:rsidP="00CD7A23">
            <w:pPr>
              <w:pStyle w:val="BodyText"/>
              <w:spacing w:before="60" w:after="60"/>
              <w:rPr>
                <w:b/>
                <w:color w:val="FFFFFF" w:themeColor="background1"/>
                <w:sz w:val="20"/>
              </w:rPr>
            </w:pPr>
            <w:r w:rsidRPr="008E41D3">
              <w:rPr>
                <w:b/>
                <w:color w:val="FFFFFF" w:themeColor="background1"/>
                <w:sz w:val="20"/>
              </w:rPr>
              <w:lastRenderedPageBreak/>
              <w:t>Management</w:t>
            </w:r>
          </w:p>
        </w:tc>
        <w:tc>
          <w:tcPr>
            <w:tcW w:w="7053" w:type="dxa"/>
          </w:tcPr>
          <w:p w:rsidR="00940C51" w:rsidRPr="008E41D3" w:rsidRDefault="00940C51" w:rsidP="00CD7A23">
            <w:pPr>
              <w:pStyle w:val="BodyText"/>
              <w:spacing w:before="60" w:after="60"/>
              <w:rPr>
                <w:sz w:val="20"/>
              </w:rPr>
            </w:pPr>
            <w:r w:rsidRPr="008E41D3">
              <w:rPr>
                <w:sz w:val="20"/>
              </w:rPr>
              <w:t>Management arrangements required for a voluntary scheme include:</w:t>
            </w:r>
          </w:p>
          <w:p w:rsidR="00436A37" w:rsidRPr="008E41D3" w:rsidRDefault="00F268D2" w:rsidP="00CD7A23">
            <w:pPr>
              <w:pStyle w:val="BulletText"/>
              <w:spacing w:line="240" w:lineRule="auto"/>
              <w:ind w:left="357" w:hanging="357"/>
              <w:rPr>
                <w:sz w:val="20"/>
                <w:szCs w:val="20"/>
              </w:rPr>
            </w:pPr>
            <w:r w:rsidRPr="008E41D3">
              <w:rPr>
                <w:sz w:val="20"/>
                <w:szCs w:val="20"/>
              </w:rPr>
              <w:t>Collection of</w:t>
            </w:r>
            <w:r w:rsidR="00436A37" w:rsidRPr="008E41D3">
              <w:rPr>
                <w:sz w:val="20"/>
                <w:szCs w:val="20"/>
              </w:rPr>
              <w:t xml:space="preserve"> fees from importers/manufacturers </w:t>
            </w:r>
            <w:r w:rsidR="00137325">
              <w:rPr>
                <w:sz w:val="20"/>
                <w:szCs w:val="20"/>
              </w:rPr>
              <w:t xml:space="preserve">which will fund </w:t>
            </w:r>
            <w:r w:rsidR="00436A37" w:rsidRPr="008E41D3">
              <w:rPr>
                <w:sz w:val="20"/>
                <w:szCs w:val="20"/>
              </w:rPr>
              <w:t xml:space="preserve">recyclers for recycling </w:t>
            </w:r>
            <w:r w:rsidR="00137325">
              <w:rPr>
                <w:sz w:val="20"/>
                <w:szCs w:val="20"/>
              </w:rPr>
              <w:t xml:space="preserve">RAC </w:t>
            </w:r>
            <w:r w:rsidR="00436A37" w:rsidRPr="008E41D3">
              <w:rPr>
                <w:sz w:val="20"/>
                <w:szCs w:val="20"/>
              </w:rPr>
              <w:t>equipment. Accredit</w:t>
            </w:r>
            <w:r w:rsidRPr="008E41D3">
              <w:rPr>
                <w:sz w:val="20"/>
                <w:szCs w:val="20"/>
              </w:rPr>
              <w:t>ation and audit of</w:t>
            </w:r>
            <w:r w:rsidR="00436A37" w:rsidRPr="008E41D3">
              <w:rPr>
                <w:sz w:val="20"/>
                <w:szCs w:val="20"/>
              </w:rPr>
              <w:t xml:space="preserve"> participants and education campaigns.</w:t>
            </w:r>
          </w:p>
          <w:p w:rsidR="00436A37" w:rsidRPr="008E41D3" w:rsidRDefault="00436A37" w:rsidP="00CD7A23">
            <w:pPr>
              <w:pStyle w:val="BulletText"/>
              <w:spacing w:line="240" w:lineRule="auto"/>
              <w:ind w:left="357" w:hanging="357"/>
              <w:rPr>
                <w:sz w:val="20"/>
                <w:szCs w:val="20"/>
              </w:rPr>
            </w:pPr>
            <w:r w:rsidRPr="008E41D3">
              <w:rPr>
                <w:sz w:val="20"/>
                <w:szCs w:val="20"/>
              </w:rPr>
              <w:t xml:space="preserve">Accredited </w:t>
            </w:r>
            <w:proofErr w:type="gramStart"/>
            <w:r w:rsidRPr="008E41D3">
              <w:rPr>
                <w:sz w:val="20"/>
                <w:szCs w:val="20"/>
              </w:rPr>
              <w:t>retailer take</w:t>
            </w:r>
            <w:proofErr w:type="gramEnd"/>
            <w:r w:rsidRPr="008E41D3">
              <w:rPr>
                <w:sz w:val="20"/>
                <w:szCs w:val="20"/>
              </w:rPr>
              <w:t xml:space="preserve"> back schemes.</w:t>
            </w:r>
          </w:p>
          <w:p w:rsidR="00EB06E8" w:rsidRPr="008E41D3" w:rsidRDefault="00436A37" w:rsidP="00CD7A23">
            <w:pPr>
              <w:pStyle w:val="BulletText"/>
              <w:spacing w:line="240" w:lineRule="auto"/>
              <w:ind w:left="357" w:hanging="357"/>
              <w:rPr>
                <w:sz w:val="20"/>
                <w:szCs w:val="20"/>
              </w:rPr>
            </w:pPr>
            <w:r w:rsidRPr="008E41D3">
              <w:rPr>
                <w:sz w:val="20"/>
                <w:szCs w:val="20"/>
              </w:rPr>
              <w:t>Using a logo for consumer education and to identify accredited companies.</w:t>
            </w:r>
          </w:p>
          <w:p w:rsidR="00436A37" w:rsidRPr="008E41D3" w:rsidRDefault="00436A37" w:rsidP="00CD7A23">
            <w:pPr>
              <w:pStyle w:val="BulletText"/>
              <w:spacing w:line="240" w:lineRule="auto"/>
              <w:ind w:left="357" w:hanging="357"/>
              <w:rPr>
                <w:sz w:val="20"/>
                <w:szCs w:val="20"/>
              </w:rPr>
            </w:pPr>
            <w:r w:rsidRPr="008E41D3">
              <w:rPr>
                <w:sz w:val="20"/>
                <w:szCs w:val="20"/>
              </w:rPr>
              <w:t>Local Governments sign up to have booked collections.</w:t>
            </w:r>
          </w:p>
          <w:p w:rsidR="00436A37" w:rsidRPr="008E41D3" w:rsidRDefault="00436A37" w:rsidP="00CD7A23">
            <w:pPr>
              <w:pStyle w:val="BulletText"/>
              <w:spacing w:line="240" w:lineRule="auto"/>
              <w:ind w:left="357" w:hanging="357"/>
              <w:rPr>
                <w:sz w:val="20"/>
                <w:szCs w:val="20"/>
              </w:rPr>
            </w:pPr>
            <w:r w:rsidRPr="008E41D3">
              <w:rPr>
                <w:sz w:val="20"/>
                <w:szCs w:val="20"/>
              </w:rPr>
              <w:t xml:space="preserve">Reduction of hazardous substances in shredder </w:t>
            </w:r>
            <w:proofErr w:type="spellStart"/>
            <w:r w:rsidRPr="008E41D3">
              <w:rPr>
                <w:sz w:val="20"/>
                <w:szCs w:val="20"/>
              </w:rPr>
              <w:t>floc</w:t>
            </w:r>
            <w:proofErr w:type="spellEnd"/>
          </w:p>
        </w:tc>
      </w:tr>
      <w:tr w:rsidR="00A25B26" w:rsidRPr="008E41D3" w:rsidTr="00940C51">
        <w:tc>
          <w:tcPr>
            <w:tcW w:w="1668" w:type="dxa"/>
            <w:shd w:val="clear" w:color="auto" w:fill="1F497D" w:themeFill="text2"/>
          </w:tcPr>
          <w:p w:rsidR="00A25B26" w:rsidRPr="008E41D3" w:rsidRDefault="00940C51" w:rsidP="00CD7A23">
            <w:pPr>
              <w:pStyle w:val="BodyText"/>
              <w:spacing w:before="60" w:after="60"/>
              <w:rPr>
                <w:b/>
                <w:color w:val="FFFFFF" w:themeColor="background1"/>
                <w:sz w:val="20"/>
              </w:rPr>
            </w:pPr>
            <w:r w:rsidRPr="008E41D3">
              <w:rPr>
                <w:b/>
                <w:color w:val="FFFFFF" w:themeColor="background1"/>
                <w:sz w:val="20"/>
              </w:rPr>
              <w:t>Outcomes</w:t>
            </w:r>
          </w:p>
        </w:tc>
        <w:tc>
          <w:tcPr>
            <w:tcW w:w="7053" w:type="dxa"/>
          </w:tcPr>
          <w:p w:rsidR="00A25B26" w:rsidRPr="008E41D3" w:rsidRDefault="00940C51" w:rsidP="00CD7A23">
            <w:pPr>
              <w:pStyle w:val="BodyText"/>
              <w:spacing w:before="60" w:after="60"/>
              <w:rPr>
                <w:sz w:val="20"/>
              </w:rPr>
            </w:pPr>
            <w:r w:rsidRPr="008E41D3">
              <w:rPr>
                <w:sz w:val="20"/>
              </w:rPr>
              <w:t>The expected outcomes of the voluntary scheme</w:t>
            </w:r>
            <w:r w:rsidR="00913369">
              <w:rPr>
                <w:sz w:val="20"/>
              </w:rPr>
              <w:t xml:space="preserve"> relative to the status quo</w:t>
            </w:r>
            <w:r w:rsidRPr="008E41D3">
              <w:rPr>
                <w:sz w:val="20"/>
              </w:rPr>
              <w:t xml:space="preserve"> include:</w:t>
            </w:r>
          </w:p>
          <w:p w:rsidR="00390168" w:rsidRPr="008E41D3" w:rsidRDefault="00390168" w:rsidP="00CD7A23">
            <w:pPr>
              <w:pStyle w:val="BulletText"/>
              <w:spacing w:line="240" w:lineRule="auto"/>
              <w:ind w:left="357" w:hanging="357"/>
              <w:rPr>
                <w:sz w:val="20"/>
                <w:szCs w:val="20"/>
              </w:rPr>
            </w:pPr>
            <w:r w:rsidRPr="008E41D3">
              <w:rPr>
                <w:sz w:val="20"/>
                <w:szCs w:val="20"/>
              </w:rPr>
              <w:t>a 50 per cent industry participation in the scheme;</w:t>
            </w:r>
          </w:p>
          <w:p w:rsidR="00940C51" w:rsidRPr="008E41D3" w:rsidRDefault="00C24F78" w:rsidP="00CD7A23">
            <w:pPr>
              <w:pStyle w:val="BulletText"/>
              <w:spacing w:line="240" w:lineRule="auto"/>
              <w:ind w:left="357" w:hanging="357"/>
              <w:rPr>
                <w:sz w:val="20"/>
                <w:szCs w:val="20"/>
              </w:rPr>
            </w:pPr>
            <w:r w:rsidRPr="008E41D3">
              <w:rPr>
                <w:sz w:val="20"/>
                <w:szCs w:val="20"/>
              </w:rPr>
              <w:t>an increase in retailer take back schemes;</w:t>
            </w:r>
          </w:p>
          <w:p w:rsidR="00D3379F" w:rsidRPr="008E41D3" w:rsidRDefault="00D3379F" w:rsidP="00CD7A23">
            <w:pPr>
              <w:pStyle w:val="BulletText"/>
              <w:spacing w:line="240" w:lineRule="auto"/>
              <w:ind w:left="357" w:hanging="357"/>
              <w:rPr>
                <w:sz w:val="20"/>
                <w:szCs w:val="20"/>
              </w:rPr>
            </w:pPr>
            <w:r w:rsidRPr="008E41D3">
              <w:rPr>
                <w:sz w:val="20"/>
                <w:szCs w:val="20"/>
              </w:rPr>
              <w:t xml:space="preserve">a reduction in the amount of </w:t>
            </w:r>
            <w:r w:rsidR="005D366F" w:rsidRPr="008E41D3">
              <w:rPr>
                <w:sz w:val="20"/>
                <w:szCs w:val="20"/>
              </w:rPr>
              <w:t xml:space="preserve">shredder </w:t>
            </w:r>
            <w:proofErr w:type="spellStart"/>
            <w:r w:rsidR="005D366F" w:rsidRPr="008E41D3">
              <w:rPr>
                <w:sz w:val="20"/>
                <w:szCs w:val="20"/>
              </w:rPr>
              <w:t>floc</w:t>
            </w:r>
            <w:proofErr w:type="spellEnd"/>
            <w:r w:rsidRPr="008E41D3">
              <w:rPr>
                <w:sz w:val="20"/>
                <w:szCs w:val="20"/>
              </w:rPr>
              <w:t xml:space="preserve"> going to landfill;</w:t>
            </w:r>
          </w:p>
          <w:p w:rsidR="00D3379F" w:rsidRPr="008E41D3" w:rsidRDefault="00D3379F" w:rsidP="00CD7A23">
            <w:pPr>
              <w:pStyle w:val="BulletText"/>
              <w:spacing w:line="240" w:lineRule="auto"/>
              <w:ind w:left="357" w:hanging="357"/>
              <w:rPr>
                <w:sz w:val="20"/>
                <w:szCs w:val="20"/>
              </w:rPr>
            </w:pPr>
            <w:r w:rsidRPr="008E41D3">
              <w:rPr>
                <w:sz w:val="20"/>
                <w:szCs w:val="20"/>
              </w:rPr>
              <w:t xml:space="preserve">an increase in the recovery of plastics </w:t>
            </w:r>
            <w:r w:rsidR="008E41D3">
              <w:rPr>
                <w:sz w:val="20"/>
                <w:szCs w:val="20"/>
              </w:rPr>
              <w:t>through</w:t>
            </w:r>
            <w:r w:rsidRPr="008E41D3">
              <w:rPr>
                <w:sz w:val="20"/>
                <w:szCs w:val="20"/>
              </w:rPr>
              <w:t xml:space="preserve"> </w:t>
            </w:r>
            <w:r w:rsidR="00F052A8" w:rsidRPr="008E41D3">
              <w:rPr>
                <w:sz w:val="20"/>
                <w:szCs w:val="20"/>
              </w:rPr>
              <w:t>disassembly</w:t>
            </w:r>
            <w:r w:rsidRPr="008E41D3">
              <w:rPr>
                <w:sz w:val="20"/>
                <w:szCs w:val="20"/>
              </w:rPr>
              <w:t>;</w:t>
            </w:r>
          </w:p>
          <w:p w:rsidR="00C24F78" w:rsidRPr="008E41D3" w:rsidRDefault="00C24F78" w:rsidP="00CD7A23">
            <w:pPr>
              <w:pStyle w:val="BulletText"/>
              <w:spacing w:line="240" w:lineRule="auto"/>
              <w:ind w:left="357" w:hanging="357"/>
              <w:rPr>
                <w:sz w:val="20"/>
                <w:szCs w:val="20"/>
              </w:rPr>
            </w:pPr>
            <w:r w:rsidRPr="008E41D3">
              <w:rPr>
                <w:sz w:val="20"/>
                <w:szCs w:val="20"/>
              </w:rPr>
              <w:t>a reduction in scavenger collection of refrigerators for scrap metal; and</w:t>
            </w:r>
          </w:p>
          <w:p w:rsidR="00C24F78" w:rsidRPr="008E41D3" w:rsidRDefault="00C24F78" w:rsidP="00CD7A23">
            <w:pPr>
              <w:pStyle w:val="BulletText"/>
              <w:spacing w:line="240" w:lineRule="auto"/>
              <w:ind w:left="357" w:hanging="357"/>
              <w:rPr>
                <w:sz w:val="20"/>
                <w:szCs w:val="20"/>
              </w:rPr>
            </w:pPr>
            <w:proofErr w:type="gramStart"/>
            <w:r w:rsidRPr="008E41D3">
              <w:rPr>
                <w:sz w:val="20"/>
                <w:szCs w:val="20"/>
              </w:rPr>
              <w:t>an</w:t>
            </w:r>
            <w:proofErr w:type="gramEnd"/>
            <w:r w:rsidRPr="008E41D3">
              <w:rPr>
                <w:sz w:val="20"/>
                <w:szCs w:val="20"/>
              </w:rPr>
              <w:t xml:space="preserve"> increase in refrigerant gas recovered for destruction and/or reuse.</w:t>
            </w:r>
          </w:p>
        </w:tc>
      </w:tr>
    </w:tbl>
    <w:p w:rsidR="002A4C82" w:rsidRPr="00F16BDD" w:rsidRDefault="002A4C82" w:rsidP="007E34F8">
      <w:pPr>
        <w:pStyle w:val="Source"/>
      </w:pPr>
      <w:r w:rsidRPr="00F16BDD">
        <w:t xml:space="preserve">Source: </w:t>
      </w:r>
      <w:r w:rsidR="007E34F8">
        <w:tab/>
      </w:r>
      <w:r w:rsidR="00676F5A">
        <w:t>RAC Working Group</w:t>
      </w:r>
      <w:r w:rsidR="007E34F8" w:rsidRPr="00445FE6">
        <w:t xml:space="preserve"> 2014, Feasibility of Product Stewardship for End-of-Life Domestic Refrigerators and Air Conditioners (Draft Options Paper), version 2, issued to KPMG in May 2014.</w:t>
      </w:r>
    </w:p>
    <w:p w:rsidR="00A25B26" w:rsidRPr="00C24F78" w:rsidRDefault="00C24F78" w:rsidP="00C24F78">
      <w:pPr>
        <w:pStyle w:val="BodyText"/>
      </w:pPr>
      <w:r>
        <w:t xml:space="preserve">The expected impact of the voluntary scheme on recovery pathways for </w:t>
      </w:r>
      <w:r w:rsidR="004A6275">
        <w:t>air conditioners at end-of-life</w:t>
      </w:r>
      <w:r>
        <w:t xml:space="preserve"> is illustrated in</w:t>
      </w:r>
      <w:r w:rsidR="00F268D2">
        <w:t xml:space="preserve"> </w:t>
      </w:r>
      <w:r w:rsidR="00586F30">
        <w:fldChar w:fldCharType="begin"/>
      </w:r>
      <w:r w:rsidR="00F268D2">
        <w:instrText xml:space="preserve"> REF _Ref391369822 \h </w:instrText>
      </w:r>
      <w:r w:rsidR="00586F30">
        <w:fldChar w:fldCharType="separate"/>
      </w:r>
      <w:r w:rsidR="001E5D7A">
        <w:t xml:space="preserve">Figure </w:t>
      </w:r>
      <w:r w:rsidR="001E5D7A">
        <w:rPr>
          <w:noProof/>
        </w:rPr>
        <w:t>3</w:t>
      </w:r>
      <w:r w:rsidR="001E5D7A">
        <w:noBreakHyphen/>
      </w:r>
      <w:r w:rsidR="001E5D7A">
        <w:rPr>
          <w:noProof/>
        </w:rPr>
        <w:t>4</w:t>
      </w:r>
      <w:r w:rsidR="00586F30">
        <w:fldChar w:fldCharType="end"/>
      </w:r>
      <w:r w:rsidR="00F268D2">
        <w:t xml:space="preserve"> and outlined in further detail in Appendix B</w:t>
      </w:r>
      <w:r>
        <w:t>.</w:t>
      </w:r>
    </w:p>
    <w:p w:rsidR="00A25B26" w:rsidRPr="00977278" w:rsidRDefault="000F413C" w:rsidP="000F413C">
      <w:pPr>
        <w:pStyle w:val="Caption"/>
        <w:rPr>
          <w:sz w:val="18"/>
        </w:rPr>
      </w:pPr>
      <w:bookmarkStart w:id="28" w:name="_Ref391369822"/>
      <w:r>
        <w:t xml:space="preserve">Figure </w:t>
      </w:r>
      <w:r w:rsidR="00586F30">
        <w:fldChar w:fldCharType="begin"/>
      </w:r>
      <w:r w:rsidR="00341287">
        <w:instrText xml:space="preserve"> STYLEREF 1 \s </w:instrText>
      </w:r>
      <w:r w:rsidR="00586F30">
        <w:fldChar w:fldCharType="separate"/>
      </w:r>
      <w:r w:rsidR="001E5D7A">
        <w:rPr>
          <w:noProof/>
        </w:rPr>
        <w:t>3</w:t>
      </w:r>
      <w:r w:rsidR="00586F30">
        <w:fldChar w:fldCharType="end"/>
      </w:r>
      <w:r w:rsidR="00341287">
        <w:noBreakHyphen/>
      </w:r>
      <w:r w:rsidR="00586F30">
        <w:fldChar w:fldCharType="begin"/>
      </w:r>
      <w:r w:rsidR="00341287">
        <w:instrText xml:space="preserve"> SEQ Figure \* ARABIC \s 1 </w:instrText>
      </w:r>
      <w:r w:rsidR="00586F30">
        <w:fldChar w:fldCharType="separate"/>
      </w:r>
      <w:r w:rsidR="001E5D7A">
        <w:rPr>
          <w:noProof/>
        </w:rPr>
        <w:t>4</w:t>
      </w:r>
      <w:r w:rsidR="00586F30">
        <w:fldChar w:fldCharType="end"/>
      </w:r>
      <w:bookmarkEnd w:id="28"/>
      <w:r>
        <w:t xml:space="preserve">: </w:t>
      </w:r>
      <w:r w:rsidR="00A25B26">
        <w:rPr>
          <w:sz w:val="18"/>
        </w:rPr>
        <w:t xml:space="preserve">Recovery pathways for </w:t>
      </w:r>
      <w:r w:rsidR="00F75102">
        <w:rPr>
          <w:sz w:val="18"/>
        </w:rPr>
        <w:t>air conditioners</w:t>
      </w:r>
      <w:r w:rsidR="00A25B26">
        <w:rPr>
          <w:sz w:val="18"/>
        </w:rPr>
        <w:t xml:space="preserve">, </w:t>
      </w:r>
      <w:r w:rsidR="008E41D3">
        <w:rPr>
          <w:sz w:val="18"/>
        </w:rPr>
        <w:t>o</w:t>
      </w:r>
      <w:r w:rsidR="00A25B26">
        <w:rPr>
          <w:sz w:val="18"/>
        </w:rPr>
        <w:t>ption 1</w:t>
      </w:r>
    </w:p>
    <w:p w:rsidR="00A25B26" w:rsidRDefault="004D6207" w:rsidP="00A25B26">
      <w:pPr>
        <w:pStyle w:val="BodyText"/>
      </w:pPr>
      <w:r w:rsidRPr="004D6207">
        <w:rPr>
          <w:noProof/>
          <w:lang w:eastAsia="en-AU"/>
        </w:rPr>
        <w:drawing>
          <wp:inline distT="0" distB="0" distL="0" distR="0">
            <wp:extent cx="5400675" cy="2391923"/>
            <wp:effectExtent l="19050" t="0" r="9525" b="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srcRect/>
                    <a:stretch>
                      <a:fillRect/>
                    </a:stretch>
                  </pic:blipFill>
                  <pic:spPr bwMode="auto">
                    <a:xfrm>
                      <a:off x="0" y="0"/>
                      <a:ext cx="5400675" cy="2391923"/>
                    </a:xfrm>
                    <a:prstGeom prst="rect">
                      <a:avLst/>
                    </a:prstGeom>
                    <a:noFill/>
                    <a:ln w="9525">
                      <a:noFill/>
                      <a:miter lim="800000"/>
                      <a:headEnd/>
                      <a:tailEnd/>
                    </a:ln>
                  </pic:spPr>
                </pic:pic>
              </a:graphicData>
            </a:graphic>
          </wp:inline>
        </w:drawing>
      </w:r>
    </w:p>
    <w:p w:rsidR="00CD7A23" w:rsidRDefault="00CD7A23" w:rsidP="00C24F78">
      <w:pPr>
        <w:pStyle w:val="Source"/>
        <w:rPr>
          <w:i/>
        </w:rPr>
      </w:pPr>
      <w:r>
        <w:rPr>
          <w:i/>
        </w:rPr>
        <w:t>NOTE: Shaded boxes represent a shift from the status quo.</w:t>
      </w:r>
    </w:p>
    <w:p w:rsidR="00C24F78" w:rsidRDefault="00C24F78" w:rsidP="00C24F78">
      <w:pPr>
        <w:pStyle w:val="Source"/>
        <w:rPr>
          <w:i/>
        </w:rPr>
      </w:pPr>
      <w:r w:rsidRPr="00F16BDD">
        <w:rPr>
          <w:i/>
        </w:rPr>
        <w:lastRenderedPageBreak/>
        <w:t>Source: Department</w:t>
      </w:r>
      <w:r w:rsidR="00F16BDD" w:rsidRPr="00F16BDD">
        <w:rPr>
          <w:i/>
        </w:rPr>
        <w:t xml:space="preserve"> </w:t>
      </w:r>
      <w:r w:rsidR="004A6275">
        <w:rPr>
          <w:i/>
        </w:rPr>
        <w:t>of the Environment</w:t>
      </w:r>
      <w:r w:rsidRPr="00F16BDD">
        <w:rPr>
          <w:i/>
        </w:rPr>
        <w:t xml:space="preserve"> </w:t>
      </w:r>
      <w:r w:rsidR="007E34F8">
        <w:rPr>
          <w:i/>
        </w:rPr>
        <w:t xml:space="preserve">and industry consultation </w:t>
      </w:r>
    </w:p>
    <w:p w:rsidR="004A6275" w:rsidRPr="004A6275" w:rsidRDefault="004A6275" w:rsidP="004A6275">
      <w:pPr>
        <w:pStyle w:val="BodyText"/>
      </w:pPr>
      <w:r w:rsidRPr="004A6275">
        <w:t xml:space="preserve">The expected impact of the voluntary scheme on recovery pathways for refrigerators </w:t>
      </w:r>
      <w:r w:rsidR="008E41D3">
        <w:t xml:space="preserve">and freezers </w:t>
      </w:r>
      <w:r w:rsidRPr="004A6275">
        <w:t xml:space="preserve">at end-of-life is illustrated in </w:t>
      </w:r>
      <w:r w:rsidR="00586F30">
        <w:fldChar w:fldCharType="begin"/>
      </w:r>
      <w:r>
        <w:instrText xml:space="preserve"> REF _Ref391369806 \h </w:instrText>
      </w:r>
      <w:r w:rsidR="00586F30">
        <w:fldChar w:fldCharType="separate"/>
      </w:r>
      <w:r w:rsidR="001E5D7A">
        <w:t xml:space="preserve">Figure </w:t>
      </w:r>
      <w:r w:rsidR="001E5D7A">
        <w:rPr>
          <w:noProof/>
        </w:rPr>
        <w:t>3</w:t>
      </w:r>
      <w:r w:rsidR="001E5D7A">
        <w:noBreakHyphen/>
      </w:r>
      <w:r w:rsidR="001E5D7A">
        <w:rPr>
          <w:noProof/>
        </w:rPr>
        <w:t>5</w:t>
      </w:r>
      <w:r w:rsidR="00586F30">
        <w:fldChar w:fldCharType="end"/>
      </w:r>
      <w:r w:rsidR="00F268D2">
        <w:t xml:space="preserve"> and outlined in further detail in Appendix B</w:t>
      </w:r>
      <w:r>
        <w:t>.</w:t>
      </w:r>
    </w:p>
    <w:p w:rsidR="00F75102" w:rsidRPr="00977278" w:rsidRDefault="000F413C" w:rsidP="000F413C">
      <w:pPr>
        <w:pStyle w:val="Caption"/>
        <w:rPr>
          <w:sz w:val="18"/>
        </w:rPr>
      </w:pPr>
      <w:bookmarkStart w:id="29" w:name="_Ref391369806"/>
      <w:r>
        <w:t xml:space="preserve">Figure </w:t>
      </w:r>
      <w:r w:rsidR="00586F30">
        <w:fldChar w:fldCharType="begin"/>
      </w:r>
      <w:r w:rsidR="00341287">
        <w:instrText xml:space="preserve"> STYLEREF 1 \s </w:instrText>
      </w:r>
      <w:r w:rsidR="00586F30">
        <w:fldChar w:fldCharType="separate"/>
      </w:r>
      <w:r w:rsidR="001E5D7A">
        <w:rPr>
          <w:noProof/>
        </w:rPr>
        <w:t>3</w:t>
      </w:r>
      <w:r w:rsidR="00586F30">
        <w:fldChar w:fldCharType="end"/>
      </w:r>
      <w:r w:rsidR="00341287">
        <w:noBreakHyphen/>
      </w:r>
      <w:r w:rsidR="00586F30">
        <w:fldChar w:fldCharType="begin"/>
      </w:r>
      <w:r w:rsidR="00341287">
        <w:instrText xml:space="preserve"> SEQ Figure \* ARABIC \s 1 </w:instrText>
      </w:r>
      <w:r w:rsidR="00586F30">
        <w:fldChar w:fldCharType="separate"/>
      </w:r>
      <w:r w:rsidR="001E5D7A">
        <w:rPr>
          <w:noProof/>
        </w:rPr>
        <w:t>5</w:t>
      </w:r>
      <w:r w:rsidR="00586F30">
        <w:fldChar w:fldCharType="end"/>
      </w:r>
      <w:bookmarkEnd w:id="29"/>
      <w:r>
        <w:t xml:space="preserve">: </w:t>
      </w:r>
      <w:r w:rsidR="00F75102">
        <w:rPr>
          <w:sz w:val="18"/>
        </w:rPr>
        <w:t xml:space="preserve">Recovery pathways for refrigerators, </w:t>
      </w:r>
      <w:r w:rsidR="00E00EE8">
        <w:rPr>
          <w:sz w:val="18"/>
        </w:rPr>
        <w:t>o</w:t>
      </w:r>
      <w:r w:rsidR="00F75102">
        <w:rPr>
          <w:sz w:val="18"/>
        </w:rPr>
        <w:t>ption 1</w:t>
      </w:r>
    </w:p>
    <w:p w:rsidR="00F75102" w:rsidRDefault="008E41D3" w:rsidP="00C24F78">
      <w:pPr>
        <w:pStyle w:val="Source"/>
      </w:pPr>
      <w:r w:rsidRPr="008E41D3">
        <w:rPr>
          <w:noProof/>
          <w:lang w:eastAsia="en-AU"/>
        </w:rPr>
        <w:drawing>
          <wp:inline distT="0" distB="0" distL="0" distR="0">
            <wp:extent cx="5400675" cy="2309393"/>
            <wp:effectExtent l="19050" t="0" r="9525" b="0"/>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srcRect/>
                    <a:stretch>
                      <a:fillRect/>
                    </a:stretch>
                  </pic:blipFill>
                  <pic:spPr bwMode="auto">
                    <a:xfrm>
                      <a:off x="0" y="0"/>
                      <a:ext cx="5400675" cy="2309393"/>
                    </a:xfrm>
                    <a:prstGeom prst="rect">
                      <a:avLst/>
                    </a:prstGeom>
                    <a:noFill/>
                    <a:ln w="9525">
                      <a:noFill/>
                      <a:miter lim="800000"/>
                      <a:headEnd/>
                      <a:tailEnd/>
                    </a:ln>
                  </pic:spPr>
                </pic:pic>
              </a:graphicData>
            </a:graphic>
          </wp:inline>
        </w:drawing>
      </w:r>
      <w:r w:rsidR="00390168" w:rsidRPr="00390168" w:rsidDel="00390168">
        <w:t xml:space="preserve"> </w:t>
      </w:r>
    </w:p>
    <w:p w:rsidR="00CD7A23" w:rsidRDefault="00CD7A23" w:rsidP="00CD7A23">
      <w:pPr>
        <w:pStyle w:val="Source"/>
        <w:rPr>
          <w:i/>
        </w:rPr>
      </w:pPr>
      <w:r>
        <w:rPr>
          <w:i/>
        </w:rPr>
        <w:t>NOTE: Shaded boxes represent a shift from the status quo.</w:t>
      </w:r>
    </w:p>
    <w:p w:rsidR="007E34F8" w:rsidRDefault="007E34F8" w:rsidP="007E34F8">
      <w:pPr>
        <w:pStyle w:val="Source"/>
        <w:rPr>
          <w:i/>
        </w:rPr>
      </w:pPr>
      <w:r w:rsidRPr="00F16BDD">
        <w:rPr>
          <w:i/>
        </w:rPr>
        <w:t xml:space="preserve">Source: Department </w:t>
      </w:r>
      <w:r>
        <w:rPr>
          <w:i/>
        </w:rPr>
        <w:t>of the Environment</w:t>
      </w:r>
      <w:r w:rsidRPr="00F16BDD">
        <w:rPr>
          <w:i/>
        </w:rPr>
        <w:t xml:space="preserve"> </w:t>
      </w:r>
      <w:r>
        <w:rPr>
          <w:i/>
        </w:rPr>
        <w:t xml:space="preserve">and industry consultation </w:t>
      </w:r>
    </w:p>
    <w:p w:rsidR="00EB06E8" w:rsidRDefault="00EB06E8" w:rsidP="00EE40A8">
      <w:pPr>
        <w:pStyle w:val="Heading3"/>
      </w:pPr>
      <w:r>
        <w:t>Option 2 – Co-regulatory</w:t>
      </w:r>
    </w:p>
    <w:p w:rsidR="00A25B26" w:rsidRPr="00046955" w:rsidRDefault="00A25B26" w:rsidP="00A25B26">
      <w:pPr>
        <w:pStyle w:val="BodyText"/>
      </w:pPr>
      <w:r>
        <w:t xml:space="preserve">The following table summarises </w:t>
      </w:r>
      <w:r w:rsidR="008E41D3">
        <w:t>o</w:t>
      </w:r>
      <w:r>
        <w:t xml:space="preserve">ption 2 </w:t>
      </w:r>
      <w:r w:rsidR="00F268D2">
        <w:t xml:space="preserve">as outlined in </w:t>
      </w:r>
      <w:r w:rsidR="00137325">
        <w:t>the draft options paper prepared by the RAC Industry Working Group</w:t>
      </w:r>
      <w:r w:rsidR="00A00B61">
        <w:t xml:space="preserve"> in consultation with the Department</w:t>
      </w:r>
      <w:r w:rsidR="00F268D2">
        <w:t xml:space="preserve">, </w:t>
      </w:r>
      <w:r>
        <w:t xml:space="preserve">including the requirements, management, potential features and benefits and costs. </w:t>
      </w:r>
    </w:p>
    <w:p w:rsidR="00EB06E8" w:rsidRDefault="00CE3BAC" w:rsidP="00CE3BAC">
      <w:pPr>
        <w:pStyle w:val="Caption"/>
      </w:pPr>
      <w:r>
        <w:t xml:space="preserve">Table </w:t>
      </w:r>
      <w:r w:rsidR="00586F30">
        <w:fldChar w:fldCharType="begin"/>
      </w:r>
      <w:r w:rsidR="00C478AE">
        <w:instrText xml:space="preserve"> STYLEREF 1 \s </w:instrText>
      </w:r>
      <w:r w:rsidR="00586F30">
        <w:fldChar w:fldCharType="separate"/>
      </w:r>
      <w:r w:rsidR="001E5D7A">
        <w:rPr>
          <w:noProof/>
        </w:rPr>
        <w:t>3</w:t>
      </w:r>
      <w:r w:rsidR="00586F30">
        <w:rPr>
          <w:noProof/>
        </w:rPr>
        <w:fldChar w:fldCharType="end"/>
      </w:r>
      <w:r>
        <w:noBreakHyphen/>
      </w:r>
      <w:r w:rsidR="00586F30">
        <w:fldChar w:fldCharType="begin"/>
      </w:r>
      <w:r w:rsidR="00C478AE">
        <w:instrText xml:space="preserve"> SEQ Table \* ARABIC \s 1 </w:instrText>
      </w:r>
      <w:r w:rsidR="00586F30">
        <w:fldChar w:fldCharType="separate"/>
      </w:r>
      <w:r w:rsidR="001E5D7A">
        <w:rPr>
          <w:noProof/>
        </w:rPr>
        <w:t>3</w:t>
      </w:r>
      <w:r w:rsidR="00586F30">
        <w:rPr>
          <w:noProof/>
        </w:rPr>
        <w:fldChar w:fldCharType="end"/>
      </w:r>
      <w:r>
        <w:t xml:space="preserve">: </w:t>
      </w:r>
      <w:r w:rsidR="00A25B26" w:rsidRPr="00046955">
        <w:rPr>
          <w:sz w:val="18"/>
        </w:rPr>
        <w:t xml:space="preserve">Summary, </w:t>
      </w:r>
      <w:r w:rsidR="008E41D3">
        <w:rPr>
          <w:sz w:val="18"/>
        </w:rPr>
        <w:t>o</w:t>
      </w:r>
      <w:r w:rsidR="00A25B26" w:rsidRPr="00046955">
        <w:rPr>
          <w:sz w:val="18"/>
        </w:rPr>
        <w:t xml:space="preserve">ption </w:t>
      </w:r>
      <w:r w:rsidR="00A25B26">
        <w:rPr>
          <w:sz w:val="18"/>
        </w:rPr>
        <w:t xml:space="preserve">2 </w:t>
      </w:r>
      <w:r w:rsidR="00A25B26" w:rsidRPr="00046955">
        <w:rPr>
          <w:sz w:val="18"/>
        </w:rPr>
        <w:t xml:space="preserve">– </w:t>
      </w:r>
      <w:r w:rsidR="008E41D3">
        <w:rPr>
          <w:sz w:val="18"/>
        </w:rPr>
        <w:t>c</w:t>
      </w:r>
      <w:r w:rsidR="00A25B26">
        <w:rPr>
          <w:sz w:val="18"/>
        </w:rPr>
        <w:t>o-regulatory</w:t>
      </w:r>
      <w:r w:rsidR="00A25B26" w:rsidRPr="00046955">
        <w:rPr>
          <w:sz w:val="18"/>
        </w:rPr>
        <w:t xml:space="preserve"> </w:t>
      </w:r>
      <w:r w:rsidR="008E41D3">
        <w:rPr>
          <w:sz w:val="18"/>
        </w:rPr>
        <w:t>s</w:t>
      </w:r>
      <w:r w:rsidR="00A25B26" w:rsidRPr="00046955">
        <w:rPr>
          <w:sz w:val="18"/>
        </w:rPr>
        <w:t>cheme</w:t>
      </w:r>
    </w:p>
    <w:tbl>
      <w:tblPr>
        <w:tblStyle w:val="TableGrid"/>
        <w:tblW w:w="0" w:type="auto"/>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tblPr>
      <w:tblGrid>
        <w:gridCol w:w="1526"/>
        <w:gridCol w:w="7195"/>
      </w:tblGrid>
      <w:tr w:rsidR="00EB06E8" w:rsidRPr="008E41D3" w:rsidTr="008E41D3">
        <w:tc>
          <w:tcPr>
            <w:tcW w:w="1526" w:type="dxa"/>
            <w:shd w:val="clear" w:color="auto" w:fill="1F497D" w:themeFill="text2"/>
          </w:tcPr>
          <w:p w:rsidR="00EB06E8" w:rsidRPr="003052D5" w:rsidRDefault="00EB06E8" w:rsidP="00934094">
            <w:pPr>
              <w:pStyle w:val="BodyText"/>
              <w:rPr>
                <w:b/>
                <w:color w:val="FFFFFF" w:themeColor="background1"/>
                <w:sz w:val="20"/>
              </w:rPr>
            </w:pPr>
            <w:r w:rsidRPr="003052D5">
              <w:rPr>
                <w:b/>
                <w:color w:val="FFFFFF" w:themeColor="background1"/>
                <w:sz w:val="20"/>
              </w:rPr>
              <w:t>Description</w:t>
            </w:r>
          </w:p>
        </w:tc>
        <w:tc>
          <w:tcPr>
            <w:tcW w:w="7195" w:type="dxa"/>
          </w:tcPr>
          <w:p w:rsidR="00EB06E8" w:rsidRPr="008E41D3" w:rsidRDefault="00EB06E8" w:rsidP="00934094">
            <w:pPr>
              <w:pStyle w:val="BodyText"/>
              <w:rPr>
                <w:sz w:val="20"/>
              </w:rPr>
            </w:pPr>
            <w:r w:rsidRPr="008E41D3">
              <w:rPr>
                <w:sz w:val="20"/>
              </w:rPr>
              <w:t>A co-regulatory approach would provide a nationally consistent approach to the collection and recycl</w:t>
            </w:r>
            <w:r w:rsidR="008E41D3">
              <w:rPr>
                <w:sz w:val="20"/>
              </w:rPr>
              <w:t xml:space="preserve">ing of domestic RAC equipment. </w:t>
            </w:r>
            <w:r w:rsidRPr="008E41D3">
              <w:rPr>
                <w:sz w:val="20"/>
              </w:rPr>
              <w:t>Liable parties would be required to be a part of an approved product stewardship arrangement. A regulatory impact statement would need to be undertaken.</w:t>
            </w:r>
          </w:p>
          <w:p w:rsidR="004A6275" w:rsidRPr="008E41D3" w:rsidRDefault="004A6275" w:rsidP="004A6275">
            <w:pPr>
              <w:pStyle w:val="BodyText"/>
              <w:rPr>
                <w:sz w:val="20"/>
              </w:rPr>
            </w:pPr>
            <w:r w:rsidRPr="008E41D3">
              <w:rPr>
                <w:sz w:val="20"/>
              </w:rPr>
              <w:t>The co-regulatory scheme includes the requirements of the voluntary scheme and a number of additional requirements (outlined below).</w:t>
            </w:r>
          </w:p>
        </w:tc>
      </w:tr>
      <w:tr w:rsidR="00EB06E8" w:rsidRPr="008E41D3" w:rsidTr="008E41D3">
        <w:tc>
          <w:tcPr>
            <w:tcW w:w="1526" w:type="dxa"/>
            <w:shd w:val="clear" w:color="auto" w:fill="1F497D" w:themeFill="text2"/>
          </w:tcPr>
          <w:p w:rsidR="00EB06E8" w:rsidRPr="003052D5" w:rsidRDefault="00EB06E8" w:rsidP="00934094">
            <w:pPr>
              <w:pStyle w:val="BodyText"/>
              <w:rPr>
                <w:b/>
                <w:color w:val="FFFFFF" w:themeColor="background1"/>
                <w:sz w:val="20"/>
              </w:rPr>
            </w:pPr>
            <w:r w:rsidRPr="003052D5">
              <w:rPr>
                <w:b/>
                <w:color w:val="FFFFFF" w:themeColor="background1"/>
                <w:sz w:val="20"/>
              </w:rPr>
              <w:t>Requirements</w:t>
            </w:r>
          </w:p>
        </w:tc>
        <w:tc>
          <w:tcPr>
            <w:tcW w:w="7195" w:type="dxa"/>
          </w:tcPr>
          <w:p w:rsidR="00EC5993" w:rsidRPr="008E41D3" w:rsidRDefault="00EC5993" w:rsidP="00EC5993">
            <w:pPr>
              <w:pStyle w:val="BodyText"/>
              <w:spacing w:before="60" w:after="60"/>
              <w:rPr>
                <w:sz w:val="20"/>
              </w:rPr>
            </w:pPr>
            <w:r w:rsidRPr="008E41D3">
              <w:rPr>
                <w:sz w:val="20"/>
              </w:rPr>
              <w:t>Requirements as per the voluntary scheme including:</w:t>
            </w:r>
          </w:p>
          <w:p w:rsidR="00EC5993" w:rsidRPr="008E41D3" w:rsidRDefault="00EC5993" w:rsidP="00EC5993">
            <w:pPr>
              <w:pStyle w:val="BulletText"/>
              <w:rPr>
                <w:sz w:val="20"/>
                <w:szCs w:val="20"/>
              </w:rPr>
            </w:pPr>
            <w:r w:rsidRPr="008E41D3">
              <w:rPr>
                <w:sz w:val="20"/>
                <w:szCs w:val="20"/>
              </w:rPr>
              <w:t>An education campaign for consumers about the benefits of:</w:t>
            </w:r>
          </w:p>
          <w:p w:rsidR="00EC5993" w:rsidRPr="008E41D3" w:rsidRDefault="00EC5993" w:rsidP="00305FA1">
            <w:pPr>
              <w:pStyle w:val="BodyText"/>
              <w:numPr>
                <w:ilvl w:val="0"/>
                <w:numId w:val="11"/>
              </w:numPr>
              <w:spacing w:before="60" w:after="60"/>
              <w:ind w:left="697" w:hanging="357"/>
              <w:rPr>
                <w:sz w:val="20"/>
              </w:rPr>
            </w:pPr>
            <w:r w:rsidRPr="008E41D3">
              <w:rPr>
                <w:sz w:val="20"/>
              </w:rPr>
              <w:t xml:space="preserve">using an accredited air conditioning installer; and </w:t>
            </w:r>
          </w:p>
          <w:p w:rsidR="00EC5993" w:rsidRPr="008E41D3" w:rsidRDefault="00EC5993" w:rsidP="00305FA1">
            <w:pPr>
              <w:pStyle w:val="BodyText"/>
              <w:numPr>
                <w:ilvl w:val="0"/>
                <w:numId w:val="11"/>
              </w:numPr>
              <w:spacing w:before="60" w:after="60"/>
              <w:ind w:left="697" w:hanging="357"/>
              <w:rPr>
                <w:sz w:val="20"/>
              </w:rPr>
            </w:pPr>
            <w:proofErr w:type="gramStart"/>
            <w:r w:rsidRPr="008E41D3">
              <w:rPr>
                <w:sz w:val="20"/>
              </w:rPr>
              <w:t>appropriately</w:t>
            </w:r>
            <w:proofErr w:type="gramEnd"/>
            <w:r w:rsidRPr="008E41D3">
              <w:rPr>
                <w:sz w:val="20"/>
              </w:rPr>
              <w:t xml:space="preserve"> disposing of RAC equipment.</w:t>
            </w:r>
          </w:p>
          <w:p w:rsidR="00EC5993" w:rsidRPr="008E41D3" w:rsidRDefault="00EC5993" w:rsidP="00EC5993">
            <w:pPr>
              <w:pStyle w:val="BulletText"/>
              <w:rPr>
                <w:sz w:val="20"/>
                <w:szCs w:val="20"/>
              </w:rPr>
            </w:pPr>
            <w:r w:rsidRPr="008E41D3">
              <w:rPr>
                <w:sz w:val="20"/>
                <w:szCs w:val="20"/>
              </w:rPr>
              <w:t>An education campaign for metal recyclers to increase awareness of</w:t>
            </w:r>
            <w:r w:rsidR="00137325">
              <w:rPr>
                <w:sz w:val="20"/>
                <w:szCs w:val="20"/>
              </w:rPr>
              <w:t xml:space="preserve"> the</w:t>
            </w:r>
            <w:r w:rsidRPr="008E41D3">
              <w:rPr>
                <w:sz w:val="20"/>
                <w:szCs w:val="20"/>
              </w:rPr>
              <w:t xml:space="preserve"> need for refrigerant recovery.</w:t>
            </w:r>
          </w:p>
          <w:p w:rsidR="00EC5993" w:rsidRPr="008E41D3" w:rsidRDefault="00EC5993" w:rsidP="00EC5993">
            <w:pPr>
              <w:pStyle w:val="BulletText"/>
              <w:rPr>
                <w:sz w:val="20"/>
                <w:szCs w:val="20"/>
              </w:rPr>
            </w:pPr>
            <w:r w:rsidRPr="008E41D3">
              <w:rPr>
                <w:sz w:val="20"/>
                <w:szCs w:val="20"/>
              </w:rPr>
              <w:t xml:space="preserve">Accreditation and a logo to encourage a greater number of </w:t>
            </w:r>
            <w:proofErr w:type="gramStart"/>
            <w:r w:rsidRPr="008E41D3">
              <w:rPr>
                <w:sz w:val="20"/>
                <w:szCs w:val="20"/>
              </w:rPr>
              <w:t>retailer</w:t>
            </w:r>
            <w:proofErr w:type="gramEnd"/>
            <w:r w:rsidRPr="008E41D3">
              <w:rPr>
                <w:sz w:val="20"/>
                <w:szCs w:val="20"/>
              </w:rPr>
              <w:t xml:space="preserve"> take back </w:t>
            </w:r>
            <w:r w:rsidRPr="008E41D3">
              <w:rPr>
                <w:sz w:val="20"/>
                <w:szCs w:val="20"/>
              </w:rPr>
              <w:lastRenderedPageBreak/>
              <w:t>schemes, to reduce the refrigerators put out for kerb</w:t>
            </w:r>
            <w:r w:rsidR="008E41D3">
              <w:rPr>
                <w:sz w:val="20"/>
                <w:szCs w:val="20"/>
              </w:rPr>
              <w:t xml:space="preserve"> </w:t>
            </w:r>
            <w:r w:rsidRPr="008E41D3">
              <w:rPr>
                <w:sz w:val="20"/>
                <w:szCs w:val="20"/>
              </w:rPr>
              <w:t xml:space="preserve">side collection and thereby reducing the ability for scavengers to collect refrigerators.  </w:t>
            </w:r>
          </w:p>
          <w:p w:rsidR="00EC5993" w:rsidRPr="008E41D3" w:rsidRDefault="00EC5993" w:rsidP="00EC5993">
            <w:pPr>
              <w:pStyle w:val="BulletText"/>
              <w:rPr>
                <w:sz w:val="20"/>
                <w:szCs w:val="20"/>
              </w:rPr>
            </w:pPr>
            <w:r w:rsidRPr="008E41D3">
              <w:rPr>
                <w:sz w:val="20"/>
                <w:szCs w:val="20"/>
              </w:rPr>
              <w:t xml:space="preserve">A target to reduce the proportion of shredder </w:t>
            </w:r>
            <w:proofErr w:type="spellStart"/>
            <w:r w:rsidRPr="008E41D3">
              <w:rPr>
                <w:sz w:val="20"/>
                <w:szCs w:val="20"/>
              </w:rPr>
              <w:t>floc</w:t>
            </w:r>
            <w:proofErr w:type="spellEnd"/>
            <w:r w:rsidRPr="008E41D3">
              <w:rPr>
                <w:sz w:val="20"/>
                <w:szCs w:val="20"/>
              </w:rPr>
              <w:t xml:space="preserve"> from RAC equipment entering landfill (e.g. reduce the amount of shredder </w:t>
            </w:r>
            <w:proofErr w:type="spellStart"/>
            <w:r w:rsidRPr="008E41D3">
              <w:rPr>
                <w:sz w:val="20"/>
                <w:szCs w:val="20"/>
              </w:rPr>
              <w:t>floc</w:t>
            </w:r>
            <w:proofErr w:type="spellEnd"/>
            <w:r w:rsidRPr="008E41D3">
              <w:rPr>
                <w:sz w:val="20"/>
                <w:szCs w:val="20"/>
              </w:rPr>
              <w:t xml:space="preserve"> going to landfill by 15 per cent), funded by industry (e.g. manufacturers, importers, retailers).</w:t>
            </w:r>
          </w:p>
          <w:p w:rsidR="00EC5993" w:rsidRPr="008E41D3" w:rsidRDefault="00EC5993" w:rsidP="00EC5993">
            <w:pPr>
              <w:pStyle w:val="BulletText"/>
              <w:spacing w:line="240" w:lineRule="auto"/>
              <w:ind w:left="357" w:hanging="357"/>
              <w:rPr>
                <w:sz w:val="20"/>
                <w:szCs w:val="20"/>
              </w:rPr>
            </w:pPr>
            <w:r w:rsidRPr="008E41D3">
              <w:rPr>
                <w:sz w:val="20"/>
                <w:szCs w:val="20"/>
              </w:rPr>
              <w:t>Increasing the rebates paid to contractors for the return of ODS and SGG to RRA for destruction.</w:t>
            </w:r>
          </w:p>
          <w:p w:rsidR="00EC5993" w:rsidRPr="008E41D3" w:rsidRDefault="00EC5993" w:rsidP="00EC5993">
            <w:pPr>
              <w:pStyle w:val="BulletText"/>
              <w:spacing w:line="240" w:lineRule="auto"/>
              <w:ind w:left="357" w:hanging="357"/>
              <w:rPr>
                <w:sz w:val="20"/>
                <w:szCs w:val="20"/>
              </w:rPr>
            </w:pPr>
            <w:r w:rsidRPr="008E41D3">
              <w:rPr>
                <w:sz w:val="20"/>
                <w:szCs w:val="20"/>
              </w:rPr>
              <w:t xml:space="preserve">Encouraging LGAs to increase </w:t>
            </w:r>
            <w:r w:rsidR="00676F5A">
              <w:rPr>
                <w:sz w:val="20"/>
                <w:szCs w:val="20"/>
              </w:rPr>
              <w:t>booked collections</w:t>
            </w:r>
            <w:r w:rsidRPr="008E41D3">
              <w:rPr>
                <w:sz w:val="20"/>
                <w:szCs w:val="20"/>
              </w:rPr>
              <w:t>.</w:t>
            </w:r>
          </w:p>
          <w:p w:rsidR="0081406E" w:rsidRPr="008E41D3" w:rsidRDefault="00EC5993">
            <w:pPr>
              <w:pStyle w:val="BodyText"/>
              <w:rPr>
                <w:sz w:val="20"/>
              </w:rPr>
            </w:pPr>
            <w:r w:rsidRPr="008E41D3">
              <w:rPr>
                <w:sz w:val="20"/>
              </w:rPr>
              <w:t>Additional requirements, including:</w:t>
            </w:r>
          </w:p>
          <w:p w:rsidR="004A6275" w:rsidRPr="008E41D3" w:rsidRDefault="004A6275" w:rsidP="00EC5993">
            <w:pPr>
              <w:pStyle w:val="BulletText"/>
              <w:spacing w:line="240" w:lineRule="auto"/>
              <w:ind w:left="357" w:hanging="357"/>
              <w:rPr>
                <w:sz w:val="20"/>
                <w:szCs w:val="20"/>
              </w:rPr>
            </w:pPr>
            <w:r w:rsidRPr="008E41D3">
              <w:rPr>
                <w:sz w:val="20"/>
                <w:szCs w:val="20"/>
              </w:rPr>
              <w:t>A clear set of established requirements for liable entities, such as importers, manufactures, accredited retailers, accredited LGAs, accredited recyclers.</w:t>
            </w:r>
          </w:p>
          <w:p w:rsidR="004A6275" w:rsidRPr="008E41D3" w:rsidRDefault="004A6275" w:rsidP="00CD7A23">
            <w:pPr>
              <w:pStyle w:val="BulletText"/>
              <w:spacing w:line="240" w:lineRule="auto"/>
              <w:ind w:left="357" w:hanging="357"/>
              <w:rPr>
                <w:sz w:val="20"/>
                <w:szCs w:val="20"/>
              </w:rPr>
            </w:pPr>
            <w:r w:rsidRPr="008E41D3">
              <w:rPr>
                <w:sz w:val="20"/>
                <w:szCs w:val="20"/>
              </w:rPr>
              <w:t xml:space="preserve">Importers and </w:t>
            </w:r>
            <w:r w:rsidR="00EC5993" w:rsidRPr="008E41D3">
              <w:rPr>
                <w:sz w:val="20"/>
                <w:szCs w:val="20"/>
              </w:rPr>
              <w:t xml:space="preserve">manufacturers </w:t>
            </w:r>
            <w:r w:rsidRPr="008E41D3">
              <w:rPr>
                <w:sz w:val="20"/>
                <w:szCs w:val="20"/>
              </w:rPr>
              <w:t xml:space="preserve">charged a levy through which they discharge their responsibilities (e.g. pay a recycler to dismantle rather than shred). </w:t>
            </w:r>
          </w:p>
          <w:p w:rsidR="004A6275" w:rsidRPr="008E41D3" w:rsidRDefault="004A6275" w:rsidP="00CD7A23">
            <w:pPr>
              <w:pStyle w:val="BulletText"/>
              <w:spacing w:line="240" w:lineRule="auto"/>
              <w:ind w:left="357" w:hanging="357"/>
              <w:rPr>
                <w:sz w:val="20"/>
                <w:szCs w:val="20"/>
              </w:rPr>
            </w:pPr>
            <w:r w:rsidRPr="008E41D3">
              <w:rPr>
                <w:sz w:val="20"/>
                <w:szCs w:val="20"/>
              </w:rPr>
              <w:t xml:space="preserve">A target to reduce the proportion of shredder </w:t>
            </w:r>
            <w:proofErr w:type="spellStart"/>
            <w:r w:rsidRPr="008E41D3">
              <w:rPr>
                <w:sz w:val="20"/>
                <w:szCs w:val="20"/>
              </w:rPr>
              <w:t>floc</w:t>
            </w:r>
            <w:proofErr w:type="spellEnd"/>
            <w:r w:rsidRPr="008E41D3">
              <w:rPr>
                <w:sz w:val="20"/>
                <w:szCs w:val="20"/>
              </w:rPr>
              <w:t xml:space="preserve"> from RAC equipment entering landfill (15 and 30</w:t>
            </w:r>
            <w:r w:rsidR="008E41D3">
              <w:rPr>
                <w:sz w:val="20"/>
                <w:szCs w:val="20"/>
              </w:rPr>
              <w:t xml:space="preserve"> per cent</w:t>
            </w:r>
            <w:r w:rsidRPr="008E41D3">
              <w:rPr>
                <w:sz w:val="20"/>
                <w:szCs w:val="20"/>
              </w:rPr>
              <w:t xml:space="preserve">), funded by industry (e.g. manufacturers, </w:t>
            </w:r>
            <w:r w:rsidR="00EC5993" w:rsidRPr="008E41D3">
              <w:rPr>
                <w:sz w:val="20"/>
                <w:szCs w:val="20"/>
              </w:rPr>
              <w:t xml:space="preserve">and </w:t>
            </w:r>
            <w:r w:rsidRPr="008E41D3">
              <w:rPr>
                <w:sz w:val="20"/>
                <w:szCs w:val="20"/>
              </w:rPr>
              <w:t>importers).</w:t>
            </w:r>
          </w:p>
          <w:p w:rsidR="00EB06E8" w:rsidRPr="008E41D3" w:rsidRDefault="004A6275" w:rsidP="00CD7A23">
            <w:pPr>
              <w:pStyle w:val="BulletText"/>
              <w:spacing w:line="240" w:lineRule="auto"/>
              <w:ind w:left="357" w:hanging="357"/>
              <w:rPr>
                <w:sz w:val="20"/>
                <w:szCs w:val="20"/>
              </w:rPr>
            </w:pPr>
            <w:r w:rsidRPr="008E41D3">
              <w:rPr>
                <w:sz w:val="20"/>
                <w:szCs w:val="20"/>
              </w:rPr>
              <w:t xml:space="preserve">Education and training regarding: how to treat </w:t>
            </w:r>
            <w:r w:rsidR="00F052A8" w:rsidRPr="008E41D3">
              <w:rPr>
                <w:sz w:val="20"/>
                <w:szCs w:val="20"/>
              </w:rPr>
              <w:t>end-of-life</w:t>
            </w:r>
            <w:r w:rsidRPr="008E41D3">
              <w:rPr>
                <w:sz w:val="20"/>
                <w:szCs w:val="20"/>
              </w:rPr>
              <w:t xml:space="preserve"> RAC equipment and penalties for </w:t>
            </w:r>
            <w:r w:rsidR="00455CB0" w:rsidRPr="008E41D3">
              <w:rPr>
                <w:sz w:val="20"/>
                <w:szCs w:val="20"/>
              </w:rPr>
              <w:t>non-compliance</w:t>
            </w:r>
            <w:r w:rsidRPr="008E41D3">
              <w:rPr>
                <w:sz w:val="20"/>
                <w:szCs w:val="20"/>
              </w:rPr>
              <w:t>.</w:t>
            </w:r>
          </w:p>
        </w:tc>
      </w:tr>
      <w:tr w:rsidR="00EB06E8" w:rsidRPr="008E41D3" w:rsidTr="008E41D3">
        <w:tc>
          <w:tcPr>
            <w:tcW w:w="1526" w:type="dxa"/>
            <w:shd w:val="clear" w:color="auto" w:fill="1F497D" w:themeFill="text2"/>
          </w:tcPr>
          <w:p w:rsidR="00EB06E8" w:rsidRPr="003052D5" w:rsidRDefault="00EB06E8" w:rsidP="00934094">
            <w:pPr>
              <w:pStyle w:val="BodyText"/>
              <w:rPr>
                <w:b/>
                <w:color w:val="FFFFFF" w:themeColor="background1"/>
                <w:sz w:val="20"/>
              </w:rPr>
            </w:pPr>
            <w:r w:rsidRPr="003052D5">
              <w:rPr>
                <w:b/>
                <w:color w:val="FFFFFF" w:themeColor="background1"/>
                <w:sz w:val="20"/>
              </w:rPr>
              <w:lastRenderedPageBreak/>
              <w:t>Management</w:t>
            </w:r>
          </w:p>
        </w:tc>
        <w:tc>
          <w:tcPr>
            <w:tcW w:w="7195" w:type="dxa"/>
          </w:tcPr>
          <w:p w:rsidR="000F413C" w:rsidRPr="008E41D3" w:rsidRDefault="000F413C" w:rsidP="000F413C">
            <w:pPr>
              <w:pStyle w:val="BodyText"/>
              <w:rPr>
                <w:sz w:val="20"/>
              </w:rPr>
            </w:pPr>
            <w:r w:rsidRPr="008E41D3">
              <w:rPr>
                <w:sz w:val="20"/>
              </w:rPr>
              <w:t>Management of a co-regulatory scheme would comprise:</w:t>
            </w:r>
          </w:p>
          <w:p w:rsidR="00122F56" w:rsidRPr="008E41D3" w:rsidRDefault="000F413C" w:rsidP="00CD7A23">
            <w:pPr>
              <w:pStyle w:val="BulletText"/>
              <w:spacing w:line="240" w:lineRule="auto"/>
              <w:ind w:left="357" w:hanging="357"/>
              <w:rPr>
                <w:sz w:val="20"/>
                <w:szCs w:val="20"/>
              </w:rPr>
            </w:pPr>
            <w:r w:rsidRPr="008E41D3">
              <w:rPr>
                <w:sz w:val="20"/>
                <w:szCs w:val="20"/>
              </w:rPr>
              <w:t>e</w:t>
            </w:r>
            <w:r w:rsidR="00122F56" w:rsidRPr="008E41D3">
              <w:rPr>
                <w:sz w:val="20"/>
                <w:szCs w:val="20"/>
              </w:rPr>
              <w:t xml:space="preserve">nforcement </w:t>
            </w:r>
            <w:r w:rsidR="00F93643" w:rsidRPr="008E41D3">
              <w:rPr>
                <w:sz w:val="20"/>
                <w:szCs w:val="20"/>
              </w:rPr>
              <w:t xml:space="preserve">product stewardship program </w:t>
            </w:r>
            <w:r w:rsidR="004A6275" w:rsidRPr="008E41D3">
              <w:rPr>
                <w:sz w:val="20"/>
                <w:szCs w:val="20"/>
              </w:rPr>
              <w:t>by Commonwealth Government</w:t>
            </w:r>
            <w:r w:rsidRPr="008E41D3">
              <w:rPr>
                <w:sz w:val="20"/>
                <w:szCs w:val="20"/>
              </w:rPr>
              <w:t>;</w:t>
            </w:r>
          </w:p>
          <w:p w:rsidR="00122F56" w:rsidRPr="008E41D3" w:rsidRDefault="000F413C" w:rsidP="00CD7A23">
            <w:pPr>
              <w:pStyle w:val="BulletText"/>
              <w:spacing w:line="240" w:lineRule="auto"/>
              <w:ind w:left="357" w:hanging="357"/>
              <w:rPr>
                <w:sz w:val="20"/>
                <w:szCs w:val="20"/>
              </w:rPr>
            </w:pPr>
            <w:r w:rsidRPr="008E41D3">
              <w:rPr>
                <w:sz w:val="20"/>
                <w:szCs w:val="20"/>
              </w:rPr>
              <w:t>p</w:t>
            </w:r>
            <w:r w:rsidR="00122F56" w:rsidRPr="008E41D3">
              <w:rPr>
                <w:sz w:val="20"/>
                <w:szCs w:val="20"/>
              </w:rPr>
              <w:t xml:space="preserve">owers to the Regulator that permits: </w:t>
            </w:r>
          </w:p>
          <w:p w:rsidR="004A6275" w:rsidRPr="008E41D3" w:rsidRDefault="004A6275" w:rsidP="00305FA1">
            <w:pPr>
              <w:pStyle w:val="BodyText"/>
              <w:numPr>
                <w:ilvl w:val="0"/>
                <w:numId w:val="12"/>
              </w:numPr>
              <w:spacing w:before="60" w:after="60"/>
              <w:ind w:left="697" w:hanging="357"/>
              <w:rPr>
                <w:sz w:val="20"/>
              </w:rPr>
            </w:pPr>
            <w:r w:rsidRPr="008E41D3">
              <w:rPr>
                <w:sz w:val="20"/>
              </w:rPr>
              <w:t>the assessment and approval of product stewardship arrangements to meet requirements on behalf of liable parties;</w:t>
            </w:r>
          </w:p>
          <w:p w:rsidR="004A6275" w:rsidRPr="008E41D3" w:rsidRDefault="004A6275" w:rsidP="00305FA1">
            <w:pPr>
              <w:pStyle w:val="BodyText"/>
              <w:numPr>
                <w:ilvl w:val="0"/>
                <w:numId w:val="12"/>
              </w:numPr>
              <w:spacing w:before="60" w:after="60"/>
              <w:ind w:left="697" w:hanging="357"/>
              <w:rPr>
                <w:sz w:val="20"/>
              </w:rPr>
            </w:pPr>
            <w:r w:rsidRPr="008E41D3">
              <w:rPr>
                <w:sz w:val="20"/>
              </w:rPr>
              <w:t>monitoring of liable party arrangements to ensure compliance</w:t>
            </w:r>
            <w:r w:rsidR="00E47C36">
              <w:rPr>
                <w:sz w:val="20"/>
              </w:rPr>
              <w:t>;</w:t>
            </w:r>
            <w:r w:rsidRPr="008E41D3">
              <w:rPr>
                <w:sz w:val="20"/>
              </w:rPr>
              <w:t xml:space="preserve"> </w:t>
            </w:r>
          </w:p>
          <w:p w:rsidR="00122F56" w:rsidRPr="008E41D3" w:rsidRDefault="00122F56" w:rsidP="00305FA1">
            <w:pPr>
              <w:pStyle w:val="BodyText"/>
              <w:numPr>
                <w:ilvl w:val="0"/>
                <w:numId w:val="12"/>
              </w:numPr>
              <w:spacing w:before="60" w:after="60"/>
              <w:ind w:left="697" w:hanging="357"/>
              <w:rPr>
                <w:sz w:val="20"/>
              </w:rPr>
            </w:pPr>
            <w:r w:rsidRPr="008E41D3">
              <w:rPr>
                <w:sz w:val="20"/>
              </w:rPr>
              <w:t>the ability to enforce the legislatio</w:t>
            </w:r>
            <w:r w:rsidR="000F413C" w:rsidRPr="008E41D3">
              <w:rPr>
                <w:sz w:val="20"/>
              </w:rPr>
              <w:t>n through escalating sanctions; and</w:t>
            </w:r>
          </w:p>
          <w:p w:rsidR="00EB06E8" w:rsidRPr="008E41D3" w:rsidRDefault="000F413C" w:rsidP="00CD7A23">
            <w:pPr>
              <w:pStyle w:val="BulletText"/>
              <w:spacing w:line="240" w:lineRule="auto"/>
              <w:ind w:left="357" w:hanging="357"/>
              <w:rPr>
                <w:sz w:val="20"/>
                <w:szCs w:val="20"/>
              </w:rPr>
            </w:pPr>
            <w:proofErr w:type="gramStart"/>
            <w:r w:rsidRPr="008E41D3">
              <w:rPr>
                <w:sz w:val="20"/>
                <w:szCs w:val="20"/>
              </w:rPr>
              <w:t>c</w:t>
            </w:r>
            <w:r w:rsidR="00122F56" w:rsidRPr="008E41D3">
              <w:rPr>
                <w:sz w:val="20"/>
                <w:szCs w:val="20"/>
              </w:rPr>
              <w:t>onsideration</w:t>
            </w:r>
            <w:proofErr w:type="gramEnd"/>
            <w:r w:rsidR="00122F56" w:rsidRPr="008E41D3">
              <w:rPr>
                <w:sz w:val="20"/>
                <w:szCs w:val="20"/>
              </w:rPr>
              <w:t xml:space="preserve"> of regional v</w:t>
            </w:r>
            <w:r w:rsidRPr="008E41D3">
              <w:rPr>
                <w:sz w:val="20"/>
                <w:szCs w:val="20"/>
              </w:rPr>
              <w:t>ersu</w:t>
            </w:r>
            <w:r w:rsidR="00122F56" w:rsidRPr="008E41D3">
              <w:rPr>
                <w:sz w:val="20"/>
                <w:szCs w:val="20"/>
              </w:rPr>
              <w:t>s non metropolitan areas.</w:t>
            </w:r>
          </w:p>
        </w:tc>
      </w:tr>
      <w:tr w:rsidR="00FB3441" w:rsidRPr="008E41D3" w:rsidTr="008E41D3">
        <w:tc>
          <w:tcPr>
            <w:tcW w:w="1526" w:type="dxa"/>
            <w:shd w:val="clear" w:color="auto" w:fill="1F497D" w:themeFill="text2"/>
          </w:tcPr>
          <w:p w:rsidR="00FB3441" w:rsidRPr="003052D5" w:rsidRDefault="00FB3441" w:rsidP="00934094">
            <w:pPr>
              <w:pStyle w:val="BodyText"/>
              <w:rPr>
                <w:b/>
                <w:color w:val="FFFFFF" w:themeColor="background1"/>
                <w:sz w:val="20"/>
              </w:rPr>
            </w:pPr>
            <w:r w:rsidRPr="003052D5">
              <w:rPr>
                <w:b/>
                <w:color w:val="FFFFFF" w:themeColor="background1"/>
                <w:sz w:val="20"/>
              </w:rPr>
              <w:t>Outcomes</w:t>
            </w:r>
          </w:p>
        </w:tc>
        <w:tc>
          <w:tcPr>
            <w:tcW w:w="7195" w:type="dxa"/>
          </w:tcPr>
          <w:p w:rsidR="00FB3441" w:rsidRPr="008E41D3" w:rsidRDefault="00FB3441" w:rsidP="00FB3441">
            <w:pPr>
              <w:pStyle w:val="BodyText"/>
              <w:rPr>
                <w:sz w:val="20"/>
              </w:rPr>
            </w:pPr>
            <w:r w:rsidRPr="008E41D3">
              <w:rPr>
                <w:sz w:val="20"/>
              </w:rPr>
              <w:t xml:space="preserve">The expected outcomes of the co-regulatory approach </w:t>
            </w:r>
            <w:r w:rsidR="00913369">
              <w:rPr>
                <w:sz w:val="20"/>
              </w:rPr>
              <w:t>relative to the status quo</w:t>
            </w:r>
            <w:r w:rsidR="00913369" w:rsidRPr="008E41D3">
              <w:rPr>
                <w:sz w:val="20"/>
              </w:rPr>
              <w:t xml:space="preserve"> </w:t>
            </w:r>
            <w:r w:rsidRPr="008E41D3">
              <w:rPr>
                <w:sz w:val="20"/>
              </w:rPr>
              <w:t>include:</w:t>
            </w:r>
          </w:p>
          <w:p w:rsidR="00D82B54" w:rsidRPr="008E41D3" w:rsidRDefault="005D366F" w:rsidP="00CD7A23">
            <w:pPr>
              <w:pStyle w:val="BulletText"/>
              <w:spacing w:line="240" w:lineRule="auto"/>
              <w:ind w:left="357" w:hanging="357"/>
              <w:rPr>
                <w:sz w:val="20"/>
                <w:szCs w:val="20"/>
              </w:rPr>
            </w:pPr>
            <w:r w:rsidRPr="008E41D3">
              <w:rPr>
                <w:sz w:val="20"/>
                <w:szCs w:val="20"/>
              </w:rPr>
              <w:t>an increase in retailer take back schemes;</w:t>
            </w:r>
            <w:r w:rsidR="00D82B54" w:rsidRPr="008E41D3">
              <w:rPr>
                <w:sz w:val="20"/>
                <w:szCs w:val="20"/>
              </w:rPr>
              <w:t xml:space="preserve"> </w:t>
            </w:r>
          </w:p>
          <w:p w:rsidR="005D366F" w:rsidRPr="008E41D3" w:rsidRDefault="00D82B54" w:rsidP="00CD7A23">
            <w:pPr>
              <w:pStyle w:val="BulletText"/>
              <w:spacing w:line="240" w:lineRule="auto"/>
              <w:ind w:left="357" w:hanging="357"/>
              <w:rPr>
                <w:sz w:val="20"/>
                <w:szCs w:val="20"/>
              </w:rPr>
            </w:pPr>
            <w:r w:rsidRPr="008E41D3">
              <w:rPr>
                <w:sz w:val="20"/>
                <w:szCs w:val="20"/>
              </w:rPr>
              <w:t>a reduction in scavenger collection of refrigerators for scrap metal</w:t>
            </w:r>
            <w:r w:rsidR="00E47C36">
              <w:rPr>
                <w:sz w:val="20"/>
                <w:szCs w:val="20"/>
              </w:rPr>
              <w:t>;</w:t>
            </w:r>
          </w:p>
          <w:p w:rsidR="00FB3441" w:rsidRPr="008E41D3" w:rsidRDefault="00FB3441" w:rsidP="00CD7A23">
            <w:pPr>
              <w:pStyle w:val="BulletText"/>
              <w:spacing w:line="240" w:lineRule="auto"/>
              <w:ind w:left="357" w:hanging="357"/>
              <w:rPr>
                <w:sz w:val="20"/>
                <w:szCs w:val="20"/>
              </w:rPr>
            </w:pPr>
            <w:r w:rsidRPr="008E41D3">
              <w:rPr>
                <w:sz w:val="20"/>
                <w:szCs w:val="20"/>
              </w:rPr>
              <w:t xml:space="preserve">a reduction in the amount of shredder </w:t>
            </w:r>
            <w:proofErr w:type="spellStart"/>
            <w:r w:rsidRPr="008E41D3">
              <w:rPr>
                <w:sz w:val="20"/>
                <w:szCs w:val="20"/>
              </w:rPr>
              <w:t>floc</w:t>
            </w:r>
            <w:proofErr w:type="spellEnd"/>
            <w:r w:rsidRPr="008E41D3">
              <w:rPr>
                <w:sz w:val="20"/>
                <w:szCs w:val="20"/>
              </w:rPr>
              <w:t xml:space="preserve"> going to landfill;</w:t>
            </w:r>
          </w:p>
          <w:p w:rsidR="00FB3441" w:rsidRPr="008E41D3" w:rsidRDefault="00FB3441" w:rsidP="00CD7A23">
            <w:pPr>
              <w:pStyle w:val="BulletText"/>
              <w:spacing w:line="240" w:lineRule="auto"/>
              <w:ind w:left="357" w:hanging="357"/>
              <w:rPr>
                <w:sz w:val="20"/>
                <w:szCs w:val="20"/>
              </w:rPr>
            </w:pPr>
            <w:r w:rsidRPr="008E41D3">
              <w:rPr>
                <w:sz w:val="20"/>
                <w:szCs w:val="20"/>
              </w:rPr>
              <w:t xml:space="preserve">an increase in the recovery of plastics due to </w:t>
            </w:r>
            <w:r w:rsidR="00BC3EA4" w:rsidRPr="008E41D3">
              <w:rPr>
                <w:sz w:val="20"/>
                <w:szCs w:val="20"/>
              </w:rPr>
              <w:t>disassembly</w:t>
            </w:r>
            <w:r w:rsidRPr="008E41D3">
              <w:rPr>
                <w:sz w:val="20"/>
                <w:szCs w:val="20"/>
              </w:rPr>
              <w:t>; and</w:t>
            </w:r>
          </w:p>
          <w:p w:rsidR="00FB3441" w:rsidRPr="008E41D3" w:rsidRDefault="00FB3441" w:rsidP="00CD7A23">
            <w:pPr>
              <w:pStyle w:val="BulletText"/>
              <w:spacing w:line="240" w:lineRule="auto"/>
              <w:ind w:left="357" w:hanging="357"/>
              <w:rPr>
                <w:sz w:val="20"/>
                <w:szCs w:val="20"/>
              </w:rPr>
            </w:pPr>
            <w:proofErr w:type="gramStart"/>
            <w:r w:rsidRPr="008E41D3">
              <w:rPr>
                <w:sz w:val="20"/>
                <w:szCs w:val="20"/>
              </w:rPr>
              <w:t>an</w:t>
            </w:r>
            <w:proofErr w:type="gramEnd"/>
            <w:r w:rsidRPr="008E41D3">
              <w:rPr>
                <w:sz w:val="20"/>
                <w:szCs w:val="20"/>
              </w:rPr>
              <w:t xml:space="preserve"> increase in refrigerant gas recovered for destruction and/or reuse.</w:t>
            </w:r>
          </w:p>
        </w:tc>
      </w:tr>
    </w:tbl>
    <w:p w:rsidR="008E41D3" w:rsidRPr="00F16BDD" w:rsidRDefault="008E41D3" w:rsidP="008E41D3">
      <w:pPr>
        <w:pStyle w:val="Source"/>
      </w:pPr>
      <w:r w:rsidRPr="00F16BDD">
        <w:t xml:space="preserve">Source: </w:t>
      </w:r>
      <w:r>
        <w:tab/>
      </w:r>
      <w:r w:rsidR="00676F5A">
        <w:t>RAC Working Group</w:t>
      </w:r>
      <w:r w:rsidRPr="00445FE6">
        <w:t xml:space="preserve"> 2014, Feasibility of Product Stewardship for End-of-Life Domestic Refrigerators and Air Conditioners (Draft Options Paper), version 2, issued to KPMG in May 2014.</w:t>
      </w:r>
    </w:p>
    <w:p w:rsidR="00F16BDD" w:rsidRDefault="000F413C" w:rsidP="000F413C">
      <w:pPr>
        <w:pStyle w:val="BodyText"/>
      </w:pPr>
      <w:r>
        <w:lastRenderedPageBreak/>
        <w:t xml:space="preserve">The resource recovery pathways for equipment at </w:t>
      </w:r>
      <w:r w:rsidR="004A6275">
        <w:t>end-of-life</w:t>
      </w:r>
      <w:r>
        <w:t xml:space="preserve"> under a co-regulatory scheme are outlined in</w:t>
      </w:r>
      <w:r w:rsidR="00F268D2">
        <w:t xml:space="preserve"> </w:t>
      </w:r>
      <w:r w:rsidR="00586F30">
        <w:fldChar w:fldCharType="begin"/>
      </w:r>
      <w:r w:rsidR="00F268D2">
        <w:instrText xml:space="preserve"> REF _Ref391468111 \h </w:instrText>
      </w:r>
      <w:r w:rsidR="00586F30">
        <w:fldChar w:fldCharType="separate"/>
      </w:r>
      <w:r w:rsidR="001E5D7A">
        <w:t xml:space="preserve">Figure </w:t>
      </w:r>
      <w:r w:rsidR="001E5D7A">
        <w:rPr>
          <w:noProof/>
        </w:rPr>
        <w:t>3</w:t>
      </w:r>
      <w:r w:rsidR="001E5D7A">
        <w:noBreakHyphen/>
      </w:r>
      <w:r w:rsidR="001E5D7A">
        <w:rPr>
          <w:noProof/>
        </w:rPr>
        <w:t>6</w:t>
      </w:r>
      <w:r w:rsidR="00586F30">
        <w:fldChar w:fldCharType="end"/>
      </w:r>
      <w:r w:rsidR="00F268D2">
        <w:t xml:space="preserve"> and </w:t>
      </w:r>
      <w:r w:rsidR="00586F30">
        <w:fldChar w:fldCharType="begin"/>
      </w:r>
      <w:r w:rsidR="00F268D2">
        <w:instrText xml:space="preserve"> REF _Ref391468118 \h </w:instrText>
      </w:r>
      <w:r w:rsidR="00586F30">
        <w:fldChar w:fldCharType="separate"/>
      </w:r>
      <w:r w:rsidR="001E5D7A">
        <w:t xml:space="preserve">Figure </w:t>
      </w:r>
      <w:r w:rsidR="001E5D7A">
        <w:rPr>
          <w:noProof/>
        </w:rPr>
        <w:t>3</w:t>
      </w:r>
      <w:r w:rsidR="001E5D7A">
        <w:noBreakHyphen/>
      </w:r>
      <w:r w:rsidR="001E5D7A">
        <w:rPr>
          <w:noProof/>
        </w:rPr>
        <w:t>7</w:t>
      </w:r>
      <w:r w:rsidR="00586F30">
        <w:fldChar w:fldCharType="end"/>
      </w:r>
      <w:r w:rsidR="00F268D2">
        <w:t xml:space="preserve"> and outlined in further detail in Appendix B</w:t>
      </w:r>
      <w:r>
        <w:t xml:space="preserve">. </w:t>
      </w:r>
    </w:p>
    <w:p w:rsidR="00A25B26" w:rsidRPr="00977278" w:rsidRDefault="00F268D2" w:rsidP="00F268D2">
      <w:pPr>
        <w:pStyle w:val="Caption"/>
        <w:keepNext w:val="0"/>
        <w:rPr>
          <w:sz w:val="18"/>
        </w:rPr>
      </w:pPr>
      <w:bookmarkStart w:id="30" w:name="_Ref391468111"/>
      <w:r>
        <w:t xml:space="preserve">Figure </w:t>
      </w:r>
      <w:r w:rsidR="00586F30">
        <w:fldChar w:fldCharType="begin"/>
      </w:r>
      <w:r w:rsidR="00341287">
        <w:instrText xml:space="preserve"> STYLEREF 1 \s </w:instrText>
      </w:r>
      <w:r w:rsidR="00586F30">
        <w:fldChar w:fldCharType="separate"/>
      </w:r>
      <w:r w:rsidR="001E5D7A">
        <w:rPr>
          <w:noProof/>
        </w:rPr>
        <w:t>3</w:t>
      </w:r>
      <w:r w:rsidR="00586F30">
        <w:fldChar w:fldCharType="end"/>
      </w:r>
      <w:r w:rsidR="00341287">
        <w:noBreakHyphen/>
      </w:r>
      <w:r w:rsidR="00586F30">
        <w:fldChar w:fldCharType="begin"/>
      </w:r>
      <w:r w:rsidR="00341287">
        <w:instrText xml:space="preserve"> SEQ Figure \* ARABIC \s 1 </w:instrText>
      </w:r>
      <w:r w:rsidR="00586F30">
        <w:fldChar w:fldCharType="separate"/>
      </w:r>
      <w:r w:rsidR="001E5D7A">
        <w:rPr>
          <w:noProof/>
        </w:rPr>
        <w:t>6</w:t>
      </w:r>
      <w:r w:rsidR="00586F30">
        <w:fldChar w:fldCharType="end"/>
      </w:r>
      <w:bookmarkEnd w:id="30"/>
      <w:r>
        <w:t xml:space="preserve">: </w:t>
      </w:r>
      <w:r w:rsidR="00A25B26">
        <w:rPr>
          <w:sz w:val="18"/>
        </w:rPr>
        <w:t xml:space="preserve">Recovery pathways for air conditioners, </w:t>
      </w:r>
      <w:r w:rsidR="008E41D3">
        <w:rPr>
          <w:sz w:val="18"/>
        </w:rPr>
        <w:t>o</w:t>
      </w:r>
      <w:r w:rsidR="00A25B26">
        <w:rPr>
          <w:sz w:val="18"/>
        </w:rPr>
        <w:t>ption 2</w:t>
      </w:r>
    </w:p>
    <w:p w:rsidR="00A25B26" w:rsidRDefault="00095D47" w:rsidP="00A25B26">
      <w:pPr>
        <w:pStyle w:val="BodyText"/>
      </w:pPr>
      <w:r w:rsidRPr="00095D47">
        <w:rPr>
          <w:noProof/>
          <w:lang w:eastAsia="en-AU"/>
        </w:rPr>
        <w:drawing>
          <wp:inline distT="0" distB="0" distL="0" distR="0">
            <wp:extent cx="5303448" cy="2429625"/>
            <wp:effectExtent l="19050" t="0" r="0" b="0"/>
            <wp:docPr id="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srcRect/>
                    <a:stretch>
                      <a:fillRect/>
                    </a:stretch>
                  </pic:blipFill>
                  <pic:spPr bwMode="auto">
                    <a:xfrm>
                      <a:off x="0" y="0"/>
                      <a:ext cx="5306627" cy="2431081"/>
                    </a:xfrm>
                    <a:prstGeom prst="rect">
                      <a:avLst/>
                    </a:prstGeom>
                    <a:noFill/>
                    <a:ln w="9525">
                      <a:noFill/>
                      <a:miter lim="800000"/>
                      <a:headEnd/>
                      <a:tailEnd/>
                    </a:ln>
                  </pic:spPr>
                </pic:pic>
              </a:graphicData>
            </a:graphic>
          </wp:inline>
        </w:drawing>
      </w:r>
    </w:p>
    <w:p w:rsidR="00CD7A23" w:rsidRDefault="00CD7A23" w:rsidP="00CD7A23">
      <w:pPr>
        <w:pStyle w:val="Source"/>
        <w:rPr>
          <w:i/>
        </w:rPr>
      </w:pPr>
      <w:bookmarkStart w:id="31" w:name="_Ref391226014"/>
      <w:r>
        <w:rPr>
          <w:i/>
        </w:rPr>
        <w:t>NOTE: Shaded boxes represent a shift from the status quo.</w:t>
      </w:r>
    </w:p>
    <w:p w:rsidR="003052D5" w:rsidRDefault="003052D5" w:rsidP="003052D5">
      <w:pPr>
        <w:pStyle w:val="Source"/>
        <w:rPr>
          <w:i/>
        </w:rPr>
      </w:pPr>
      <w:r w:rsidRPr="00F16BDD">
        <w:rPr>
          <w:i/>
        </w:rPr>
        <w:t xml:space="preserve">Source: Department </w:t>
      </w:r>
      <w:r>
        <w:rPr>
          <w:i/>
        </w:rPr>
        <w:t>of the Environment</w:t>
      </w:r>
      <w:r w:rsidRPr="00F16BDD">
        <w:rPr>
          <w:i/>
        </w:rPr>
        <w:t xml:space="preserve"> </w:t>
      </w:r>
      <w:r>
        <w:rPr>
          <w:i/>
        </w:rPr>
        <w:t xml:space="preserve">and industry consultation </w:t>
      </w:r>
    </w:p>
    <w:p w:rsidR="00CD7A23" w:rsidRDefault="00CD7A23" w:rsidP="00095D47">
      <w:pPr>
        <w:pStyle w:val="Source"/>
        <w:rPr>
          <w:i/>
        </w:rPr>
      </w:pPr>
    </w:p>
    <w:p w:rsidR="00A25B26" w:rsidRPr="00977278" w:rsidRDefault="000F413C" w:rsidP="00F268D2">
      <w:pPr>
        <w:pStyle w:val="Caption"/>
        <w:keepNext w:val="0"/>
        <w:rPr>
          <w:sz w:val="18"/>
        </w:rPr>
      </w:pPr>
      <w:bookmarkStart w:id="32" w:name="_Ref391468118"/>
      <w:r>
        <w:t xml:space="preserve">Figure </w:t>
      </w:r>
      <w:r w:rsidR="00586F30">
        <w:fldChar w:fldCharType="begin"/>
      </w:r>
      <w:r w:rsidR="00341287">
        <w:instrText xml:space="preserve"> STYLEREF 1 \s </w:instrText>
      </w:r>
      <w:r w:rsidR="00586F30">
        <w:fldChar w:fldCharType="separate"/>
      </w:r>
      <w:r w:rsidR="001E5D7A">
        <w:rPr>
          <w:noProof/>
        </w:rPr>
        <w:t>3</w:t>
      </w:r>
      <w:r w:rsidR="00586F30">
        <w:fldChar w:fldCharType="end"/>
      </w:r>
      <w:r w:rsidR="00341287">
        <w:noBreakHyphen/>
      </w:r>
      <w:r w:rsidR="00586F30">
        <w:fldChar w:fldCharType="begin"/>
      </w:r>
      <w:r w:rsidR="00341287">
        <w:instrText xml:space="preserve"> SEQ Figure \* ARABIC \s 1 </w:instrText>
      </w:r>
      <w:r w:rsidR="00586F30">
        <w:fldChar w:fldCharType="separate"/>
      </w:r>
      <w:r w:rsidR="001E5D7A">
        <w:rPr>
          <w:noProof/>
        </w:rPr>
        <w:t>7</w:t>
      </w:r>
      <w:r w:rsidR="00586F30">
        <w:fldChar w:fldCharType="end"/>
      </w:r>
      <w:bookmarkEnd w:id="31"/>
      <w:bookmarkEnd w:id="32"/>
      <w:r>
        <w:t xml:space="preserve">: </w:t>
      </w:r>
      <w:r w:rsidR="00A25B26">
        <w:rPr>
          <w:sz w:val="18"/>
        </w:rPr>
        <w:t xml:space="preserve">Recovery pathways for refrigerators, </w:t>
      </w:r>
      <w:r w:rsidR="003052D5">
        <w:rPr>
          <w:sz w:val="18"/>
        </w:rPr>
        <w:t>o</w:t>
      </w:r>
      <w:r w:rsidR="00A25B26">
        <w:rPr>
          <w:sz w:val="18"/>
        </w:rPr>
        <w:t>ption 2</w:t>
      </w:r>
    </w:p>
    <w:p w:rsidR="00A25B26" w:rsidRDefault="003052D5" w:rsidP="00A25B26">
      <w:pPr>
        <w:pStyle w:val="BodyText"/>
      </w:pPr>
      <w:r w:rsidRPr="003052D5">
        <w:rPr>
          <w:noProof/>
          <w:lang w:eastAsia="en-AU"/>
        </w:rPr>
        <w:drawing>
          <wp:inline distT="0" distB="0" distL="0" distR="0">
            <wp:extent cx="5400675" cy="2309393"/>
            <wp:effectExtent l="19050" t="0" r="9525" b="0"/>
            <wp:docPr id="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srcRect/>
                    <a:stretch>
                      <a:fillRect/>
                    </a:stretch>
                  </pic:blipFill>
                  <pic:spPr bwMode="auto">
                    <a:xfrm>
                      <a:off x="0" y="0"/>
                      <a:ext cx="5400675" cy="2309393"/>
                    </a:xfrm>
                    <a:prstGeom prst="rect">
                      <a:avLst/>
                    </a:prstGeom>
                    <a:noFill/>
                    <a:ln w="9525">
                      <a:noFill/>
                      <a:miter lim="800000"/>
                      <a:headEnd/>
                      <a:tailEnd/>
                    </a:ln>
                  </pic:spPr>
                </pic:pic>
              </a:graphicData>
            </a:graphic>
          </wp:inline>
        </w:drawing>
      </w:r>
    </w:p>
    <w:p w:rsidR="0039339F" w:rsidRDefault="0039339F" w:rsidP="0039339F">
      <w:pPr>
        <w:pStyle w:val="Source"/>
        <w:rPr>
          <w:i/>
        </w:rPr>
      </w:pPr>
      <w:r>
        <w:rPr>
          <w:i/>
        </w:rPr>
        <w:t>NOTE: Shaded boxes represent a shift from the status quo.</w:t>
      </w:r>
    </w:p>
    <w:p w:rsidR="003052D5" w:rsidRDefault="003052D5" w:rsidP="003052D5">
      <w:pPr>
        <w:pStyle w:val="Source"/>
        <w:rPr>
          <w:i/>
        </w:rPr>
      </w:pPr>
      <w:r w:rsidRPr="00F16BDD">
        <w:rPr>
          <w:i/>
        </w:rPr>
        <w:t xml:space="preserve">Source: Department </w:t>
      </w:r>
      <w:r>
        <w:rPr>
          <w:i/>
        </w:rPr>
        <w:t>of the Environment</w:t>
      </w:r>
      <w:r w:rsidRPr="00F16BDD">
        <w:rPr>
          <w:i/>
        </w:rPr>
        <w:t xml:space="preserve"> </w:t>
      </w:r>
      <w:r>
        <w:rPr>
          <w:i/>
        </w:rPr>
        <w:t xml:space="preserve">and industry consultation </w:t>
      </w:r>
    </w:p>
    <w:p w:rsidR="00EB06E8" w:rsidRPr="00EB06E8" w:rsidRDefault="00EB06E8" w:rsidP="00EE40A8">
      <w:pPr>
        <w:pStyle w:val="Heading3"/>
      </w:pPr>
      <w:r>
        <w:t>Option 3 - Mandatory</w:t>
      </w:r>
    </w:p>
    <w:p w:rsidR="004A1526" w:rsidRPr="00046955" w:rsidRDefault="004A1526" w:rsidP="004A1526">
      <w:pPr>
        <w:pStyle w:val="BodyText"/>
      </w:pPr>
      <w:r>
        <w:t xml:space="preserve">The following table summarises </w:t>
      </w:r>
      <w:r w:rsidR="003052D5">
        <w:t>o</w:t>
      </w:r>
      <w:r>
        <w:t xml:space="preserve">ption 3 </w:t>
      </w:r>
      <w:r w:rsidR="00F268D2">
        <w:t xml:space="preserve">as outlined in the </w:t>
      </w:r>
      <w:r w:rsidR="00137325">
        <w:t>draft options paper prepared by the RAC Industry Working Group</w:t>
      </w:r>
      <w:r w:rsidR="00A00B61">
        <w:t xml:space="preserve"> in consultation with the Department</w:t>
      </w:r>
      <w:r w:rsidR="00F268D2">
        <w:t xml:space="preserve">, </w:t>
      </w:r>
      <w:r>
        <w:t xml:space="preserve">including the requirements, management, potential features and benefits and costs. </w:t>
      </w:r>
    </w:p>
    <w:p w:rsidR="00974A65" w:rsidRPr="004A1526" w:rsidRDefault="00CE3BAC" w:rsidP="00CE3BAC">
      <w:pPr>
        <w:pStyle w:val="Caption"/>
      </w:pPr>
      <w:r>
        <w:lastRenderedPageBreak/>
        <w:t xml:space="preserve">Table </w:t>
      </w:r>
      <w:r w:rsidR="00586F30">
        <w:fldChar w:fldCharType="begin"/>
      </w:r>
      <w:r w:rsidR="00C478AE">
        <w:instrText xml:space="preserve"> STYLEREF 1 \s </w:instrText>
      </w:r>
      <w:r w:rsidR="00586F30">
        <w:fldChar w:fldCharType="separate"/>
      </w:r>
      <w:r w:rsidR="001E5D7A">
        <w:rPr>
          <w:noProof/>
        </w:rPr>
        <w:t>3</w:t>
      </w:r>
      <w:r w:rsidR="00586F30">
        <w:rPr>
          <w:noProof/>
        </w:rPr>
        <w:fldChar w:fldCharType="end"/>
      </w:r>
      <w:r>
        <w:noBreakHyphen/>
      </w:r>
      <w:r w:rsidR="00586F30">
        <w:fldChar w:fldCharType="begin"/>
      </w:r>
      <w:r w:rsidR="00C478AE">
        <w:instrText xml:space="preserve"> SEQ Table \* ARABIC \s 1 </w:instrText>
      </w:r>
      <w:r w:rsidR="00586F30">
        <w:fldChar w:fldCharType="separate"/>
      </w:r>
      <w:r w:rsidR="001E5D7A">
        <w:rPr>
          <w:noProof/>
        </w:rPr>
        <w:t>4</w:t>
      </w:r>
      <w:r w:rsidR="00586F30">
        <w:rPr>
          <w:noProof/>
        </w:rPr>
        <w:fldChar w:fldCharType="end"/>
      </w:r>
      <w:r>
        <w:t xml:space="preserve">: </w:t>
      </w:r>
      <w:r w:rsidR="004A1526" w:rsidRPr="004A1526">
        <w:t xml:space="preserve">Summary, </w:t>
      </w:r>
      <w:r w:rsidR="003052D5">
        <w:t>o</w:t>
      </w:r>
      <w:r w:rsidR="004A1526" w:rsidRPr="004A1526">
        <w:t xml:space="preserve">ption 3 – </w:t>
      </w:r>
      <w:r w:rsidR="003052D5">
        <w:t>m</w:t>
      </w:r>
      <w:r w:rsidR="004A1526" w:rsidRPr="004A1526">
        <w:t xml:space="preserve">andatory </w:t>
      </w:r>
      <w:r w:rsidR="003052D5">
        <w:t>s</w:t>
      </w:r>
      <w:r w:rsidR="004A1526" w:rsidRPr="004A1526">
        <w:t>cheme</w:t>
      </w:r>
    </w:p>
    <w:tbl>
      <w:tblPr>
        <w:tblStyle w:val="TableGrid"/>
        <w:tblW w:w="0" w:type="auto"/>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tblPr>
      <w:tblGrid>
        <w:gridCol w:w="1668"/>
        <w:gridCol w:w="7053"/>
      </w:tblGrid>
      <w:tr w:rsidR="00EB06E8" w:rsidRPr="003052D5" w:rsidTr="00BC3EA4">
        <w:tc>
          <w:tcPr>
            <w:tcW w:w="1668" w:type="dxa"/>
            <w:shd w:val="clear" w:color="auto" w:fill="1F497D" w:themeFill="text2"/>
          </w:tcPr>
          <w:p w:rsidR="00EB06E8" w:rsidRPr="003052D5" w:rsidRDefault="00EB06E8" w:rsidP="00934094">
            <w:pPr>
              <w:pStyle w:val="BodyText"/>
              <w:rPr>
                <w:b/>
                <w:color w:val="FFFFFF" w:themeColor="background1"/>
                <w:sz w:val="20"/>
              </w:rPr>
            </w:pPr>
            <w:r w:rsidRPr="003052D5">
              <w:rPr>
                <w:b/>
                <w:color w:val="FFFFFF" w:themeColor="background1"/>
                <w:sz w:val="20"/>
              </w:rPr>
              <w:t>Description</w:t>
            </w:r>
          </w:p>
        </w:tc>
        <w:tc>
          <w:tcPr>
            <w:tcW w:w="7053" w:type="dxa"/>
          </w:tcPr>
          <w:p w:rsidR="00EB06E8" w:rsidRPr="003052D5" w:rsidRDefault="00122F56" w:rsidP="00934094">
            <w:pPr>
              <w:pStyle w:val="BodyText"/>
              <w:rPr>
                <w:sz w:val="20"/>
              </w:rPr>
            </w:pPr>
            <w:r w:rsidRPr="003052D5">
              <w:rPr>
                <w:sz w:val="20"/>
              </w:rPr>
              <w:t xml:space="preserve">The mandatory scheme involves legislation specifying mandatory targets which must be met by industry and will allow for civil penalties or infringement notices for non-compliance. Regulations will be placed on the importers and manufactures (i.e. the point in the supply chain where the number of stakeholders is minimised). However controls are in place to ensure that stakeholder at the </w:t>
            </w:r>
            <w:r w:rsidR="00F052A8" w:rsidRPr="003052D5">
              <w:rPr>
                <w:sz w:val="20"/>
              </w:rPr>
              <w:t>end-of-life</w:t>
            </w:r>
            <w:r w:rsidRPr="003052D5">
              <w:rPr>
                <w:sz w:val="20"/>
              </w:rPr>
              <w:t xml:space="preserve"> are conducting themselves in accordance with the requirements of the legislation.</w:t>
            </w:r>
          </w:p>
          <w:p w:rsidR="004A6275" w:rsidRPr="003052D5" w:rsidRDefault="004A6275" w:rsidP="00934094">
            <w:pPr>
              <w:pStyle w:val="BodyText"/>
              <w:rPr>
                <w:sz w:val="20"/>
              </w:rPr>
            </w:pPr>
            <w:r w:rsidRPr="003052D5">
              <w:rPr>
                <w:sz w:val="20"/>
              </w:rPr>
              <w:t>The mandatory scheme includes the requirements of the voluntary and co-regulator schemes and a number of additional requirements (outlined below).</w:t>
            </w:r>
          </w:p>
        </w:tc>
      </w:tr>
      <w:tr w:rsidR="00EB06E8" w:rsidRPr="003052D5" w:rsidTr="00BC3EA4">
        <w:tc>
          <w:tcPr>
            <w:tcW w:w="1668" w:type="dxa"/>
            <w:shd w:val="clear" w:color="auto" w:fill="1F497D" w:themeFill="text2"/>
          </w:tcPr>
          <w:p w:rsidR="00EB06E8" w:rsidRPr="003052D5" w:rsidRDefault="00EB06E8" w:rsidP="00934094">
            <w:pPr>
              <w:pStyle w:val="BodyText"/>
              <w:rPr>
                <w:b/>
                <w:color w:val="FFFFFF" w:themeColor="background1"/>
                <w:sz w:val="20"/>
              </w:rPr>
            </w:pPr>
            <w:r w:rsidRPr="003052D5">
              <w:rPr>
                <w:b/>
                <w:color w:val="FFFFFF" w:themeColor="background1"/>
                <w:sz w:val="20"/>
              </w:rPr>
              <w:t>Requirements</w:t>
            </w:r>
          </w:p>
        </w:tc>
        <w:tc>
          <w:tcPr>
            <w:tcW w:w="7053" w:type="dxa"/>
          </w:tcPr>
          <w:p w:rsidR="00F93643" w:rsidRPr="003052D5" w:rsidRDefault="00F93643" w:rsidP="00F93643">
            <w:pPr>
              <w:pStyle w:val="BodyText"/>
              <w:spacing w:before="60" w:after="60"/>
              <w:rPr>
                <w:sz w:val="20"/>
              </w:rPr>
            </w:pPr>
            <w:r w:rsidRPr="003052D5">
              <w:rPr>
                <w:sz w:val="20"/>
              </w:rPr>
              <w:t>Requirements as per the voluntary scheme including:</w:t>
            </w:r>
          </w:p>
          <w:p w:rsidR="00F93643" w:rsidRPr="003052D5" w:rsidRDefault="00F93643" w:rsidP="00F93643">
            <w:pPr>
              <w:pStyle w:val="BulletText"/>
              <w:rPr>
                <w:sz w:val="20"/>
              </w:rPr>
            </w:pPr>
            <w:r w:rsidRPr="003052D5">
              <w:rPr>
                <w:sz w:val="20"/>
              </w:rPr>
              <w:t>An education campaign for consumers about the benefits of:</w:t>
            </w:r>
          </w:p>
          <w:p w:rsidR="00F93643" w:rsidRPr="003052D5" w:rsidRDefault="00F93643" w:rsidP="00305FA1">
            <w:pPr>
              <w:pStyle w:val="BodyText"/>
              <w:numPr>
                <w:ilvl w:val="0"/>
                <w:numId w:val="11"/>
              </w:numPr>
              <w:spacing w:before="60" w:after="60"/>
              <w:ind w:left="697" w:hanging="357"/>
              <w:rPr>
                <w:sz w:val="20"/>
              </w:rPr>
            </w:pPr>
            <w:r w:rsidRPr="003052D5">
              <w:rPr>
                <w:sz w:val="20"/>
              </w:rPr>
              <w:t xml:space="preserve">using an accredited air conditioning installer; and </w:t>
            </w:r>
          </w:p>
          <w:p w:rsidR="00F93643" w:rsidRPr="003052D5" w:rsidRDefault="00F93643" w:rsidP="00305FA1">
            <w:pPr>
              <w:pStyle w:val="BodyText"/>
              <w:numPr>
                <w:ilvl w:val="0"/>
                <w:numId w:val="11"/>
              </w:numPr>
              <w:spacing w:before="60" w:after="60"/>
              <w:ind w:left="697" w:hanging="357"/>
              <w:rPr>
                <w:sz w:val="20"/>
              </w:rPr>
            </w:pPr>
            <w:proofErr w:type="gramStart"/>
            <w:r w:rsidRPr="003052D5">
              <w:rPr>
                <w:sz w:val="20"/>
              </w:rPr>
              <w:t>appropriately</w:t>
            </w:r>
            <w:proofErr w:type="gramEnd"/>
            <w:r w:rsidRPr="003052D5">
              <w:rPr>
                <w:sz w:val="20"/>
              </w:rPr>
              <w:t xml:space="preserve"> disposing of RAC equipment.</w:t>
            </w:r>
          </w:p>
          <w:p w:rsidR="00F93643" w:rsidRPr="003052D5" w:rsidRDefault="00F93643" w:rsidP="00F93643">
            <w:pPr>
              <w:pStyle w:val="BulletText"/>
              <w:rPr>
                <w:sz w:val="20"/>
              </w:rPr>
            </w:pPr>
            <w:r w:rsidRPr="003052D5">
              <w:rPr>
                <w:sz w:val="20"/>
              </w:rPr>
              <w:t>An education campaign for metal recyclers to increase awareness of need for refrigerant recovery.</w:t>
            </w:r>
          </w:p>
          <w:p w:rsidR="00F93643" w:rsidRPr="003052D5" w:rsidRDefault="00F93643" w:rsidP="00F93643">
            <w:pPr>
              <w:pStyle w:val="BulletText"/>
              <w:rPr>
                <w:sz w:val="20"/>
              </w:rPr>
            </w:pPr>
            <w:r w:rsidRPr="003052D5">
              <w:rPr>
                <w:sz w:val="20"/>
              </w:rPr>
              <w:t xml:space="preserve">Accreditation and a logo to encourage a greater number of </w:t>
            </w:r>
            <w:proofErr w:type="gramStart"/>
            <w:r w:rsidRPr="003052D5">
              <w:rPr>
                <w:sz w:val="20"/>
              </w:rPr>
              <w:t>retailer</w:t>
            </w:r>
            <w:proofErr w:type="gramEnd"/>
            <w:r w:rsidRPr="003052D5">
              <w:rPr>
                <w:sz w:val="20"/>
              </w:rPr>
              <w:t xml:space="preserve"> take back schemes, to reduce the refrigerators put out for kerb</w:t>
            </w:r>
            <w:r w:rsidR="003052D5">
              <w:rPr>
                <w:sz w:val="20"/>
              </w:rPr>
              <w:t xml:space="preserve"> </w:t>
            </w:r>
            <w:r w:rsidRPr="003052D5">
              <w:rPr>
                <w:sz w:val="20"/>
              </w:rPr>
              <w:t xml:space="preserve">side collection and thereby reducing the ability for scavengers to collect refrigerators.  </w:t>
            </w:r>
          </w:p>
          <w:p w:rsidR="00F93643" w:rsidRPr="003052D5" w:rsidRDefault="00F93643" w:rsidP="00F93643">
            <w:pPr>
              <w:pStyle w:val="BulletText"/>
              <w:rPr>
                <w:sz w:val="20"/>
              </w:rPr>
            </w:pPr>
            <w:r w:rsidRPr="003052D5">
              <w:rPr>
                <w:sz w:val="20"/>
              </w:rPr>
              <w:t xml:space="preserve">A target to reduce the proportion of shredder </w:t>
            </w:r>
            <w:proofErr w:type="spellStart"/>
            <w:r w:rsidRPr="003052D5">
              <w:rPr>
                <w:sz w:val="20"/>
              </w:rPr>
              <w:t>floc</w:t>
            </w:r>
            <w:proofErr w:type="spellEnd"/>
            <w:r w:rsidRPr="003052D5">
              <w:rPr>
                <w:sz w:val="20"/>
              </w:rPr>
              <w:t xml:space="preserve"> from RAC equipment entering landfill (e.g. reduce the amount of shredder </w:t>
            </w:r>
            <w:proofErr w:type="spellStart"/>
            <w:r w:rsidRPr="003052D5">
              <w:rPr>
                <w:sz w:val="20"/>
              </w:rPr>
              <w:t>floc</w:t>
            </w:r>
            <w:proofErr w:type="spellEnd"/>
            <w:r w:rsidRPr="003052D5">
              <w:rPr>
                <w:sz w:val="20"/>
              </w:rPr>
              <w:t xml:space="preserve"> going to landfill by 15 per cent), funded by industry (e.g. manufacturers, importers, retailers).</w:t>
            </w:r>
          </w:p>
          <w:p w:rsidR="00F93643" w:rsidRPr="003052D5" w:rsidRDefault="00F93643" w:rsidP="00F93643">
            <w:pPr>
              <w:pStyle w:val="BulletText"/>
              <w:spacing w:line="240" w:lineRule="auto"/>
              <w:ind w:left="357" w:hanging="357"/>
              <w:rPr>
                <w:sz w:val="20"/>
              </w:rPr>
            </w:pPr>
            <w:r w:rsidRPr="003052D5">
              <w:rPr>
                <w:sz w:val="20"/>
              </w:rPr>
              <w:t>Increasing the rebates paid to contractors for the return of ODS and SGG to RRA for destruction.</w:t>
            </w:r>
          </w:p>
          <w:p w:rsidR="00F93643" w:rsidRPr="003052D5" w:rsidRDefault="00F93643" w:rsidP="00F93643">
            <w:pPr>
              <w:pStyle w:val="BulletText"/>
              <w:spacing w:line="240" w:lineRule="auto"/>
              <w:ind w:left="357" w:hanging="357"/>
              <w:rPr>
                <w:sz w:val="20"/>
              </w:rPr>
            </w:pPr>
            <w:r w:rsidRPr="003052D5">
              <w:rPr>
                <w:sz w:val="20"/>
              </w:rPr>
              <w:t xml:space="preserve">Encouraging LGAs to increase </w:t>
            </w:r>
            <w:r w:rsidR="00676F5A">
              <w:rPr>
                <w:sz w:val="20"/>
              </w:rPr>
              <w:t>booked collections</w:t>
            </w:r>
            <w:r w:rsidRPr="003052D5">
              <w:rPr>
                <w:sz w:val="20"/>
              </w:rPr>
              <w:t>.</w:t>
            </w:r>
          </w:p>
          <w:p w:rsidR="00F93643" w:rsidRPr="003052D5" w:rsidRDefault="00F93643" w:rsidP="00F93643">
            <w:pPr>
              <w:pStyle w:val="BodyText"/>
              <w:rPr>
                <w:sz w:val="20"/>
              </w:rPr>
            </w:pPr>
            <w:r w:rsidRPr="003052D5">
              <w:rPr>
                <w:sz w:val="20"/>
              </w:rPr>
              <w:t>Additional requirements, including:</w:t>
            </w:r>
          </w:p>
          <w:p w:rsidR="00440636" w:rsidRPr="003052D5" w:rsidRDefault="00440636" w:rsidP="00746EAA">
            <w:pPr>
              <w:pStyle w:val="BulletText"/>
              <w:rPr>
                <w:sz w:val="20"/>
              </w:rPr>
            </w:pPr>
            <w:r w:rsidRPr="003052D5">
              <w:rPr>
                <w:sz w:val="20"/>
              </w:rPr>
              <w:t xml:space="preserve">A target to reduce the proportion of shredder </w:t>
            </w:r>
            <w:proofErr w:type="spellStart"/>
            <w:r w:rsidRPr="003052D5">
              <w:rPr>
                <w:sz w:val="20"/>
              </w:rPr>
              <w:t>floc</w:t>
            </w:r>
            <w:proofErr w:type="spellEnd"/>
            <w:r w:rsidRPr="003052D5">
              <w:rPr>
                <w:sz w:val="20"/>
              </w:rPr>
              <w:t xml:space="preserve"> from RAC equipment entering landfill by 70</w:t>
            </w:r>
            <w:r w:rsidR="00BC3EA4" w:rsidRPr="003052D5">
              <w:rPr>
                <w:sz w:val="20"/>
              </w:rPr>
              <w:t xml:space="preserve"> per cent</w:t>
            </w:r>
            <w:r w:rsidRPr="003052D5">
              <w:rPr>
                <w:sz w:val="20"/>
              </w:rPr>
              <w:t>, funded by industry (e.g. manufacturers, importers, retailers).</w:t>
            </w:r>
          </w:p>
          <w:p w:rsidR="00122F56" w:rsidRPr="003052D5" w:rsidRDefault="00122F56" w:rsidP="00746EAA">
            <w:pPr>
              <w:pStyle w:val="BulletText"/>
              <w:rPr>
                <w:sz w:val="20"/>
              </w:rPr>
            </w:pPr>
            <w:r w:rsidRPr="003052D5">
              <w:rPr>
                <w:sz w:val="20"/>
              </w:rPr>
              <w:t xml:space="preserve">Labelling and packaging to indicate the presence of hazardous substances, required disposal methods and take back programs. </w:t>
            </w:r>
          </w:p>
          <w:p w:rsidR="00122F56" w:rsidRPr="003052D5" w:rsidRDefault="00122F56" w:rsidP="00746EAA">
            <w:pPr>
              <w:pStyle w:val="BulletText"/>
              <w:rPr>
                <w:sz w:val="20"/>
              </w:rPr>
            </w:pPr>
            <w:r w:rsidRPr="003052D5">
              <w:rPr>
                <w:sz w:val="20"/>
              </w:rPr>
              <w:t xml:space="preserve">Communication and handling of RAC equipment at </w:t>
            </w:r>
            <w:r w:rsidR="00F052A8" w:rsidRPr="003052D5">
              <w:rPr>
                <w:sz w:val="20"/>
              </w:rPr>
              <w:t xml:space="preserve">end-of-life </w:t>
            </w:r>
            <w:r w:rsidRPr="003052D5">
              <w:rPr>
                <w:sz w:val="20"/>
              </w:rPr>
              <w:t>such as council or metal recyclers to de-gas equipment and disassemble before shredding.</w:t>
            </w:r>
          </w:p>
          <w:p w:rsidR="00122F56" w:rsidRPr="003052D5" w:rsidRDefault="004A1526" w:rsidP="00746EAA">
            <w:pPr>
              <w:pStyle w:val="BulletText"/>
              <w:rPr>
                <w:sz w:val="20"/>
              </w:rPr>
            </w:pPr>
            <w:r w:rsidRPr="003052D5">
              <w:rPr>
                <w:sz w:val="20"/>
              </w:rPr>
              <w:t xml:space="preserve">Labelling and packaging to indicate the presence of hazardous substances, required disposal methods and take back programs. </w:t>
            </w:r>
          </w:p>
          <w:p w:rsidR="004A1526" w:rsidRPr="003052D5" w:rsidRDefault="004A1526" w:rsidP="00746EAA">
            <w:pPr>
              <w:pStyle w:val="BulletText"/>
              <w:rPr>
                <w:sz w:val="20"/>
              </w:rPr>
            </w:pPr>
            <w:r w:rsidRPr="003052D5">
              <w:rPr>
                <w:sz w:val="20"/>
              </w:rPr>
              <w:t xml:space="preserve">Coverage is for all </w:t>
            </w:r>
            <w:r w:rsidR="00137325">
              <w:rPr>
                <w:sz w:val="20"/>
              </w:rPr>
              <w:t xml:space="preserve">domestic </w:t>
            </w:r>
            <w:r w:rsidRPr="003052D5">
              <w:rPr>
                <w:sz w:val="20"/>
              </w:rPr>
              <w:t xml:space="preserve">RAC equipment to be dismantled and there is a ban </w:t>
            </w:r>
            <w:r w:rsidR="0039339F" w:rsidRPr="003052D5">
              <w:rPr>
                <w:sz w:val="20"/>
              </w:rPr>
              <w:t>on</w:t>
            </w:r>
            <w:r w:rsidRPr="003052D5">
              <w:rPr>
                <w:sz w:val="20"/>
              </w:rPr>
              <w:t xml:space="preserve"> </w:t>
            </w:r>
            <w:r w:rsidR="00137325">
              <w:rPr>
                <w:sz w:val="20"/>
              </w:rPr>
              <w:t xml:space="preserve">domestic </w:t>
            </w:r>
            <w:r w:rsidRPr="003052D5">
              <w:rPr>
                <w:sz w:val="20"/>
              </w:rPr>
              <w:t xml:space="preserve">RAC </w:t>
            </w:r>
            <w:r w:rsidR="003052D5">
              <w:rPr>
                <w:sz w:val="20"/>
              </w:rPr>
              <w:t xml:space="preserve">equipment </w:t>
            </w:r>
            <w:r w:rsidRPr="003052D5">
              <w:rPr>
                <w:sz w:val="20"/>
              </w:rPr>
              <w:t xml:space="preserve">going into landfill. </w:t>
            </w:r>
          </w:p>
          <w:p w:rsidR="004A1526" w:rsidRPr="003052D5" w:rsidRDefault="004A1526" w:rsidP="00746EAA">
            <w:pPr>
              <w:pStyle w:val="BulletText"/>
              <w:rPr>
                <w:sz w:val="20"/>
              </w:rPr>
            </w:pPr>
            <w:r w:rsidRPr="003052D5">
              <w:rPr>
                <w:sz w:val="20"/>
              </w:rPr>
              <w:t xml:space="preserve">Every retailer </w:t>
            </w:r>
            <w:r w:rsidR="00440636" w:rsidRPr="003052D5">
              <w:rPr>
                <w:sz w:val="20"/>
              </w:rPr>
              <w:t>must offer a take</w:t>
            </w:r>
            <w:r w:rsidR="0027130E">
              <w:rPr>
                <w:sz w:val="20"/>
              </w:rPr>
              <w:t xml:space="preserve"> </w:t>
            </w:r>
            <w:r w:rsidR="00440636" w:rsidRPr="003052D5">
              <w:rPr>
                <w:sz w:val="20"/>
              </w:rPr>
              <w:t>back scheme.</w:t>
            </w:r>
          </w:p>
          <w:p w:rsidR="00EB06E8" w:rsidRPr="003052D5" w:rsidRDefault="0027130E" w:rsidP="00676F5A">
            <w:pPr>
              <w:pStyle w:val="BulletText"/>
              <w:rPr>
                <w:sz w:val="20"/>
              </w:rPr>
            </w:pPr>
            <w:r>
              <w:rPr>
                <w:sz w:val="20"/>
              </w:rPr>
              <w:lastRenderedPageBreak/>
              <w:t>LGAs offer on-</w:t>
            </w:r>
            <w:r w:rsidR="004A1526" w:rsidRPr="003052D5">
              <w:rPr>
                <w:sz w:val="20"/>
              </w:rPr>
              <w:t xml:space="preserve">call </w:t>
            </w:r>
            <w:r w:rsidR="00676F5A">
              <w:rPr>
                <w:sz w:val="20"/>
              </w:rPr>
              <w:t>collections</w:t>
            </w:r>
            <w:r w:rsidR="004A1526" w:rsidRPr="003052D5">
              <w:rPr>
                <w:sz w:val="20"/>
              </w:rPr>
              <w:t xml:space="preserve"> (capped at two per year). </w:t>
            </w:r>
          </w:p>
        </w:tc>
      </w:tr>
      <w:tr w:rsidR="00EB06E8" w:rsidRPr="003052D5" w:rsidTr="00BC3EA4">
        <w:tc>
          <w:tcPr>
            <w:tcW w:w="1668" w:type="dxa"/>
            <w:shd w:val="clear" w:color="auto" w:fill="1F497D" w:themeFill="text2"/>
          </w:tcPr>
          <w:p w:rsidR="00EB06E8" w:rsidRPr="003052D5" w:rsidRDefault="00EB06E8" w:rsidP="00934094">
            <w:pPr>
              <w:pStyle w:val="BodyText"/>
              <w:rPr>
                <w:b/>
                <w:color w:val="FFFFFF" w:themeColor="background1"/>
                <w:sz w:val="20"/>
              </w:rPr>
            </w:pPr>
            <w:r w:rsidRPr="003052D5">
              <w:rPr>
                <w:b/>
                <w:color w:val="FFFFFF" w:themeColor="background1"/>
                <w:sz w:val="20"/>
              </w:rPr>
              <w:lastRenderedPageBreak/>
              <w:t>Management</w:t>
            </w:r>
          </w:p>
        </w:tc>
        <w:tc>
          <w:tcPr>
            <w:tcW w:w="7053" w:type="dxa"/>
          </w:tcPr>
          <w:p w:rsidR="00122F56" w:rsidRPr="003052D5" w:rsidRDefault="00122F56" w:rsidP="00746EAA">
            <w:pPr>
              <w:pStyle w:val="BulletText"/>
              <w:rPr>
                <w:sz w:val="20"/>
              </w:rPr>
            </w:pPr>
            <w:r w:rsidRPr="003052D5">
              <w:rPr>
                <w:sz w:val="20"/>
              </w:rPr>
              <w:t xml:space="preserve">Regulate the design of </w:t>
            </w:r>
            <w:r w:rsidR="00137325">
              <w:rPr>
                <w:sz w:val="20"/>
              </w:rPr>
              <w:t xml:space="preserve">domestic </w:t>
            </w:r>
            <w:r w:rsidRPr="003052D5">
              <w:rPr>
                <w:sz w:val="20"/>
              </w:rPr>
              <w:t xml:space="preserve">RAC equipment to comply with European Standards and to ban specific materials. </w:t>
            </w:r>
          </w:p>
          <w:p w:rsidR="00122F56" w:rsidRPr="003052D5" w:rsidRDefault="00122F56" w:rsidP="00746EAA">
            <w:pPr>
              <w:pStyle w:val="BulletText"/>
              <w:rPr>
                <w:sz w:val="20"/>
              </w:rPr>
            </w:pPr>
            <w:r w:rsidRPr="003052D5">
              <w:rPr>
                <w:sz w:val="20"/>
              </w:rPr>
              <w:t xml:space="preserve">Regulate the retailer take back schemes. </w:t>
            </w:r>
          </w:p>
          <w:p w:rsidR="00EB06E8" w:rsidRPr="003052D5" w:rsidRDefault="00122F56" w:rsidP="00746EAA">
            <w:pPr>
              <w:pStyle w:val="BulletText"/>
              <w:rPr>
                <w:sz w:val="20"/>
              </w:rPr>
            </w:pPr>
            <w:r w:rsidRPr="003052D5">
              <w:rPr>
                <w:sz w:val="20"/>
              </w:rPr>
              <w:t xml:space="preserve">Impose a ban on </w:t>
            </w:r>
            <w:r w:rsidR="00F052A8" w:rsidRPr="003052D5">
              <w:rPr>
                <w:sz w:val="20"/>
              </w:rPr>
              <w:t>end-of-life</w:t>
            </w:r>
            <w:r w:rsidR="00137325">
              <w:rPr>
                <w:sz w:val="20"/>
              </w:rPr>
              <w:t xml:space="preserve"> domestic</w:t>
            </w:r>
            <w:r w:rsidR="00F052A8" w:rsidRPr="003052D5">
              <w:rPr>
                <w:sz w:val="20"/>
              </w:rPr>
              <w:t xml:space="preserve"> </w:t>
            </w:r>
            <w:r w:rsidRPr="003052D5">
              <w:rPr>
                <w:sz w:val="20"/>
              </w:rPr>
              <w:t>RAC equipment entering landfill.</w:t>
            </w:r>
          </w:p>
        </w:tc>
      </w:tr>
      <w:tr w:rsidR="004A1526" w:rsidRPr="003052D5" w:rsidTr="00BC3EA4">
        <w:tc>
          <w:tcPr>
            <w:tcW w:w="1668" w:type="dxa"/>
            <w:shd w:val="clear" w:color="auto" w:fill="1F497D" w:themeFill="text2"/>
          </w:tcPr>
          <w:p w:rsidR="004A1526" w:rsidRPr="003052D5" w:rsidRDefault="00D82B54" w:rsidP="00AD54B5">
            <w:pPr>
              <w:pStyle w:val="BodyText"/>
              <w:rPr>
                <w:b/>
                <w:color w:val="FFFFFF" w:themeColor="background1"/>
                <w:sz w:val="20"/>
              </w:rPr>
            </w:pPr>
            <w:r w:rsidRPr="003052D5">
              <w:rPr>
                <w:b/>
                <w:color w:val="FFFFFF" w:themeColor="background1"/>
                <w:sz w:val="20"/>
              </w:rPr>
              <w:t>Outcomes</w:t>
            </w:r>
          </w:p>
        </w:tc>
        <w:tc>
          <w:tcPr>
            <w:tcW w:w="7053" w:type="dxa"/>
          </w:tcPr>
          <w:p w:rsidR="00D82B54" w:rsidRPr="003052D5" w:rsidRDefault="00D82B54" w:rsidP="00D82B54">
            <w:pPr>
              <w:pStyle w:val="BodyText"/>
              <w:rPr>
                <w:sz w:val="20"/>
              </w:rPr>
            </w:pPr>
            <w:r w:rsidRPr="003052D5">
              <w:rPr>
                <w:sz w:val="20"/>
              </w:rPr>
              <w:t xml:space="preserve">The expected outcomes of the mandatory scheme </w:t>
            </w:r>
            <w:r w:rsidR="00913369">
              <w:rPr>
                <w:sz w:val="20"/>
              </w:rPr>
              <w:t>relative to the status quo</w:t>
            </w:r>
            <w:r w:rsidR="00913369" w:rsidRPr="003052D5">
              <w:rPr>
                <w:sz w:val="20"/>
              </w:rPr>
              <w:t xml:space="preserve"> </w:t>
            </w:r>
            <w:r w:rsidRPr="003052D5">
              <w:rPr>
                <w:sz w:val="20"/>
              </w:rPr>
              <w:t>include:</w:t>
            </w:r>
          </w:p>
          <w:p w:rsidR="00D82B54" w:rsidRPr="003052D5" w:rsidRDefault="00D82B54" w:rsidP="00746EAA">
            <w:pPr>
              <w:pStyle w:val="BulletText"/>
              <w:rPr>
                <w:sz w:val="20"/>
              </w:rPr>
            </w:pPr>
            <w:r w:rsidRPr="003052D5">
              <w:rPr>
                <w:sz w:val="20"/>
              </w:rPr>
              <w:t xml:space="preserve">an increase in retailer take back schemes; </w:t>
            </w:r>
          </w:p>
          <w:p w:rsidR="00D82B54" w:rsidRPr="003052D5" w:rsidRDefault="00D82B54" w:rsidP="00746EAA">
            <w:pPr>
              <w:pStyle w:val="BulletText"/>
              <w:rPr>
                <w:sz w:val="20"/>
              </w:rPr>
            </w:pPr>
            <w:r w:rsidRPr="003052D5">
              <w:rPr>
                <w:sz w:val="20"/>
              </w:rPr>
              <w:t>a reduction in LGA collection of refrigerators;</w:t>
            </w:r>
          </w:p>
          <w:p w:rsidR="00D82B54" w:rsidRPr="003052D5" w:rsidRDefault="00D82B54" w:rsidP="00746EAA">
            <w:pPr>
              <w:pStyle w:val="BulletText"/>
              <w:rPr>
                <w:sz w:val="20"/>
              </w:rPr>
            </w:pPr>
            <w:r w:rsidRPr="003052D5">
              <w:rPr>
                <w:sz w:val="20"/>
              </w:rPr>
              <w:t>a reduction in scavenger collection of refrigerators for scrap metal;</w:t>
            </w:r>
          </w:p>
          <w:p w:rsidR="00D82B54" w:rsidRPr="003052D5" w:rsidRDefault="00D82B54" w:rsidP="00746EAA">
            <w:pPr>
              <w:pStyle w:val="BulletText"/>
              <w:rPr>
                <w:sz w:val="20"/>
              </w:rPr>
            </w:pPr>
            <w:r w:rsidRPr="003052D5">
              <w:rPr>
                <w:sz w:val="20"/>
              </w:rPr>
              <w:t xml:space="preserve">a reduction in the amount of shredder </w:t>
            </w:r>
            <w:proofErr w:type="spellStart"/>
            <w:r w:rsidRPr="003052D5">
              <w:rPr>
                <w:sz w:val="20"/>
              </w:rPr>
              <w:t>floc</w:t>
            </w:r>
            <w:proofErr w:type="spellEnd"/>
            <w:r w:rsidRPr="003052D5">
              <w:rPr>
                <w:sz w:val="20"/>
              </w:rPr>
              <w:t xml:space="preserve"> going to landfill;</w:t>
            </w:r>
          </w:p>
          <w:p w:rsidR="00D82B54" w:rsidRPr="003052D5" w:rsidRDefault="00D82B54" w:rsidP="00746EAA">
            <w:pPr>
              <w:pStyle w:val="BulletText"/>
              <w:rPr>
                <w:sz w:val="20"/>
              </w:rPr>
            </w:pPr>
            <w:r w:rsidRPr="003052D5">
              <w:rPr>
                <w:sz w:val="20"/>
              </w:rPr>
              <w:t xml:space="preserve">an increase in the recovery of plastics due to </w:t>
            </w:r>
            <w:r w:rsidR="00BC3EA4" w:rsidRPr="003052D5">
              <w:rPr>
                <w:sz w:val="20"/>
              </w:rPr>
              <w:t>disassembly</w:t>
            </w:r>
            <w:r w:rsidRPr="003052D5">
              <w:rPr>
                <w:sz w:val="20"/>
              </w:rPr>
              <w:t>;</w:t>
            </w:r>
          </w:p>
          <w:p w:rsidR="00D82B54" w:rsidRPr="003052D5" w:rsidRDefault="00D82B54" w:rsidP="00746EAA">
            <w:pPr>
              <w:pStyle w:val="BulletText"/>
              <w:rPr>
                <w:sz w:val="20"/>
              </w:rPr>
            </w:pPr>
            <w:r w:rsidRPr="003052D5">
              <w:rPr>
                <w:sz w:val="20"/>
              </w:rPr>
              <w:t>an increase in the volume of metals sold; and</w:t>
            </w:r>
          </w:p>
          <w:p w:rsidR="004A1526" w:rsidRPr="003052D5" w:rsidRDefault="00D82B54" w:rsidP="00746EAA">
            <w:pPr>
              <w:pStyle w:val="BulletText"/>
              <w:rPr>
                <w:sz w:val="20"/>
              </w:rPr>
            </w:pPr>
            <w:proofErr w:type="gramStart"/>
            <w:r w:rsidRPr="003052D5">
              <w:rPr>
                <w:sz w:val="20"/>
              </w:rPr>
              <w:t>an</w:t>
            </w:r>
            <w:proofErr w:type="gramEnd"/>
            <w:r w:rsidRPr="003052D5">
              <w:rPr>
                <w:sz w:val="20"/>
              </w:rPr>
              <w:t xml:space="preserve"> increase in refrigerant gas recovered for destruction and/or reuse.</w:t>
            </w:r>
          </w:p>
        </w:tc>
      </w:tr>
    </w:tbl>
    <w:p w:rsidR="0027130E" w:rsidRPr="00F16BDD" w:rsidRDefault="0027130E" w:rsidP="0027130E">
      <w:pPr>
        <w:pStyle w:val="Source"/>
      </w:pPr>
      <w:r w:rsidRPr="00F16BDD">
        <w:t xml:space="preserve">Source: </w:t>
      </w:r>
      <w:r>
        <w:tab/>
      </w:r>
      <w:r w:rsidR="00676F5A">
        <w:t>RAC Working Group</w:t>
      </w:r>
      <w:r w:rsidRPr="00445FE6">
        <w:t xml:space="preserve"> 2014, Feasibility of Product Stewardship for End-of-Life Domestic Refrigerators and Air Conditioners (Draft Options Paper), version 2, issued to KPMG in May 2014.</w:t>
      </w:r>
    </w:p>
    <w:p w:rsidR="00F16BDD" w:rsidRDefault="004350F5" w:rsidP="004350F5">
      <w:pPr>
        <w:pStyle w:val="BodyText"/>
      </w:pPr>
      <w:r>
        <w:t>The implications of this option on recovery of materials from refrigerators and air conditioners are illustrated in the diagrams that follow</w:t>
      </w:r>
      <w:r w:rsidR="00F268D2">
        <w:t xml:space="preserve"> and outlined in further detail in Appendix B</w:t>
      </w:r>
      <w:r>
        <w:t>.</w:t>
      </w:r>
    </w:p>
    <w:p w:rsidR="004A1526" w:rsidRPr="00977278" w:rsidRDefault="004350F5" w:rsidP="004350F5">
      <w:pPr>
        <w:pStyle w:val="Caption"/>
        <w:rPr>
          <w:sz w:val="18"/>
        </w:rPr>
      </w:pPr>
      <w:r>
        <w:t xml:space="preserve">Figure </w:t>
      </w:r>
      <w:r w:rsidR="00586F30">
        <w:fldChar w:fldCharType="begin"/>
      </w:r>
      <w:r w:rsidR="00341287">
        <w:instrText xml:space="preserve"> STYLEREF 1 \s </w:instrText>
      </w:r>
      <w:r w:rsidR="00586F30">
        <w:fldChar w:fldCharType="separate"/>
      </w:r>
      <w:r w:rsidR="001E5D7A">
        <w:rPr>
          <w:noProof/>
        </w:rPr>
        <w:t>3</w:t>
      </w:r>
      <w:r w:rsidR="00586F30">
        <w:fldChar w:fldCharType="end"/>
      </w:r>
      <w:r w:rsidR="00341287">
        <w:noBreakHyphen/>
      </w:r>
      <w:r w:rsidR="00586F30">
        <w:fldChar w:fldCharType="begin"/>
      </w:r>
      <w:r w:rsidR="00341287">
        <w:instrText xml:space="preserve"> SEQ Figure \* ARABIC \s 1 </w:instrText>
      </w:r>
      <w:r w:rsidR="00586F30">
        <w:fldChar w:fldCharType="separate"/>
      </w:r>
      <w:r w:rsidR="001E5D7A">
        <w:rPr>
          <w:noProof/>
        </w:rPr>
        <w:t>8</w:t>
      </w:r>
      <w:r w:rsidR="00586F30">
        <w:fldChar w:fldCharType="end"/>
      </w:r>
      <w:r>
        <w:t xml:space="preserve">: </w:t>
      </w:r>
      <w:r w:rsidR="004A1526">
        <w:rPr>
          <w:sz w:val="18"/>
        </w:rPr>
        <w:t xml:space="preserve">Recovery pathways for air conditioners, </w:t>
      </w:r>
      <w:r w:rsidR="00E00EE8">
        <w:rPr>
          <w:sz w:val="18"/>
        </w:rPr>
        <w:t>o</w:t>
      </w:r>
      <w:r w:rsidR="004A1526">
        <w:rPr>
          <w:sz w:val="18"/>
        </w:rPr>
        <w:t>ption 3</w:t>
      </w:r>
    </w:p>
    <w:p w:rsidR="004A1526" w:rsidRDefault="0027130E" w:rsidP="004A1526">
      <w:pPr>
        <w:pStyle w:val="BodyText"/>
      </w:pPr>
      <w:r w:rsidRPr="0027130E">
        <w:rPr>
          <w:noProof/>
          <w:lang w:eastAsia="en-AU"/>
        </w:rPr>
        <w:drawing>
          <wp:inline distT="0" distB="0" distL="0" distR="0">
            <wp:extent cx="5400675" cy="2260552"/>
            <wp:effectExtent l="19050" t="0" r="9525" b="0"/>
            <wp:docPr id="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srcRect/>
                    <a:stretch>
                      <a:fillRect/>
                    </a:stretch>
                  </pic:blipFill>
                  <pic:spPr bwMode="auto">
                    <a:xfrm>
                      <a:off x="0" y="0"/>
                      <a:ext cx="5400675" cy="2260552"/>
                    </a:xfrm>
                    <a:prstGeom prst="rect">
                      <a:avLst/>
                    </a:prstGeom>
                    <a:noFill/>
                    <a:ln w="9525">
                      <a:noFill/>
                      <a:miter lim="800000"/>
                      <a:headEnd/>
                      <a:tailEnd/>
                    </a:ln>
                  </pic:spPr>
                </pic:pic>
              </a:graphicData>
            </a:graphic>
          </wp:inline>
        </w:drawing>
      </w:r>
    </w:p>
    <w:p w:rsidR="0039339F" w:rsidRDefault="0039339F" w:rsidP="0039339F">
      <w:pPr>
        <w:pStyle w:val="Source"/>
        <w:rPr>
          <w:i/>
        </w:rPr>
      </w:pPr>
      <w:r>
        <w:rPr>
          <w:i/>
        </w:rPr>
        <w:t>NOTE: Shaded boxes represent a shift from the status quo.</w:t>
      </w:r>
    </w:p>
    <w:p w:rsidR="0027130E" w:rsidRDefault="0027130E" w:rsidP="0027130E">
      <w:pPr>
        <w:pStyle w:val="Source"/>
        <w:rPr>
          <w:i/>
        </w:rPr>
      </w:pPr>
      <w:r w:rsidRPr="00F16BDD">
        <w:rPr>
          <w:i/>
        </w:rPr>
        <w:t xml:space="preserve">Source: Department </w:t>
      </w:r>
      <w:r>
        <w:rPr>
          <w:i/>
        </w:rPr>
        <w:t>of the Environment</w:t>
      </w:r>
      <w:r w:rsidRPr="00F16BDD">
        <w:rPr>
          <w:i/>
        </w:rPr>
        <w:t xml:space="preserve"> </w:t>
      </w:r>
      <w:r>
        <w:rPr>
          <w:i/>
        </w:rPr>
        <w:t xml:space="preserve">and industry consultation </w:t>
      </w:r>
    </w:p>
    <w:p w:rsidR="004A1526" w:rsidRPr="00977278" w:rsidRDefault="004350F5" w:rsidP="004350F5">
      <w:pPr>
        <w:pStyle w:val="Caption"/>
        <w:rPr>
          <w:sz w:val="18"/>
        </w:rPr>
      </w:pPr>
      <w:r>
        <w:lastRenderedPageBreak/>
        <w:t xml:space="preserve">Figure </w:t>
      </w:r>
      <w:r w:rsidR="00586F30">
        <w:fldChar w:fldCharType="begin"/>
      </w:r>
      <w:r w:rsidR="00341287">
        <w:instrText xml:space="preserve"> STYLEREF 1 \s </w:instrText>
      </w:r>
      <w:r w:rsidR="00586F30">
        <w:fldChar w:fldCharType="separate"/>
      </w:r>
      <w:r w:rsidR="001E5D7A">
        <w:rPr>
          <w:noProof/>
        </w:rPr>
        <w:t>3</w:t>
      </w:r>
      <w:r w:rsidR="00586F30">
        <w:fldChar w:fldCharType="end"/>
      </w:r>
      <w:r w:rsidR="00341287">
        <w:noBreakHyphen/>
      </w:r>
      <w:r w:rsidR="00586F30">
        <w:fldChar w:fldCharType="begin"/>
      </w:r>
      <w:r w:rsidR="00341287">
        <w:instrText xml:space="preserve"> SEQ Figure \* ARABIC \s 1 </w:instrText>
      </w:r>
      <w:r w:rsidR="00586F30">
        <w:fldChar w:fldCharType="separate"/>
      </w:r>
      <w:r w:rsidR="001E5D7A">
        <w:rPr>
          <w:noProof/>
        </w:rPr>
        <w:t>9</w:t>
      </w:r>
      <w:r w:rsidR="00586F30">
        <w:fldChar w:fldCharType="end"/>
      </w:r>
      <w:r>
        <w:t xml:space="preserve">: </w:t>
      </w:r>
      <w:r w:rsidR="004A1526">
        <w:rPr>
          <w:sz w:val="18"/>
        </w:rPr>
        <w:t xml:space="preserve">Recovery pathways for refrigerators, </w:t>
      </w:r>
      <w:r w:rsidR="0027130E">
        <w:rPr>
          <w:sz w:val="18"/>
        </w:rPr>
        <w:t>o</w:t>
      </w:r>
      <w:r w:rsidR="004A1526">
        <w:rPr>
          <w:sz w:val="18"/>
        </w:rPr>
        <w:t>ption 3</w:t>
      </w:r>
    </w:p>
    <w:p w:rsidR="004A1526" w:rsidRDefault="0027130E" w:rsidP="004A1526">
      <w:pPr>
        <w:pStyle w:val="BodyText"/>
      </w:pPr>
      <w:r w:rsidRPr="0027130E">
        <w:rPr>
          <w:noProof/>
          <w:lang w:eastAsia="en-AU"/>
        </w:rPr>
        <w:drawing>
          <wp:inline distT="0" distB="0" distL="0" distR="0">
            <wp:extent cx="5400675" cy="2309393"/>
            <wp:effectExtent l="19050" t="0" r="9525" b="0"/>
            <wp:docPr id="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srcRect/>
                    <a:stretch>
                      <a:fillRect/>
                    </a:stretch>
                  </pic:blipFill>
                  <pic:spPr bwMode="auto">
                    <a:xfrm>
                      <a:off x="0" y="0"/>
                      <a:ext cx="5400675" cy="2309393"/>
                    </a:xfrm>
                    <a:prstGeom prst="rect">
                      <a:avLst/>
                    </a:prstGeom>
                    <a:noFill/>
                    <a:ln w="9525">
                      <a:noFill/>
                      <a:miter lim="800000"/>
                      <a:headEnd/>
                      <a:tailEnd/>
                    </a:ln>
                  </pic:spPr>
                </pic:pic>
              </a:graphicData>
            </a:graphic>
          </wp:inline>
        </w:drawing>
      </w:r>
    </w:p>
    <w:p w:rsidR="0039339F" w:rsidRDefault="0039339F" w:rsidP="0039339F">
      <w:pPr>
        <w:pStyle w:val="Source"/>
        <w:rPr>
          <w:i/>
        </w:rPr>
      </w:pPr>
      <w:r>
        <w:rPr>
          <w:i/>
        </w:rPr>
        <w:t>NOTE: Shaded boxes represent a shift from the status quo.</w:t>
      </w:r>
    </w:p>
    <w:p w:rsidR="0027130E" w:rsidRDefault="0027130E" w:rsidP="0027130E">
      <w:pPr>
        <w:pStyle w:val="Source"/>
        <w:rPr>
          <w:i/>
        </w:rPr>
      </w:pPr>
      <w:r w:rsidRPr="00F16BDD">
        <w:rPr>
          <w:i/>
        </w:rPr>
        <w:t xml:space="preserve">Source: Department </w:t>
      </w:r>
      <w:r>
        <w:rPr>
          <w:i/>
        </w:rPr>
        <w:t>of the Environment</w:t>
      </w:r>
      <w:r w:rsidRPr="00F16BDD">
        <w:rPr>
          <w:i/>
        </w:rPr>
        <w:t xml:space="preserve"> </w:t>
      </w:r>
      <w:r>
        <w:rPr>
          <w:i/>
        </w:rPr>
        <w:t xml:space="preserve">and industry consultation </w:t>
      </w:r>
    </w:p>
    <w:p w:rsidR="002C17DA" w:rsidRDefault="002C17DA" w:rsidP="00095D47">
      <w:pPr>
        <w:pStyle w:val="Source"/>
        <w:rPr>
          <w:i/>
        </w:rPr>
        <w:sectPr w:rsidR="002C17DA" w:rsidSect="009A18BC">
          <w:pgSz w:w="11907" w:h="16840" w:code="9"/>
          <w:pgMar w:top="2835" w:right="1474" w:bottom="1588" w:left="1474" w:header="1077" w:footer="1304" w:gutter="454"/>
          <w:cols w:space="737"/>
        </w:sectPr>
      </w:pPr>
    </w:p>
    <w:p w:rsidR="0014680E" w:rsidRDefault="00AD54B5" w:rsidP="00DF2C71">
      <w:pPr>
        <w:pStyle w:val="Heading1"/>
      </w:pPr>
      <w:bookmarkStart w:id="33" w:name="_Toc403647586"/>
      <w:r>
        <w:lastRenderedPageBreak/>
        <w:t xml:space="preserve">Identification and Quantification of </w:t>
      </w:r>
      <w:r w:rsidR="0014680E">
        <w:t>Costs and Benefits</w:t>
      </w:r>
      <w:bookmarkEnd w:id="33"/>
    </w:p>
    <w:p w:rsidR="00101677" w:rsidRDefault="00586F30" w:rsidP="004A1526">
      <w:pPr>
        <w:pStyle w:val="BodyText"/>
      </w:pPr>
      <w:r>
        <w:fldChar w:fldCharType="begin"/>
      </w:r>
      <w:r w:rsidR="00101677">
        <w:instrText xml:space="preserve"> REF _Ref391024006 \h </w:instrText>
      </w:r>
      <w:r>
        <w:fldChar w:fldCharType="separate"/>
      </w:r>
      <w:r w:rsidR="001E5D7A">
        <w:t xml:space="preserve">Table </w:t>
      </w:r>
      <w:r w:rsidR="001E5D7A">
        <w:rPr>
          <w:noProof/>
        </w:rPr>
        <w:t>4</w:t>
      </w:r>
      <w:r w:rsidR="001E5D7A">
        <w:noBreakHyphen/>
      </w:r>
      <w:r w:rsidR="001E5D7A">
        <w:rPr>
          <w:noProof/>
        </w:rPr>
        <w:t>1</w:t>
      </w:r>
      <w:r>
        <w:fldChar w:fldCharType="end"/>
      </w:r>
      <w:r w:rsidR="00101677">
        <w:t xml:space="preserve"> identifies the costs and benefits use</w:t>
      </w:r>
      <w:r w:rsidR="00D6221F">
        <w:t>d</w:t>
      </w:r>
      <w:r w:rsidR="00101677">
        <w:t xml:space="preserve"> in the economic appraisal.</w:t>
      </w:r>
      <w:r w:rsidR="002C17DA">
        <w:t xml:space="preserve"> Economic costs and benefits were quantified where market values were available. Other economic costs and benefits were discussed qualitatively.</w:t>
      </w:r>
    </w:p>
    <w:p w:rsidR="00101677" w:rsidRDefault="00101677" w:rsidP="00101677">
      <w:pPr>
        <w:pStyle w:val="Caption"/>
      </w:pPr>
      <w:bookmarkStart w:id="34" w:name="_Ref391024006"/>
      <w:bookmarkStart w:id="35" w:name="_Ref391024001"/>
      <w:r>
        <w:t xml:space="preserve">Table </w:t>
      </w:r>
      <w:r w:rsidR="00586F30">
        <w:fldChar w:fldCharType="begin"/>
      </w:r>
      <w:r w:rsidR="00C478AE">
        <w:instrText xml:space="preserve"> STYLEREF 1 \s </w:instrText>
      </w:r>
      <w:r w:rsidR="00586F30">
        <w:fldChar w:fldCharType="separate"/>
      </w:r>
      <w:r w:rsidR="001E5D7A">
        <w:rPr>
          <w:noProof/>
        </w:rPr>
        <w:t>4</w:t>
      </w:r>
      <w:r w:rsidR="00586F30">
        <w:rPr>
          <w:noProof/>
        </w:rPr>
        <w:fldChar w:fldCharType="end"/>
      </w:r>
      <w:r w:rsidR="00CE3BAC">
        <w:noBreakHyphen/>
      </w:r>
      <w:r w:rsidR="00586F30">
        <w:fldChar w:fldCharType="begin"/>
      </w:r>
      <w:r w:rsidR="00C478AE">
        <w:instrText xml:space="preserve"> SEQ Table \* ARABIC \s 1 </w:instrText>
      </w:r>
      <w:r w:rsidR="00586F30">
        <w:fldChar w:fldCharType="separate"/>
      </w:r>
      <w:r w:rsidR="001E5D7A">
        <w:rPr>
          <w:noProof/>
        </w:rPr>
        <w:t>1</w:t>
      </w:r>
      <w:r w:rsidR="00586F30">
        <w:rPr>
          <w:noProof/>
        </w:rPr>
        <w:fldChar w:fldCharType="end"/>
      </w:r>
      <w:bookmarkEnd w:id="34"/>
      <w:r>
        <w:t>: Costs and benefits of product stewardship options</w:t>
      </w:r>
      <w:bookmarkEnd w:id="35"/>
    </w:p>
    <w:tbl>
      <w:tblPr>
        <w:tblStyle w:val="TableGrid"/>
        <w:tblW w:w="0" w:type="auto"/>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ayout w:type="fixed"/>
        <w:tblLook w:val="04A0"/>
      </w:tblPr>
      <w:tblGrid>
        <w:gridCol w:w="2235"/>
        <w:gridCol w:w="5386"/>
        <w:gridCol w:w="1418"/>
        <w:gridCol w:w="1275"/>
        <w:gridCol w:w="2268"/>
      </w:tblGrid>
      <w:tr w:rsidR="00594660" w:rsidRPr="002C17DA" w:rsidTr="00DA6B3F">
        <w:trPr>
          <w:tblHeader/>
        </w:trPr>
        <w:tc>
          <w:tcPr>
            <w:tcW w:w="2235" w:type="dxa"/>
            <w:shd w:val="clear" w:color="auto" w:fill="1F497D" w:themeFill="text2"/>
          </w:tcPr>
          <w:p w:rsidR="00594660" w:rsidRPr="002C17DA" w:rsidRDefault="00594660" w:rsidP="00DA6B3F">
            <w:pPr>
              <w:pStyle w:val="BodyText"/>
              <w:jc w:val="left"/>
              <w:rPr>
                <w:b/>
                <w:color w:val="FFFFFF" w:themeColor="background1"/>
                <w:sz w:val="20"/>
              </w:rPr>
            </w:pPr>
            <w:r w:rsidRPr="00E10441">
              <w:rPr>
                <w:b/>
                <w:color w:val="FFFFFF" w:themeColor="background1"/>
                <w:sz w:val="20"/>
              </w:rPr>
              <w:t>Cost/Benefit</w:t>
            </w:r>
          </w:p>
        </w:tc>
        <w:tc>
          <w:tcPr>
            <w:tcW w:w="5386" w:type="dxa"/>
            <w:shd w:val="clear" w:color="auto" w:fill="1F497D" w:themeFill="text2"/>
          </w:tcPr>
          <w:p w:rsidR="00594660" w:rsidRPr="002C17DA" w:rsidRDefault="00594660" w:rsidP="00DA6B3F">
            <w:pPr>
              <w:pStyle w:val="BodyText"/>
              <w:jc w:val="left"/>
              <w:rPr>
                <w:b/>
                <w:color w:val="FFFFFF" w:themeColor="background1"/>
                <w:sz w:val="20"/>
              </w:rPr>
            </w:pPr>
            <w:r w:rsidRPr="00E10441">
              <w:rPr>
                <w:b/>
                <w:color w:val="FFFFFF" w:themeColor="background1"/>
                <w:sz w:val="20"/>
              </w:rPr>
              <w:t>Description</w:t>
            </w:r>
          </w:p>
        </w:tc>
        <w:tc>
          <w:tcPr>
            <w:tcW w:w="1418" w:type="dxa"/>
            <w:shd w:val="clear" w:color="auto" w:fill="1F497D" w:themeFill="text2"/>
          </w:tcPr>
          <w:p w:rsidR="00594660" w:rsidRPr="002C17DA" w:rsidRDefault="00594660" w:rsidP="00DA6B3F">
            <w:pPr>
              <w:pStyle w:val="BodyText"/>
              <w:jc w:val="right"/>
              <w:rPr>
                <w:b/>
                <w:color w:val="FFFFFF" w:themeColor="background1"/>
                <w:sz w:val="20"/>
              </w:rPr>
            </w:pPr>
            <w:r w:rsidRPr="00E10441">
              <w:rPr>
                <w:b/>
                <w:color w:val="FFFFFF" w:themeColor="background1"/>
                <w:sz w:val="20"/>
              </w:rPr>
              <w:t>Bearer/</w:t>
            </w:r>
            <w:r w:rsidRPr="002C17DA">
              <w:rPr>
                <w:b/>
                <w:color w:val="FFFFFF" w:themeColor="background1"/>
                <w:sz w:val="20"/>
              </w:rPr>
              <w:t xml:space="preserve"> </w:t>
            </w:r>
            <w:r w:rsidRPr="00E10441">
              <w:rPr>
                <w:b/>
                <w:color w:val="FFFFFF" w:themeColor="background1"/>
                <w:sz w:val="20"/>
              </w:rPr>
              <w:t>Beneficiary</w:t>
            </w:r>
          </w:p>
        </w:tc>
        <w:tc>
          <w:tcPr>
            <w:tcW w:w="1275" w:type="dxa"/>
            <w:shd w:val="clear" w:color="auto" w:fill="1F497D" w:themeFill="text2"/>
          </w:tcPr>
          <w:p w:rsidR="00594660" w:rsidRPr="002C17DA" w:rsidRDefault="00594660" w:rsidP="00DA6B3F">
            <w:pPr>
              <w:pStyle w:val="BodyText"/>
              <w:jc w:val="right"/>
              <w:rPr>
                <w:b/>
                <w:color w:val="FFFFFF" w:themeColor="background1"/>
                <w:sz w:val="20"/>
              </w:rPr>
            </w:pPr>
            <w:r w:rsidRPr="00E10441">
              <w:rPr>
                <w:b/>
                <w:color w:val="FFFFFF" w:themeColor="background1"/>
                <w:sz w:val="20"/>
              </w:rPr>
              <w:t>Quantified</w:t>
            </w:r>
          </w:p>
        </w:tc>
        <w:tc>
          <w:tcPr>
            <w:tcW w:w="2268" w:type="dxa"/>
            <w:shd w:val="clear" w:color="auto" w:fill="1F497D" w:themeFill="text2"/>
          </w:tcPr>
          <w:p w:rsidR="00594660" w:rsidRPr="002C17DA" w:rsidRDefault="00594660" w:rsidP="00DA6B3F">
            <w:pPr>
              <w:pStyle w:val="BodyText"/>
              <w:jc w:val="right"/>
              <w:rPr>
                <w:b/>
                <w:color w:val="FFFFFF" w:themeColor="background1"/>
                <w:sz w:val="20"/>
              </w:rPr>
            </w:pPr>
            <w:r w:rsidRPr="002C17DA">
              <w:rPr>
                <w:b/>
                <w:color w:val="FFFFFF" w:themeColor="background1"/>
                <w:sz w:val="20"/>
              </w:rPr>
              <w:t>Source of information</w:t>
            </w:r>
          </w:p>
        </w:tc>
      </w:tr>
      <w:tr w:rsidR="00594660" w:rsidRPr="002C17DA" w:rsidTr="00DA6B3F">
        <w:tc>
          <w:tcPr>
            <w:tcW w:w="12582" w:type="dxa"/>
            <w:gridSpan w:val="5"/>
            <w:shd w:val="clear" w:color="auto" w:fill="C6D9F1" w:themeFill="text2" w:themeFillTint="33"/>
            <w:vAlign w:val="center"/>
          </w:tcPr>
          <w:p w:rsidR="00594660" w:rsidRPr="002C17DA" w:rsidRDefault="00594660" w:rsidP="00DA6B3F">
            <w:pPr>
              <w:pStyle w:val="BodyText"/>
              <w:jc w:val="left"/>
              <w:rPr>
                <w:b/>
                <w:sz w:val="20"/>
              </w:rPr>
            </w:pPr>
            <w:r w:rsidRPr="00E10441">
              <w:rPr>
                <w:b/>
                <w:sz w:val="20"/>
              </w:rPr>
              <w:t>Costs:</w:t>
            </w:r>
          </w:p>
        </w:tc>
      </w:tr>
      <w:tr w:rsidR="00594660" w:rsidRPr="002C17DA" w:rsidTr="00DA6B3F">
        <w:tc>
          <w:tcPr>
            <w:tcW w:w="2235" w:type="dxa"/>
          </w:tcPr>
          <w:p w:rsidR="00594660" w:rsidRDefault="00594660" w:rsidP="00DA6B3F">
            <w:pPr>
              <w:pStyle w:val="BodyText"/>
              <w:spacing w:before="60" w:after="60"/>
              <w:jc w:val="left"/>
              <w:rPr>
                <w:sz w:val="20"/>
              </w:rPr>
            </w:pPr>
            <w:r w:rsidRPr="00E10441">
              <w:rPr>
                <w:sz w:val="20"/>
              </w:rPr>
              <w:t>Cost of regulatory compliance</w:t>
            </w:r>
            <w:r w:rsidRPr="002C17DA">
              <w:rPr>
                <w:sz w:val="20"/>
              </w:rPr>
              <w:t xml:space="preserve"> </w:t>
            </w:r>
          </w:p>
        </w:tc>
        <w:tc>
          <w:tcPr>
            <w:tcW w:w="5386" w:type="dxa"/>
          </w:tcPr>
          <w:p w:rsidR="00594660" w:rsidRDefault="00594660" w:rsidP="00DA6B3F">
            <w:pPr>
              <w:pStyle w:val="BodyText"/>
              <w:spacing w:before="60" w:after="60"/>
              <w:jc w:val="left"/>
              <w:rPr>
                <w:sz w:val="20"/>
              </w:rPr>
            </w:pPr>
            <w:r w:rsidRPr="00E10441">
              <w:rPr>
                <w:sz w:val="20"/>
              </w:rPr>
              <w:t>Under each of the proposed schemes there will be a cost associated with ensuring compliance with the scheme.  Costs will include establishment of the accreditation system and ongoing monitoring. The costs of compliance vary depending on the specific requirements of the option</w:t>
            </w:r>
            <w:r>
              <w:rPr>
                <w:sz w:val="20"/>
              </w:rPr>
              <w:t xml:space="preserve"> and the number of participants</w:t>
            </w:r>
            <w:r w:rsidRPr="00E10441">
              <w:rPr>
                <w:sz w:val="20"/>
              </w:rPr>
              <w:t xml:space="preserve">. </w:t>
            </w:r>
          </w:p>
        </w:tc>
        <w:tc>
          <w:tcPr>
            <w:tcW w:w="1418" w:type="dxa"/>
          </w:tcPr>
          <w:p w:rsidR="00594660" w:rsidRDefault="00594660" w:rsidP="00DA6B3F">
            <w:pPr>
              <w:pStyle w:val="BodyText"/>
              <w:spacing w:before="60" w:after="60"/>
              <w:jc w:val="right"/>
              <w:rPr>
                <w:sz w:val="20"/>
              </w:rPr>
            </w:pPr>
            <w:r w:rsidRPr="00E10441">
              <w:rPr>
                <w:sz w:val="20"/>
              </w:rPr>
              <w:t>Government, Industry</w:t>
            </w:r>
          </w:p>
        </w:tc>
        <w:tc>
          <w:tcPr>
            <w:tcW w:w="1275" w:type="dxa"/>
          </w:tcPr>
          <w:p w:rsidR="00594660" w:rsidRDefault="00594660" w:rsidP="00DA6B3F">
            <w:pPr>
              <w:pStyle w:val="BodyText"/>
              <w:spacing w:before="60" w:after="60"/>
              <w:jc w:val="right"/>
              <w:rPr>
                <w:sz w:val="20"/>
              </w:rPr>
            </w:pPr>
            <w:r w:rsidRPr="00E10441">
              <w:rPr>
                <w:sz w:val="20"/>
              </w:rPr>
              <w:t>Yes</w:t>
            </w:r>
          </w:p>
        </w:tc>
        <w:tc>
          <w:tcPr>
            <w:tcW w:w="2268" w:type="dxa"/>
          </w:tcPr>
          <w:p w:rsidR="00594660" w:rsidRDefault="00594660" w:rsidP="00DA6B3F">
            <w:pPr>
              <w:pStyle w:val="BodyText"/>
              <w:spacing w:before="60" w:after="60"/>
              <w:jc w:val="right"/>
              <w:rPr>
                <w:sz w:val="20"/>
              </w:rPr>
            </w:pPr>
            <w:r w:rsidRPr="002C17DA">
              <w:rPr>
                <w:sz w:val="20"/>
              </w:rPr>
              <w:t>Department of the Environment</w:t>
            </w:r>
          </w:p>
          <w:p w:rsidR="00594660" w:rsidRDefault="00594660" w:rsidP="00DA6B3F">
            <w:pPr>
              <w:pStyle w:val="BodyText"/>
              <w:spacing w:before="60" w:after="60"/>
              <w:jc w:val="right"/>
              <w:rPr>
                <w:sz w:val="20"/>
              </w:rPr>
            </w:pPr>
            <w:r w:rsidRPr="002C17DA">
              <w:rPr>
                <w:sz w:val="20"/>
              </w:rPr>
              <w:t>Industry Consultation</w:t>
            </w:r>
          </w:p>
        </w:tc>
      </w:tr>
      <w:tr w:rsidR="00594660" w:rsidRPr="002C17DA" w:rsidTr="00DA6B3F">
        <w:tc>
          <w:tcPr>
            <w:tcW w:w="2235" w:type="dxa"/>
          </w:tcPr>
          <w:p w:rsidR="00594660" w:rsidRDefault="00594660" w:rsidP="00DA6B3F">
            <w:pPr>
              <w:pStyle w:val="BodyText"/>
              <w:spacing w:before="60" w:after="60"/>
              <w:jc w:val="left"/>
              <w:rPr>
                <w:sz w:val="20"/>
              </w:rPr>
            </w:pPr>
            <w:r w:rsidRPr="00E10441">
              <w:rPr>
                <w:sz w:val="20"/>
              </w:rPr>
              <w:t>Cost of additional recovery activities (e.g. retailer take back schemes)</w:t>
            </w:r>
          </w:p>
        </w:tc>
        <w:tc>
          <w:tcPr>
            <w:tcW w:w="5386" w:type="dxa"/>
          </w:tcPr>
          <w:p w:rsidR="00594660" w:rsidRDefault="00594660" w:rsidP="00DA6B3F">
            <w:pPr>
              <w:pStyle w:val="BodyText"/>
              <w:spacing w:before="60" w:after="60"/>
              <w:jc w:val="left"/>
              <w:rPr>
                <w:sz w:val="20"/>
              </w:rPr>
            </w:pPr>
            <w:r w:rsidRPr="00E10441">
              <w:rPr>
                <w:sz w:val="20"/>
              </w:rPr>
              <w:t>As the disposal of RAC equipment becomes more regulated, the</w:t>
            </w:r>
            <w:r w:rsidRPr="002C17DA">
              <w:rPr>
                <w:sz w:val="20"/>
              </w:rPr>
              <w:t xml:space="preserve"> </w:t>
            </w:r>
            <w:r>
              <w:rPr>
                <w:sz w:val="20"/>
              </w:rPr>
              <w:t>proportion</w:t>
            </w:r>
            <w:r w:rsidRPr="002C17DA">
              <w:rPr>
                <w:sz w:val="20"/>
              </w:rPr>
              <w:t xml:space="preserve"> of </w:t>
            </w:r>
            <w:r>
              <w:rPr>
                <w:sz w:val="20"/>
              </w:rPr>
              <w:t>materials</w:t>
            </w:r>
            <w:r w:rsidRPr="002C17DA">
              <w:rPr>
                <w:sz w:val="20"/>
              </w:rPr>
              <w:t xml:space="preserve"> recovered </w:t>
            </w:r>
            <w:r>
              <w:rPr>
                <w:sz w:val="20"/>
              </w:rPr>
              <w:t xml:space="preserve">for recycling </w:t>
            </w:r>
            <w:r w:rsidRPr="002C17DA">
              <w:rPr>
                <w:sz w:val="20"/>
              </w:rPr>
              <w:t xml:space="preserve">increases. There is a cost associated </w:t>
            </w:r>
            <w:r>
              <w:rPr>
                <w:sz w:val="20"/>
              </w:rPr>
              <w:t>with</w:t>
            </w:r>
            <w:r w:rsidRPr="002C17DA">
              <w:rPr>
                <w:sz w:val="20"/>
              </w:rPr>
              <w:t xml:space="preserve"> recovering </w:t>
            </w:r>
            <w:r>
              <w:rPr>
                <w:sz w:val="20"/>
              </w:rPr>
              <w:t>refrigerant gas, metals and plastics</w:t>
            </w:r>
            <w:r w:rsidRPr="002C17DA">
              <w:rPr>
                <w:sz w:val="20"/>
              </w:rPr>
              <w:t xml:space="preserve"> including </w:t>
            </w:r>
            <w:r w:rsidRPr="00E10441">
              <w:rPr>
                <w:sz w:val="20"/>
              </w:rPr>
              <w:t>costs associated with transportation, disassembly and degassing.</w:t>
            </w:r>
          </w:p>
        </w:tc>
        <w:tc>
          <w:tcPr>
            <w:tcW w:w="1418" w:type="dxa"/>
          </w:tcPr>
          <w:p w:rsidR="00594660" w:rsidRDefault="00594660" w:rsidP="00DA6B3F">
            <w:pPr>
              <w:pStyle w:val="BodyText"/>
              <w:spacing w:before="60" w:after="60"/>
              <w:jc w:val="right"/>
              <w:rPr>
                <w:sz w:val="20"/>
              </w:rPr>
            </w:pPr>
            <w:r w:rsidRPr="00E10441">
              <w:rPr>
                <w:sz w:val="20"/>
              </w:rPr>
              <w:t>Industry</w:t>
            </w:r>
          </w:p>
        </w:tc>
        <w:tc>
          <w:tcPr>
            <w:tcW w:w="1275" w:type="dxa"/>
          </w:tcPr>
          <w:p w:rsidR="00594660" w:rsidRDefault="00594660" w:rsidP="00DA6B3F">
            <w:pPr>
              <w:pStyle w:val="BodyText"/>
              <w:spacing w:before="60" w:after="60"/>
              <w:jc w:val="right"/>
              <w:rPr>
                <w:sz w:val="20"/>
              </w:rPr>
            </w:pPr>
            <w:r w:rsidRPr="00E10441">
              <w:rPr>
                <w:sz w:val="20"/>
              </w:rPr>
              <w:t>Yes</w:t>
            </w:r>
          </w:p>
        </w:tc>
        <w:tc>
          <w:tcPr>
            <w:tcW w:w="2268" w:type="dxa"/>
          </w:tcPr>
          <w:p w:rsidR="00594660" w:rsidRDefault="00594660" w:rsidP="00DA6B3F">
            <w:pPr>
              <w:pStyle w:val="BodyText"/>
              <w:spacing w:before="60" w:after="60"/>
              <w:jc w:val="right"/>
              <w:rPr>
                <w:sz w:val="20"/>
              </w:rPr>
            </w:pPr>
            <w:r w:rsidRPr="002C17DA">
              <w:rPr>
                <w:sz w:val="20"/>
              </w:rPr>
              <w:t>Industry Consultation</w:t>
            </w:r>
          </w:p>
        </w:tc>
      </w:tr>
      <w:tr w:rsidR="00594660" w:rsidRPr="002C17DA" w:rsidTr="00DA6B3F">
        <w:tc>
          <w:tcPr>
            <w:tcW w:w="10314" w:type="dxa"/>
            <w:gridSpan w:val="4"/>
            <w:shd w:val="clear" w:color="auto" w:fill="C6D9F1" w:themeFill="text2" w:themeFillTint="33"/>
            <w:vAlign w:val="center"/>
          </w:tcPr>
          <w:p w:rsidR="00594660" w:rsidRPr="002C17DA" w:rsidRDefault="00594660" w:rsidP="00DA6B3F">
            <w:pPr>
              <w:pStyle w:val="BodyText"/>
              <w:jc w:val="left"/>
              <w:rPr>
                <w:sz w:val="20"/>
              </w:rPr>
            </w:pPr>
            <w:r w:rsidRPr="00E10441">
              <w:rPr>
                <w:b/>
                <w:sz w:val="20"/>
              </w:rPr>
              <w:t>Benefits:</w:t>
            </w:r>
          </w:p>
        </w:tc>
        <w:tc>
          <w:tcPr>
            <w:tcW w:w="2268" w:type="dxa"/>
            <w:shd w:val="clear" w:color="auto" w:fill="C6D9F1" w:themeFill="text2" w:themeFillTint="33"/>
          </w:tcPr>
          <w:p w:rsidR="00594660" w:rsidRPr="002C17DA" w:rsidRDefault="00594660" w:rsidP="00DA6B3F">
            <w:pPr>
              <w:pStyle w:val="BodyText"/>
              <w:jc w:val="left"/>
              <w:rPr>
                <w:b/>
                <w:sz w:val="20"/>
              </w:rPr>
            </w:pPr>
          </w:p>
        </w:tc>
      </w:tr>
      <w:tr w:rsidR="00594660" w:rsidRPr="002C17DA" w:rsidTr="00DA6B3F">
        <w:tc>
          <w:tcPr>
            <w:tcW w:w="2235" w:type="dxa"/>
          </w:tcPr>
          <w:p w:rsidR="00594660" w:rsidRDefault="00594660" w:rsidP="00DA6B3F">
            <w:pPr>
              <w:pStyle w:val="BodyText"/>
              <w:spacing w:before="60" w:after="60"/>
              <w:jc w:val="left"/>
              <w:rPr>
                <w:sz w:val="20"/>
              </w:rPr>
            </w:pPr>
            <w:r w:rsidRPr="00E10441">
              <w:rPr>
                <w:sz w:val="20"/>
              </w:rPr>
              <w:t>Reduction in landfill and associated waste management costs</w:t>
            </w:r>
            <w:r w:rsidRPr="002C17DA">
              <w:rPr>
                <w:sz w:val="20"/>
              </w:rPr>
              <w:t xml:space="preserve"> and environmental externalities.</w:t>
            </w:r>
          </w:p>
        </w:tc>
        <w:tc>
          <w:tcPr>
            <w:tcW w:w="5386" w:type="dxa"/>
          </w:tcPr>
          <w:p w:rsidR="00594660" w:rsidRDefault="00594660" w:rsidP="00DA6B3F">
            <w:pPr>
              <w:pStyle w:val="BodyText"/>
              <w:spacing w:before="60" w:after="60"/>
              <w:jc w:val="left"/>
              <w:rPr>
                <w:sz w:val="20"/>
              </w:rPr>
            </w:pPr>
            <w:r>
              <w:rPr>
                <w:sz w:val="20"/>
              </w:rPr>
              <w:t>T</w:t>
            </w:r>
            <w:r w:rsidRPr="00E10441">
              <w:rPr>
                <w:sz w:val="20"/>
              </w:rPr>
              <w:t xml:space="preserve">he proposed product stewardship options aim to reduce the volume of waste </w:t>
            </w:r>
            <w:r>
              <w:rPr>
                <w:sz w:val="20"/>
              </w:rPr>
              <w:t>sent to</w:t>
            </w:r>
            <w:r w:rsidRPr="00E10441">
              <w:rPr>
                <w:sz w:val="20"/>
              </w:rPr>
              <w:t xml:space="preserve"> landfill.  This reduction ranges from 7.5 per cent under the voluntary scheme to 70 per cent under the mandatory scheme.  There are significant savings associated with a reduction in waste management costs </w:t>
            </w:r>
            <w:r>
              <w:rPr>
                <w:sz w:val="20"/>
              </w:rPr>
              <w:t xml:space="preserve">and environmental externalities </w:t>
            </w:r>
            <w:r w:rsidRPr="00E10441">
              <w:rPr>
                <w:sz w:val="20"/>
              </w:rPr>
              <w:t>as the volume to landfill reduces.</w:t>
            </w:r>
            <w:r w:rsidRPr="002C17DA">
              <w:rPr>
                <w:sz w:val="20"/>
              </w:rPr>
              <w:t xml:space="preserve"> </w:t>
            </w:r>
          </w:p>
        </w:tc>
        <w:tc>
          <w:tcPr>
            <w:tcW w:w="1418" w:type="dxa"/>
          </w:tcPr>
          <w:p w:rsidR="00594660" w:rsidRDefault="00594660" w:rsidP="00DA6B3F">
            <w:pPr>
              <w:pStyle w:val="BodyText"/>
              <w:spacing w:before="60" w:after="60"/>
              <w:jc w:val="right"/>
              <w:rPr>
                <w:sz w:val="20"/>
              </w:rPr>
            </w:pPr>
            <w:r w:rsidRPr="00E10441">
              <w:rPr>
                <w:sz w:val="20"/>
              </w:rPr>
              <w:t>Industry, Environment, Community</w:t>
            </w:r>
          </w:p>
        </w:tc>
        <w:tc>
          <w:tcPr>
            <w:tcW w:w="1275" w:type="dxa"/>
          </w:tcPr>
          <w:p w:rsidR="00594660" w:rsidRDefault="00594660" w:rsidP="00DA6B3F">
            <w:pPr>
              <w:pStyle w:val="BodyText"/>
              <w:spacing w:before="60" w:after="60"/>
              <w:jc w:val="right"/>
              <w:rPr>
                <w:sz w:val="20"/>
              </w:rPr>
            </w:pPr>
            <w:r w:rsidRPr="00E10441">
              <w:rPr>
                <w:sz w:val="20"/>
              </w:rPr>
              <w:t>Yes</w:t>
            </w:r>
          </w:p>
        </w:tc>
        <w:tc>
          <w:tcPr>
            <w:tcW w:w="2268" w:type="dxa"/>
          </w:tcPr>
          <w:p w:rsidR="00594660" w:rsidRDefault="00594660" w:rsidP="00DA6B3F">
            <w:pPr>
              <w:pStyle w:val="BodyText"/>
              <w:spacing w:before="60" w:after="60"/>
              <w:jc w:val="right"/>
              <w:rPr>
                <w:sz w:val="20"/>
              </w:rPr>
            </w:pPr>
            <w:r w:rsidRPr="00E10441">
              <w:rPr>
                <w:sz w:val="20"/>
              </w:rPr>
              <w:t>BDA Group (2009)</w:t>
            </w:r>
            <w:r>
              <w:rPr>
                <w:sz w:val="20"/>
              </w:rPr>
              <w:t>,</w:t>
            </w:r>
            <w:r w:rsidRPr="00E10441">
              <w:rPr>
                <w:sz w:val="20"/>
              </w:rPr>
              <w:t xml:space="preserve"> </w:t>
            </w:r>
            <w:r w:rsidRPr="00E10441">
              <w:rPr>
                <w:i/>
                <w:sz w:val="20"/>
              </w:rPr>
              <w:t>The full cost of landfill disposal in Australia</w:t>
            </w:r>
            <w:r w:rsidRPr="00E10441">
              <w:rPr>
                <w:sz w:val="20"/>
              </w:rPr>
              <w:t>, report prepared for the Department of the Environment Heritage and the Arts</w:t>
            </w:r>
          </w:p>
        </w:tc>
      </w:tr>
      <w:tr w:rsidR="00594660" w:rsidRPr="002C17DA" w:rsidTr="00DA6B3F">
        <w:tc>
          <w:tcPr>
            <w:tcW w:w="2235" w:type="dxa"/>
          </w:tcPr>
          <w:p w:rsidR="00594660" w:rsidRDefault="00594660" w:rsidP="00DA6B3F">
            <w:pPr>
              <w:pStyle w:val="BodyText"/>
              <w:spacing w:before="60" w:after="60"/>
              <w:jc w:val="left"/>
              <w:rPr>
                <w:sz w:val="20"/>
              </w:rPr>
            </w:pPr>
            <w:r w:rsidRPr="00E10441">
              <w:rPr>
                <w:sz w:val="20"/>
              </w:rPr>
              <w:t>Increase in resource re-use</w:t>
            </w:r>
            <w:r>
              <w:rPr>
                <w:sz w:val="20"/>
              </w:rPr>
              <w:t xml:space="preserve"> (metals and plastics)</w:t>
            </w:r>
          </w:p>
        </w:tc>
        <w:tc>
          <w:tcPr>
            <w:tcW w:w="5386" w:type="dxa"/>
          </w:tcPr>
          <w:p w:rsidR="00594660" w:rsidRDefault="00594660" w:rsidP="00DA6B3F">
            <w:pPr>
              <w:pStyle w:val="BodyText"/>
              <w:spacing w:before="60" w:after="60"/>
              <w:jc w:val="left"/>
              <w:rPr>
                <w:sz w:val="20"/>
              </w:rPr>
            </w:pPr>
            <w:r w:rsidRPr="00E10441">
              <w:rPr>
                <w:sz w:val="20"/>
              </w:rPr>
              <w:t xml:space="preserve">As the overall objective of the product stewardship options promote an increase in the controlled collection of RAC equipment, more of the equipment can be disassembled and </w:t>
            </w:r>
            <w:r w:rsidRPr="00E10441">
              <w:rPr>
                <w:sz w:val="20"/>
              </w:rPr>
              <w:lastRenderedPageBreak/>
              <w:t xml:space="preserve">therefore more resources recovered for re-use.  </w:t>
            </w:r>
          </w:p>
        </w:tc>
        <w:tc>
          <w:tcPr>
            <w:tcW w:w="1418" w:type="dxa"/>
          </w:tcPr>
          <w:p w:rsidR="00594660" w:rsidRDefault="00594660" w:rsidP="00DA6B3F">
            <w:pPr>
              <w:pStyle w:val="BodyText"/>
              <w:spacing w:before="60" w:after="60"/>
              <w:jc w:val="right"/>
              <w:rPr>
                <w:sz w:val="20"/>
              </w:rPr>
            </w:pPr>
            <w:r w:rsidRPr="00E10441">
              <w:rPr>
                <w:sz w:val="20"/>
              </w:rPr>
              <w:lastRenderedPageBreak/>
              <w:t>Industry, Environment, Community</w:t>
            </w:r>
          </w:p>
        </w:tc>
        <w:tc>
          <w:tcPr>
            <w:tcW w:w="1275" w:type="dxa"/>
          </w:tcPr>
          <w:p w:rsidR="00594660" w:rsidRDefault="00594660" w:rsidP="00DA6B3F">
            <w:pPr>
              <w:pStyle w:val="BodyText"/>
              <w:spacing w:before="60" w:after="60"/>
              <w:jc w:val="right"/>
              <w:rPr>
                <w:sz w:val="20"/>
              </w:rPr>
            </w:pPr>
            <w:r w:rsidRPr="00E10441">
              <w:rPr>
                <w:sz w:val="20"/>
              </w:rPr>
              <w:t>Yes</w:t>
            </w:r>
          </w:p>
        </w:tc>
        <w:tc>
          <w:tcPr>
            <w:tcW w:w="2268" w:type="dxa"/>
          </w:tcPr>
          <w:p w:rsidR="00594660" w:rsidRDefault="00594660" w:rsidP="00DA6B3F">
            <w:pPr>
              <w:pStyle w:val="BodyText"/>
              <w:spacing w:before="60" w:after="60"/>
              <w:jc w:val="right"/>
              <w:rPr>
                <w:sz w:val="20"/>
              </w:rPr>
            </w:pPr>
            <w:r>
              <w:rPr>
                <w:sz w:val="20"/>
              </w:rPr>
              <w:t>Industry Consultation</w:t>
            </w:r>
          </w:p>
          <w:p w:rsidR="00594660" w:rsidRDefault="00594660" w:rsidP="00DA6B3F">
            <w:pPr>
              <w:pStyle w:val="BodyText"/>
              <w:spacing w:before="60" w:after="60"/>
              <w:jc w:val="right"/>
              <w:rPr>
                <w:sz w:val="20"/>
              </w:rPr>
            </w:pPr>
            <w:proofErr w:type="spellStart"/>
            <w:r>
              <w:rPr>
                <w:sz w:val="20"/>
              </w:rPr>
              <w:t>Rawtec</w:t>
            </w:r>
            <w:proofErr w:type="spellEnd"/>
            <w:r>
              <w:rPr>
                <w:sz w:val="20"/>
              </w:rPr>
              <w:t xml:space="preserve"> (2012), </w:t>
            </w:r>
            <w:r w:rsidRPr="002F07BC">
              <w:rPr>
                <w:i/>
                <w:sz w:val="20"/>
              </w:rPr>
              <w:t xml:space="preserve">Study on South Australian Plastics </w:t>
            </w:r>
            <w:r w:rsidRPr="002F07BC">
              <w:rPr>
                <w:i/>
                <w:sz w:val="20"/>
              </w:rPr>
              <w:lastRenderedPageBreak/>
              <w:t>Packaging Resource Recovery Sector</w:t>
            </w:r>
            <w:r w:rsidRPr="00E10441">
              <w:rPr>
                <w:sz w:val="20"/>
              </w:rPr>
              <w:t xml:space="preserve">, </w:t>
            </w:r>
            <w:r>
              <w:rPr>
                <w:sz w:val="20"/>
              </w:rPr>
              <w:t xml:space="preserve">report prepared for Zero Waste SA. </w:t>
            </w:r>
          </w:p>
        </w:tc>
      </w:tr>
      <w:tr w:rsidR="00594660" w:rsidRPr="002C17DA" w:rsidTr="00DA6B3F">
        <w:tc>
          <w:tcPr>
            <w:tcW w:w="2235" w:type="dxa"/>
          </w:tcPr>
          <w:p w:rsidR="00594660" w:rsidRDefault="00594660" w:rsidP="00DA6B3F">
            <w:pPr>
              <w:pStyle w:val="BodyText"/>
              <w:spacing w:before="60" w:after="60"/>
              <w:jc w:val="left"/>
              <w:rPr>
                <w:sz w:val="20"/>
              </w:rPr>
            </w:pPr>
            <w:r w:rsidRPr="00E10441">
              <w:rPr>
                <w:sz w:val="20"/>
              </w:rPr>
              <w:lastRenderedPageBreak/>
              <w:t>Increase in refrigerant gas recovery</w:t>
            </w:r>
          </w:p>
        </w:tc>
        <w:tc>
          <w:tcPr>
            <w:tcW w:w="5386" w:type="dxa"/>
            <w:vAlign w:val="center"/>
          </w:tcPr>
          <w:p w:rsidR="00594660" w:rsidRDefault="00594660" w:rsidP="00DA6B3F">
            <w:pPr>
              <w:pStyle w:val="BodyText"/>
              <w:spacing w:before="60" w:after="60"/>
              <w:jc w:val="left"/>
              <w:rPr>
                <w:sz w:val="20"/>
              </w:rPr>
            </w:pPr>
            <w:r w:rsidRPr="00E10441">
              <w:rPr>
                <w:sz w:val="20"/>
              </w:rPr>
              <w:t>As the schemes promote an increase in the controlled collection of RAC equipment, more refrigerant gas will be able to be recovered.  This is particularly applicable for refrigerators as the current recovery of gas from air conditioners is relatively high.</w:t>
            </w:r>
          </w:p>
          <w:p w:rsidR="00594660" w:rsidRDefault="00594660" w:rsidP="00DA6B3F">
            <w:pPr>
              <w:pStyle w:val="BodyText"/>
              <w:spacing w:before="60" w:after="60"/>
              <w:jc w:val="left"/>
              <w:rPr>
                <w:b/>
                <w:color w:val="1F497D" w:themeColor="text2"/>
                <w:sz w:val="20"/>
              </w:rPr>
            </w:pPr>
            <w:r>
              <w:rPr>
                <w:sz w:val="20"/>
              </w:rPr>
              <w:t xml:space="preserve">The increase in refrigerant recovery is expected to result in an increase in payments of rebates. This is treated as a transfer payment for the purpose of the analysis. </w:t>
            </w:r>
          </w:p>
        </w:tc>
        <w:tc>
          <w:tcPr>
            <w:tcW w:w="1418" w:type="dxa"/>
          </w:tcPr>
          <w:p w:rsidR="00594660" w:rsidRDefault="00594660" w:rsidP="00DA6B3F">
            <w:pPr>
              <w:pStyle w:val="BodyText"/>
              <w:spacing w:before="60" w:after="60"/>
              <w:jc w:val="right"/>
              <w:rPr>
                <w:sz w:val="20"/>
              </w:rPr>
            </w:pPr>
            <w:r w:rsidRPr="00E10441">
              <w:rPr>
                <w:sz w:val="20"/>
              </w:rPr>
              <w:t>Industry, Environment, Community</w:t>
            </w:r>
          </w:p>
        </w:tc>
        <w:tc>
          <w:tcPr>
            <w:tcW w:w="1275" w:type="dxa"/>
          </w:tcPr>
          <w:p w:rsidR="00594660" w:rsidRDefault="00594660" w:rsidP="00DA6B3F">
            <w:pPr>
              <w:pStyle w:val="BodyText"/>
              <w:spacing w:before="60" w:after="60"/>
              <w:jc w:val="right"/>
              <w:rPr>
                <w:sz w:val="20"/>
              </w:rPr>
            </w:pPr>
            <w:r w:rsidRPr="00E10441">
              <w:rPr>
                <w:sz w:val="20"/>
              </w:rPr>
              <w:t>Yes</w:t>
            </w:r>
          </w:p>
        </w:tc>
        <w:tc>
          <w:tcPr>
            <w:tcW w:w="2268" w:type="dxa"/>
          </w:tcPr>
          <w:p w:rsidR="00594660" w:rsidRDefault="00594660" w:rsidP="00DA6B3F">
            <w:pPr>
              <w:pStyle w:val="BodyText"/>
              <w:spacing w:before="60" w:after="60"/>
              <w:jc w:val="right"/>
              <w:rPr>
                <w:sz w:val="20"/>
              </w:rPr>
            </w:pPr>
            <w:r>
              <w:rPr>
                <w:sz w:val="20"/>
              </w:rPr>
              <w:t>Department of the Environment</w:t>
            </w:r>
          </w:p>
        </w:tc>
      </w:tr>
      <w:tr w:rsidR="00594660" w:rsidRPr="002C17DA" w:rsidTr="00DA6B3F">
        <w:tc>
          <w:tcPr>
            <w:tcW w:w="2235" w:type="dxa"/>
          </w:tcPr>
          <w:p w:rsidR="00594660" w:rsidRDefault="00594660" w:rsidP="00DA6B3F">
            <w:pPr>
              <w:pStyle w:val="BodyText"/>
              <w:spacing w:before="60" w:after="60"/>
              <w:jc w:val="left"/>
              <w:rPr>
                <w:sz w:val="20"/>
              </w:rPr>
            </w:pPr>
            <w:r w:rsidRPr="00E10441">
              <w:rPr>
                <w:sz w:val="20"/>
              </w:rPr>
              <w:t>Community willingness to pay for recycling activities</w:t>
            </w:r>
          </w:p>
        </w:tc>
        <w:tc>
          <w:tcPr>
            <w:tcW w:w="5386" w:type="dxa"/>
          </w:tcPr>
          <w:p w:rsidR="00594660" w:rsidRDefault="00594660" w:rsidP="00DA6B3F">
            <w:pPr>
              <w:pStyle w:val="BodyText"/>
              <w:spacing w:before="60" w:after="60"/>
              <w:jc w:val="left"/>
              <w:rPr>
                <w:sz w:val="20"/>
              </w:rPr>
            </w:pPr>
            <w:r w:rsidRPr="00E10441">
              <w:rPr>
                <w:sz w:val="20"/>
              </w:rPr>
              <w:t>Value the community places on recovering non-renewable resources.</w:t>
            </w:r>
            <w:r>
              <w:rPr>
                <w:sz w:val="20"/>
              </w:rPr>
              <w:t xml:space="preserve"> These benefits include the </w:t>
            </w:r>
            <w:r w:rsidR="00455CB0">
              <w:rPr>
                <w:sz w:val="20"/>
              </w:rPr>
              <w:t>community’s</w:t>
            </w:r>
            <w:r>
              <w:rPr>
                <w:sz w:val="20"/>
              </w:rPr>
              <w:t xml:space="preserve"> valuation for recycling to manage recovery of material, perceived health and environmental risk. </w:t>
            </w:r>
          </w:p>
        </w:tc>
        <w:tc>
          <w:tcPr>
            <w:tcW w:w="1418" w:type="dxa"/>
          </w:tcPr>
          <w:p w:rsidR="00594660" w:rsidRDefault="00594660" w:rsidP="00DA6B3F">
            <w:pPr>
              <w:pStyle w:val="BodyText"/>
              <w:spacing w:before="60" w:after="60"/>
              <w:jc w:val="right"/>
              <w:rPr>
                <w:sz w:val="20"/>
              </w:rPr>
            </w:pPr>
            <w:r w:rsidRPr="00E10441">
              <w:rPr>
                <w:sz w:val="20"/>
              </w:rPr>
              <w:t>Community</w:t>
            </w:r>
          </w:p>
        </w:tc>
        <w:tc>
          <w:tcPr>
            <w:tcW w:w="1275" w:type="dxa"/>
          </w:tcPr>
          <w:p w:rsidR="00594660" w:rsidRDefault="00594660" w:rsidP="00DA6B3F">
            <w:pPr>
              <w:pStyle w:val="BodyText"/>
              <w:spacing w:before="60" w:after="60"/>
              <w:jc w:val="right"/>
              <w:rPr>
                <w:sz w:val="20"/>
              </w:rPr>
            </w:pPr>
            <w:r>
              <w:rPr>
                <w:sz w:val="20"/>
              </w:rPr>
              <w:t>Yes</w:t>
            </w:r>
            <w:r>
              <w:rPr>
                <w:rStyle w:val="FootnoteReference"/>
                <w:sz w:val="20"/>
              </w:rPr>
              <w:footnoteReference w:id="16"/>
            </w:r>
          </w:p>
        </w:tc>
        <w:tc>
          <w:tcPr>
            <w:tcW w:w="2268" w:type="dxa"/>
          </w:tcPr>
          <w:p w:rsidR="00594660" w:rsidRPr="004A31C7" w:rsidRDefault="00594660" w:rsidP="00DA6B3F">
            <w:pPr>
              <w:pStyle w:val="BodyText"/>
              <w:spacing w:before="60" w:after="60"/>
              <w:jc w:val="right"/>
              <w:rPr>
                <w:sz w:val="20"/>
              </w:rPr>
            </w:pPr>
            <w:r>
              <w:rPr>
                <w:sz w:val="20"/>
              </w:rPr>
              <w:t xml:space="preserve">PricewaterhouseCoopers and </w:t>
            </w:r>
            <w:proofErr w:type="spellStart"/>
            <w:r>
              <w:rPr>
                <w:sz w:val="20"/>
              </w:rPr>
              <w:t>Hyder</w:t>
            </w:r>
            <w:proofErr w:type="spellEnd"/>
            <w:r>
              <w:rPr>
                <w:sz w:val="20"/>
              </w:rPr>
              <w:t xml:space="preserve"> Consulting (2009), </w:t>
            </w:r>
            <w:r>
              <w:rPr>
                <w:i/>
                <w:sz w:val="20"/>
              </w:rPr>
              <w:t xml:space="preserve">Decision Regulatory Impact Statement: Televisions and Computers, </w:t>
            </w:r>
            <w:r>
              <w:rPr>
                <w:sz w:val="20"/>
              </w:rPr>
              <w:t>report prepared for Environment Protection and Heritage Council</w:t>
            </w:r>
          </w:p>
        </w:tc>
      </w:tr>
      <w:tr w:rsidR="00594660" w:rsidRPr="002C17DA" w:rsidTr="00DA6B3F">
        <w:tc>
          <w:tcPr>
            <w:tcW w:w="2235" w:type="dxa"/>
          </w:tcPr>
          <w:p w:rsidR="00594660" w:rsidRDefault="00594660" w:rsidP="00DA6B3F">
            <w:pPr>
              <w:pStyle w:val="BodyText"/>
              <w:spacing w:before="60" w:after="60"/>
              <w:jc w:val="left"/>
              <w:rPr>
                <w:sz w:val="20"/>
              </w:rPr>
            </w:pPr>
            <w:r w:rsidRPr="00E10441">
              <w:rPr>
                <w:sz w:val="20"/>
              </w:rPr>
              <w:t>Health benefits of reduced emissions</w:t>
            </w:r>
          </w:p>
        </w:tc>
        <w:tc>
          <w:tcPr>
            <w:tcW w:w="5386" w:type="dxa"/>
            <w:vAlign w:val="center"/>
          </w:tcPr>
          <w:p w:rsidR="00594660" w:rsidRDefault="00594660" w:rsidP="00DA6B3F">
            <w:pPr>
              <w:pStyle w:val="BodyText"/>
              <w:spacing w:before="60" w:after="60"/>
              <w:jc w:val="left"/>
              <w:rPr>
                <w:sz w:val="20"/>
                <w:highlight w:val="green"/>
              </w:rPr>
            </w:pPr>
            <w:r w:rsidRPr="00E10441">
              <w:rPr>
                <w:sz w:val="20"/>
              </w:rPr>
              <w:t xml:space="preserve">There are a number of health implications associated with emissions and their detrimental environmental effects. A reduction in emissions has the potential to reduce these adverse health outcomes. </w:t>
            </w:r>
          </w:p>
        </w:tc>
        <w:tc>
          <w:tcPr>
            <w:tcW w:w="1418" w:type="dxa"/>
          </w:tcPr>
          <w:p w:rsidR="00594660" w:rsidRDefault="00594660" w:rsidP="00DA6B3F">
            <w:pPr>
              <w:pStyle w:val="BodyText"/>
              <w:spacing w:before="60" w:after="60"/>
              <w:jc w:val="right"/>
              <w:rPr>
                <w:sz w:val="20"/>
              </w:rPr>
            </w:pPr>
            <w:r w:rsidRPr="00E10441">
              <w:rPr>
                <w:sz w:val="20"/>
              </w:rPr>
              <w:t>Community</w:t>
            </w:r>
          </w:p>
        </w:tc>
        <w:tc>
          <w:tcPr>
            <w:tcW w:w="1275" w:type="dxa"/>
          </w:tcPr>
          <w:p w:rsidR="00594660" w:rsidRDefault="00594660" w:rsidP="00DA6B3F">
            <w:pPr>
              <w:pStyle w:val="BodyText"/>
              <w:spacing w:before="60" w:after="60"/>
              <w:jc w:val="right"/>
              <w:rPr>
                <w:sz w:val="20"/>
              </w:rPr>
            </w:pPr>
            <w:r>
              <w:rPr>
                <w:sz w:val="20"/>
              </w:rPr>
              <w:t>No</w:t>
            </w:r>
          </w:p>
        </w:tc>
        <w:tc>
          <w:tcPr>
            <w:tcW w:w="2268" w:type="dxa"/>
          </w:tcPr>
          <w:p w:rsidR="00594660" w:rsidRDefault="00594660" w:rsidP="00DA6B3F">
            <w:pPr>
              <w:pStyle w:val="BodyText"/>
              <w:spacing w:before="60" w:after="60"/>
              <w:jc w:val="right"/>
              <w:rPr>
                <w:sz w:val="20"/>
              </w:rPr>
            </w:pPr>
          </w:p>
        </w:tc>
      </w:tr>
    </w:tbl>
    <w:p w:rsidR="0081406E" w:rsidRDefault="0081406E">
      <w:pPr>
        <w:pStyle w:val="BodyText"/>
      </w:pPr>
    </w:p>
    <w:p w:rsidR="00BF1159" w:rsidRPr="00BF1159" w:rsidRDefault="00BF1159" w:rsidP="00BF1159">
      <w:pPr>
        <w:pStyle w:val="BodyText"/>
        <w:sectPr w:rsidR="00BF1159" w:rsidRPr="00BF1159" w:rsidSect="00953A19">
          <w:pgSz w:w="16840" w:h="11907" w:orient="landscape" w:code="9"/>
          <w:pgMar w:top="1474" w:right="2835" w:bottom="1474" w:left="1588" w:header="1077" w:footer="1304" w:gutter="454"/>
          <w:cols w:space="737"/>
          <w:docGrid w:linePitch="299"/>
        </w:sectPr>
      </w:pPr>
    </w:p>
    <w:p w:rsidR="00101677" w:rsidRDefault="00101677" w:rsidP="00101677">
      <w:pPr>
        <w:pStyle w:val="Heading2"/>
      </w:pPr>
      <w:bookmarkStart w:id="36" w:name="_Toc403647587"/>
      <w:r>
        <w:lastRenderedPageBreak/>
        <w:t>Costs</w:t>
      </w:r>
      <w:bookmarkEnd w:id="36"/>
    </w:p>
    <w:p w:rsidR="00560FF4" w:rsidRPr="004350F5" w:rsidRDefault="00560FF4" w:rsidP="004350F5">
      <w:pPr>
        <w:pStyle w:val="BodyText"/>
      </w:pPr>
      <w:r>
        <w:t>Quantification of the costs under each option required development of a series o</w:t>
      </w:r>
      <w:r w:rsidR="006E7BAA">
        <w:t xml:space="preserve">f assumptions. These assumptions and the costs under each option are outlined </w:t>
      </w:r>
      <w:r>
        <w:t xml:space="preserve">in the following sections. </w:t>
      </w:r>
    </w:p>
    <w:p w:rsidR="00101677" w:rsidRDefault="007A7415" w:rsidP="007A7415">
      <w:pPr>
        <w:pStyle w:val="Heading3"/>
      </w:pPr>
      <w:r>
        <w:t>Cost of regulatory compliance</w:t>
      </w:r>
    </w:p>
    <w:p w:rsidR="00D6559E" w:rsidRDefault="004350F5" w:rsidP="00A516EB">
      <w:pPr>
        <w:pStyle w:val="BodyText"/>
      </w:pPr>
      <w:r>
        <w:t xml:space="preserve">Costs of compliance were estimated by the Department of </w:t>
      </w:r>
      <w:r w:rsidR="00C72CEA">
        <w:t xml:space="preserve">the </w:t>
      </w:r>
      <w:r>
        <w:t>Environment</w:t>
      </w:r>
      <w:r w:rsidR="006F76C2">
        <w:t xml:space="preserve"> and through consultation with industry</w:t>
      </w:r>
      <w:r>
        <w:t xml:space="preserve"> and include both costs to government and industry. </w:t>
      </w:r>
      <w:r w:rsidR="00A516EB">
        <w:t xml:space="preserve">The detailed components of the costs of compliance are outlined in Appendix C. </w:t>
      </w:r>
      <w:r w:rsidR="0063673E">
        <w:t>It should be noted that if a decision were made to pursue regulatory options, t</w:t>
      </w:r>
      <w:r w:rsidR="00D6559E">
        <w:t xml:space="preserve">he estimated costs of compliance would be investigated </w:t>
      </w:r>
      <w:r w:rsidR="007748FF">
        <w:t>in more detail</w:t>
      </w:r>
      <w:r w:rsidR="00D6559E">
        <w:t xml:space="preserve"> through the preparation of a regulatory impact statement. </w:t>
      </w:r>
    </w:p>
    <w:p w:rsidR="00A516EB" w:rsidRDefault="00A516EB" w:rsidP="00A516EB">
      <w:pPr>
        <w:pStyle w:val="BodyText"/>
      </w:pPr>
      <w:r>
        <w:t>The total present value of costs associated with compliance under each option</w:t>
      </w:r>
      <w:r w:rsidR="00015426">
        <w:t xml:space="preserve"> over the 10 years of the analysis</w:t>
      </w:r>
      <w:r>
        <w:t xml:space="preserve"> are outlined in </w:t>
      </w:r>
      <w:r w:rsidR="00586F30">
        <w:fldChar w:fldCharType="begin"/>
      </w:r>
      <w:r>
        <w:instrText xml:space="preserve"> REF _Ref391300680 \h </w:instrText>
      </w:r>
      <w:r w:rsidR="00586F30">
        <w:fldChar w:fldCharType="separate"/>
      </w:r>
      <w:r w:rsidR="001E5D7A">
        <w:t xml:space="preserve">Table </w:t>
      </w:r>
      <w:r w:rsidR="001E5D7A">
        <w:rPr>
          <w:noProof/>
        </w:rPr>
        <w:t>4</w:t>
      </w:r>
      <w:r w:rsidR="001E5D7A">
        <w:noBreakHyphen/>
      </w:r>
      <w:r w:rsidR="001E5D7A">
        <w:rPr>
          <w:noProof/>
        </w:rPr>
        <w:t>2</w:t>
      </w:r>
      <w:r w:rsidR="00586F30">
        <w:fldChar w:fldCharType="end"/>
      </w:r>
      <w:r w:rsidR="00C72CEA">
        <w:t xml:space="preserve"> and described below</w:t>
      </w:r>
      <w:r>
        <w:t>.</w:t>
      </w:r>
      <w:r w:rsidR="00015426">
        <w:t xml:space="preserve"> Annual estimates of compliance costs are outlined in Appendix D.</w:t>
      </w:r>
    </w:p>
    <w:p w:rsidR="004350F5" w:rsidRDefault="00B03403" w:rsidP="00B03403">
      <w:pPr>
        <w:pStyle w:val="Caption"/>
      </w:pPr>
      <w:bookmarkStart w:id="37" w:name="_Ref391300680"/>
      <w:r>
        <w:t xml:space="preserve">Table </w:t>
      </w:r>
      <w:r w:rsidR="00586F30">
        <w:fldChar w:fldCharType="begin"/>
      </w:r>
      <w:r w:rsidR="00C478AE">
        <w:instrText xml:space="preserve"> STYLEREF 1 \s </w:instrText>
      </w:r>
      <w:r w:rsidR="00586F30">
        <w:fldChar w:fldCharType="separate"/>
      </w:r>
      <w:r w:rsidR="001E5D7A">
        <w:rPr>
          <w:noProof/>
        </w:rPr>
        <w:t>4</w:t>
      </w:r>
      <w:r w:rsidR="00586F30">
        <w:rPr>
          <w:noProof/>
        </w:rPr>
        <w:fldChar w:fldCharType="end"/>
      </w:r>
      <w:r w:rsidR="00CE3BAC">
        <w:noBreakHyphen/>
      </w:r>
      <w:r w:rsidR="00586F30">
        <w:fldChar w:fldCharType="begin"/>
      </w:r>
      <w:r w:rsidR="00C478AE">
        <w:instrText xml:space="preserve"> SEQ Table \* ARABIC \s 1 </w:instrText>
      </w:r>
      <w:r w:rsidR="00586F30">
        <w:fldChar w:fldCharType="separate"/>
      </w:r>
      <w:r w:rsidR="001E5D7A">
        <w:rPr>
          <w:noProof/>
        </w:rPr>
        <w:t>2</w:t>
      </w:r>
      <w:r w:rsidR="00586F30">
        <w:rPr>
          <w:noProof/>
        </w:rPr>
        <w:fldChar w:fldCharType="end"/>
      </w:r>
      <w:bookmarkEnd w:id="37"/>
      <w:r>
        <w:t xml:space="preserve">: </w:t>
      </w:r>
      <w:r w:rsidR="004350F5">
        <w:t>Costs of compliance (</w:t>
      </w:r>
      <w:r w:rsidR="00895876">
        <w:t xml:space="preserve">$ million </w:t>
      </w:r>
      <w:r w:rsidR="004350F5">
        <w:t>PV @ 7%</w:t>
      </w:r>
      <w:r w:rsidR="00455CB0">
        <w:t>)</w:t>
      </w:r>
      <w:r w:rsidR="00455CB0">
        <w:rPr>
          <w:vertAlign w:val="superscript"/>
        </w:rPr>
        <w:t xml:space="preserve"> a</w:t>
      </w:r>
      <w:r>
        <w:t xml:space="preserve"> </w:t>
      </w:r>
    </w:p>
    <w:tbl>
      <w:tblPr>
        <w:tblStyle w:val="TableGrid"/>
        <w:tblW w:w="0" w:type="auto"/>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tblPr>
      <w:tblGrid>
        <w:gridCol w:w="3510"/>
        <w:gridCol w:w="2304"/>
        <w:gridCol w:w="2907"/>
      </w:tblGrid>
      <w:tr w:rsidR="00A40F79" w:rsidRPr="00C8251D" w:rsidTr="00A40F79">
        <w:tc>
          <w:tcPr>
            <w:tcW w:w="3510" w:type="dxa"/>
            <w:vMerge w:val="restart"/>
            <w:shd w:val="clear" w:color="auto" w:fill="1F497D" w:themeFill="text2"/>
          </w:tcPr>
          <w:p w:rsidR="00A40F79" w:rsidRPr="00C72CEA" w:rsidRDefault="00A40F79" w:rsidP="004350F5">
            <w:pPr>
              <w:pStyle w:val="BodyText"/>
              <w:rPr>
                <w:b/>
                <w:color w:val="FFFFFF" w:themeColor="background1"/>
                <w:sz w:val="20"/>
              </w:rPr>
            </w:pPr>
            <w:r w:rsidRPr="00C72CEA">
              <w:rPr>
                <w:b/>
                <w:color w:val="FFFFFF" w:themeColor="background1"/>
                <w:sz w:val="20"/>
              </w:rPr>
              <w:t>Option</w:t>
            </w:r>
          </w:p>
        </w:tc>
        <w:tc>
          <w:tcPr>
            <w:tcW w:w="5211" w:type="dxa"/>
            <w:gridSpan w:val="2"/>
            <w:shd w:val="clear" w:color="auto" w:fill="1F497D" w:themeFill="text2"/>
            <w:vAlign w:val="center"/>
          </w:tcPr>
          <w:p w:rsidR="00586D48" w:rsidRDefault="00A40F79" w:rsidP="00594660">
            <w:pPr>
              <w:pStyle w:val="BodyText"/>
              <w:jc w:val="center"/>
              <w:rPr>
                <w:b/>
                <w:color w:val="FFFFFF" w:themeColor="background1"/>
                <w:sz w:val="20"/>
              </w:rPr>
            </w:pPr>
            <w:r>
              <w:rPr>
                <w:b/>
                <w:color w:val="FFFFFF" w:themeColor="background1"/>
                <w:sz w:val="20"/>
              </w:rPr>
              <w:t>$ million PV @ 7%</w:t>
            </w:r>
            <w:r w:rsidR="00015426">
              <w:rPr>
                <w:b/>
                <w:color w:val="FFFFFF" w:themeColor="background1"/>
                <w:sz w:val="20"/>
              </w:rPr>
              <w:t xml:space="preserve"> (2014-2024)</w:t>
            </w:r>
          </w:p>
        </w:tc>
      </w:tr>
      <w:tr w:rsidR="00A40F79" w:rsidRPr="00C8251D" w:rsidTr="00196713">
        <w:tc>
          <w:tcPr>
            <w:tcW w:w="3510" w:type="dxa"/>
            <w:vMerge/>
            <w:shd w:val="clear" w:color="auto" w:fill="1F497D" w:themeFill="text2"/>
          </w:tcPr>
          <w:p w:rsidR="00A40F79" w:rsidRPr="00C72CEA" w:rsidRDefault="00A40F79" w:rsidP="004350F5">
            <w:pPr>
              <w:pStyle w:val="BodyText"/>
              <w:rPr>
                <w:b/>
                <w:color w:val="FFFFFF" w:themeColor="background1"/>
                <w:sz w:val="20"/>
              </w:rPr>
            </w:pPr>
          </w:p>
        </w:tc>
        <w:tc>
          <w:tcPr>
            <w:tcW w:w="2304" w:type="dxa"/>
            <w:shd w:val="clear" w:color="auto" w:fill="1F497D" w:themeFill="text2"/>
            <w:vAlign w:val="center"/>
          </w:tcPr>
          <w:p w:rsidR="00A40F79" w:rsidRPr="00C72CEA" w:rsidRDefault="00A40F79" w:rsidP="00196713">
            <w:pPr>
              <w:pStyle w:val="BodyText"/>
              <w:jc w:val="right"/>
              <w:rPr>
                <w:b/>
                <w:color w:val="FFFFFF" w:themeColor="background1"/>
                <w:sz w:val="20"/>
              </w:rPr>
            </w:pPr>
            <w:r w:rsidRPr="00C72CEA">
              <w:rPr>
                <w:b/>
                <w:color w:val="FFFFFF" w:themeColor="background1"/>
                <w:sz w:val="20"/>
              </w:rPr>
              <w:t>Costs to Government</w:t>
            </w:r>
          </w:p>
        </w:tc>
        <w:tc>
          <w:tcPr>
            <w:tcW w:w="2907" w:type="dxa"/>
            <w:shd w:val="clear" w:color="auto" w:fill="1F497D" w:themeFill="text2"/>
            <w:vAlign w:val="center"/>
          </w:tcPr>
          <w:p w:rsidR="00A40F79" w:rsidRPr="00C72CEA" w:rsidRDefault="00A40F79" w:rsidP="00196713">
            <w:pPr>
              <w:pStyle w:val="BodyText"/>
              <w:jc w:val="right"/>
              <w:rPr>
                <w:b/>
                <w:color w:val="FFFFFF" w:themeColor="background1"/>
                <w:sz w:val="20"/>
              </w:rPr>
            </w:pPr>
            <w:r w:rsidRPr="00C72CEA">
              <w:rPr>
                <w:b/>
                <w:color w:val="FFFFFF" w:themeColor="background1"/>
                <w:sz w:val="20"/>
              </w:rPr>
              <w:t>Costs to Industry</w:t>
            </w:r>
          </w:p>
        </w:tc>
      </w:tr>
      <w:tr w:rsidR="00972414" w:rsidRPr="00C8251D" w:rsidTr="00972414">
        <w:tc>
          <w:tcPr>
            <w:tcW w:w="3510" w:type="dxa"/>
            <w:shd w:val="clear" w:color="auto" w:fill="C6D9F1" w:themeFill="text2" w:themeFillTint="33"/>
            <w:vAlign w:val="center"/>
          </w:tcPr>
          <w:p w:rsidR="00972414" w:rsidRDefault="00972414">
            <w:pPr>
              <w:pStyle w:val="BodyText"/>
              <w:jc w:val="left"/>
              <w:rPr>
                <w:sz w:val="20"/>
              </w:rPr>
            </w:pPr>
            <w:r w:rsidRPr="00C8251D">
              <w:rPr>
                <w:sz w:val="20"/>
              </w:rPr>
              <w:t>Option 1 – Voluntary Scheme</w:t>
            </w:r>
          </w:p>
        </w:tc>
        <w:tc>
          <w:tcPr>
            <w:tcW w:w="2304" w:type="dxa"/>
            <w:vAlign w:val="center"/>
          </w:tcPr>
          <w:p w:rsidR="00972414" w:rsidRDefault="00972414" w:rsidP="00972414">
            <w:pPr>
              <w:jc w:val="right"/>
              <w:rPr>
                <w:color w:val="000000"/>
                <w:sz w:val="20"/>
              </w:rPr>
            </w:pPr>
            <w:r>
              <w:rPr>
                <w:color w:val="000000"/>
                <w:sz w:val="20"/>
              </w:rPr>
              <w:t>$1.0</w:t>
            </w:r>
          </w:p>
        </w:tc>
        <w:tc>
          <w:tcPr>
            <w:tcW w:w="2907" w:type="dxa"/>
            <w:vAlign w:val="center"/>
          </w:tcPr>
          <w:p w:rsidR="00972414" w:rsidRDefault="00972414" w:rsidP="00972414">
            <w:pPr>
              <w:jc w:val="right"/>
              <w:rPr>
                <w:color w:val="000000"/>
                <w:sz w:val="20"/>
              </w:rPr>
            </w:pPr>
            <w:r>
              <w:rPr>
                <w:color w:val="000000"/>
                <w:sz w:val="20"/>
              </w:rPr>
              <w:t>$2.0</w:t>
            </w:r>
          </w:p>
        </w:tc>
      </w:tr>
      <w:tr w:rsidR="00972414" w:rsidRPr="00C8251D" w:rsidTr="00972414">
        <w:tc>
          <w:tcPr>
            <w:tcW w:w="3510" w:type="dxa"/>
            <w:shd w:val="clear" w:color="auto" w:fill="C6D9F1" w:themeFill="text2" w:themeFillTint="33"/>
            <w:vAlign w:val="center"/>
          </w:tcPr>
          <w:p w:rsidR="00972414" w:rsidRDefault="00972414">
            <w:pPr>
              <w:pStyle w:val="BodyText"/>
              <w:jc w:val="left"/>
              <w:rPr>
                <w:sz w:val="20"/>
              </w:rPr>
            </w:pPr>
            <w:r w:rsidRPr="00C8251D">
              <w:rPr>
                <w:sz w:val="20"/>
              </w:rPr>
              <w:t>Option 2 – Co-Regulatory Approach</w:t>
            </w:r>
          </w:p>
        </w:tc>
        <w:tc>
          <w:tcPr>
            <w:tcW w:w="2304" w:type="dxa"/>
            <w:vAlign w:val="center"/>
          </w:tcPr>
          <w:p w:rsidR="00972414" w:rsidRDefault="00972414" w:rsidP="00972414">
            <w:pPr>
              <w:jc w:val="right"/>
              <w:rPr>
                <w:color w:val="000000"/>
                <w:sz w:val="20"/>
              </w:rPr>
            </w:pPr>
            <w:r>
              <w:rPr>
                <w:color w:val="000000"/>
                <w:sz w:val="20"/>
              </w:rPr>
              <w:t>$14.9</w:t>
            </w:r>
          </w:p>
        </w:tc>
        <w:tc>
          <w:tcPr>
            <w:tcW w:w="2907" w:type="dxa"/>
            <w:vAlign w:val="center"/>
          </w:tcPr>
          <w:p w:rsidR="00972414" w:rsidRDefault="00972414" w:rsidP="00972414">
            <w:pPr>
              <w:jc w:val="right"/>
              <w:rPr>
                <w:color w:val="000000"/>
                <w:sz w:val="20"/>
              </w:rPr>
            </w:pPr>
            <w:r>
              <w:rPr>
                <w:color w:val="000000"/>
                <w:sz w:val="20"/>
              </w:rPr>
              <w:t>$4.4</w:t>
            </w:r>
          </w:p>
        </w:tc>
      </w:tr>
      <w:tr w:rsidR="00972414" w:rsidRPr="00C8251D" w:rsidTr="00972414">
        <w:tc>
          <w:tcPr>
            <w:tcW w:w="3510" w:type="dxa"/>
            <w:shd w:val="clear" w:color="auto" w:fill="C6D9F1" w:themeFill="text2" w:themeFillTint="33"/>
            <w:vAlign w:val="center"/>
          </w:tcPr>
          <w:p w:rsidR="00972414" w:rsidRDefault="00972414">
            <w:pPr>
              <w:pStyle w:val="BodyText"/>
              <w:jc w:val="left"/>
              <w:rPr>
                <w:sz w:val="20"/>
              </w:rPr>
            </w:pPr>
            <w:r w:rsidRPr="00C8251D">
              <w:rPr>
                <w:sz w:val="20"/>
              </w:rPr>
              <w:t>Option 3 – Mandatory Scheme</w:t>
            </w:r>
          </w:p>
        </w:tc>
        <w:tc>
          <w:tcPr>
            <w:tcW w:w="2304" w:type="dxa"/>
            <w:vAlign w:val="center"/>
          </w:tcPr>
          <w:p w:rsidR="00972414" w:rsidRDefault="00972414" w:rsidP="00972414">
            <w:pPr>
              <w:jc w:val="right"/>
              <w:rPr>
                <w:color w:val="000000"/>
                <w:sz w:val="20"/>
              </w:rPr>
            </w:pPr>
            <w:r>
              <w:rPr>
                <w:color w:val="000000"/>
                <w:sz w:val="20"/>
              </w:rPr>
              <w:t>$22.7</w:t>
            </w:r>
          </w:p>
        </w:tc>
        <w:tc>
          <w:tcPr>
            <w:tcW w:w="2907" w:type="dxa"/>
            <w:vAlign w:val="center"/>
          </w:tcPr>
          <w:p w:rsidR="00972414" w:rsidRDefault="00972414" w:rsidP="00972414">
            <w:pPr>
              <w:jc w:val="right"/>
              <w:rPr>
                <w:color w:val="000000"/>
                <w:sz w:val="20"/>
              </w:rPr>
            </w:pPr>
            <w:r>
              <w:rPr>
                <w:color w:val="000000"/>
                <w:sz w:val="20"/>
              </w:rPr>
              <w:t>$14.3</w:t>
            </w:r>
          </w:p>
        </w:tc>
      </w:tr>
    </w:tbl>
    <w:p w:rsidR="000A56E5" w:rsidRPr="000A56E5" w:rsidRDefault="000A56E5" w:rsidP="00196713">
      <w:pPr>
        <w:pStyle w:val="Source"/>
      </w:pPr>
      <w:r>
        <w:rPr>
          <w:vertAlign w:val="superscript"/>
        </w:rPr>
        <w:t>a</w:t>
      </w:r>
      <w:r>
        <w:tab/>
        <w:t xml:space="preserve">Detailed costs under each option are outlined in Appendix C. Year-by-year analysis of compliance costs is outlined in Appendix </w:t>
      </w:r>
      <w:r w:rsidR="00E960D0">
        <w:t xml:space="preserve">D. </w:t>
      </w:r>
    </w:p>
    <w:p w:rsidR="0085085D" w:rsidRDefault="00196713">
      <w:pPr>
        <w:pStyle w:val="Source"/>
      </w:pPr>
      <w:r>
        <w:t xml:space="preserve">Source: </w:t>
      </w:r>
      <w:r w:rsidR="00E960D0">
        <w:tab/>
      </w:r>
      <w:r>
        <w:t>Department of the Environment</w:t>
      </w:r>
      <w:r w:rsidR="000A56E5">
        <w:t>, industry consultation and KPMG analysis</w:t>
      </w:r>
      <w:r w:rsidR="00E960D0">
        <w:t>.</w:t>
      </w:r>
    </w:p>
    <w:p w:rsidR="00B45DB2" w:rsidRDefault="00B45DB2" w:rsidP="00B45DB2">
      <w:pPr>
        <w:pStyle w:val="BodyText"/>
      </w:pPr>
      <w:r>
        <w:t xml:space="preserve">Under the voluntary scheme (option 1), the costs to government include funding for an independent chair, facilitation of workshops, consultancies and other costs. These costs are expected to be concentrated in the first two years of the scheme to assist in facilitating the establishment of the scheme. The costs to industry include costs associated with establishing voluntary accreditation such as application and assessment costs. In addition, there are a number of ongoing costs such as surveying and monitoring of scheme participants. </w:t>
      </w:r>
    </w:p>
    <w:p w:rsidR="00B45DB2" w:rsidRDefault="00B45DB2" w:rsidP="00B45DB2">
      <w:pPr>
        <w:pStyle w:val="BodyText"/>
      </w:pPr>
      <w:r>
        <w:t>Under the co-regulatory scheme (option 2), there are a number of implementation costs for government, including:</w:t>
      </w:r>
    </w:p>
    <w:p w:rsidR="00B45DB2" w:rsidRDefault="00B45DB2" w:rsidP="00B45DB2">
      <w:pPr>
        <w:pStyle w:val="BulletText"/>
      </w:pPr>
      <w:r>
        <w:t>regulatory impact statement related consultation;</w:t>
      </w:r>
    </w:p>
    <w:p w:rsidR="00B45DB2" w:rsidRDefault="00B45DB2" w:rsidP="00B45DB2">
      <w:pPr>
        <w:pStyle w:val="BulletText"/>
      </w:pPr>
      <w:r>
        <w:t>regulatory impact statement related decision costs;</w:t>
      </w:r>
    </w:p>
    <w:p w:rsidR="00B45DB2" w:rsidRDefault="00B45DB2" w:rsidP="00B45DB2">
      <w:pPr>
        <w:pStyle w:val="BulletText"/>
      </w:pPr>
      <w:r>
        <w:t>stakeholder consultation costs;</w:t>
      </w:r>
    </w:p>
    <w:p w:rsidR="00B45DB2" w:rsidRDefault="00B45DB2" w:rsidP="00B45DB2">
      <w:pPr>
        <w:pStyle w:val="BulletText"/>
      </w:pPr>
      <w:r>
        <w:t>travel and training costs;</w:t>
      </w:r>
    </w:p>
    <w:p w:rsidR="00B45DB2" w:rsidRDefault="00B45DB2" w:rsidP="00B45DB2">
      <w:pPr>
        <w:pStyle w:val="BulletText"/>
      </w:pPr>
      <w:r>
        <w:t>IT system support;</w:t>
      </w:r>
    </w:p>
    <w:p w:rsidR="00B45DB2" w:rsidRDefault="00B45DB2" w:rsidP="00B45DB2">
      <w:pPr>
        <w:pStyle w:val="BulletText"/>
      </w:pPr>
      <w:r>
        <w:lastRenderedPageBreak/>
        <w:t>cost of lodgement with the Federal Register of Legislative Instruments (FRLI);</w:t>
      </w:r>
    </w:p>
    <w:p w:rsidR="00B45DB2" w:rsidRDefault="00B45DB2" w:rsidP="00B45DB2">
      <w:pPr>
        <w:pStyle w:val="BulletText"/>
      </w:pPr>
      <w:r>
        <w:t>legal advice; and</w:t>
      </w:r>
    </w:p>
    <w:p w:rsidR="00B45DB2" w:rsidRDefault="00B45DB2" w:rsidP="00B45DB2">
      <w:pPr>
        <w:pStyle w:val="BulletText"/>
      </w:pPr>
      <w:proofErr w:type="gramStart"/>
      <w:r>
        <w:t>staff</w:t>
      </w:r>
      <w:proofErr w:type="gramEnd"/>
      <w:r>
        <w:t xml:space="preserve"> to support the implementation.</w:t>
      </w:r>
    </w:p>
    <w:p w:rsidR="00B45DB2" w:rsidRDefault="00B45DB2" w:rsidP="00B45DB2">
      <w:pPr>
        <w:pStyle w:val="BodyText"/>
      </w:pPr>
      <w:r>
        <w:t xml:space="preserve">Ongoing costs associated with the co-regulatory scheme include litigation costs, IT support, FRLI, legal costs, compliance officer costs and staff costs. The </w:t>
      </w:r>
      <w:proofErr w:type="gramStart"/>
      <w:r>
        <w:t>cost to industry include</w:t>
      </w:r>
      <w:proofErr w:type="gramEnd"/>
      <w:r>
        <w:t xml:space="preserve"> contract negotiation costs for the estimated 29 liable parties, logo development for the scheme, establishment costs, </w:t>
      </w:r>
      <w:r w:rsidR="00455CB0">
        <w:t>and ongoing</w:t>
      </w:r>
      <w:r>
        <w:t xml:space="preserve"> costs of auditing the participants.</w:t>
      </w:r>
      <w:r>
        <w:rPr>
          <w:rStyle w:val="FootnoteReference"/>
        </w:rPr>
        <w:footnoteReference w:id="17"/>
      </w:r>
      <w:r>
        <w:t xml:space="preserve"> </w:t>
      </w:r>
    </w:p>
    <w:p w:rsidR="0081406E" w:rsidRDefault="00B45DB2">
      <w:pPr>
        <w:pStyle w:val="BodyText"/>
      </w:pPr>
      <w:r>
        <w:t>The costs to government under the mandatory scheme are similar to the co-regulatory option although with higher upfront staffing and consultancy costs. The costs to industry under the mandatory option involve the initial cost of licensing for the 754 liable parties</w:t>
      </w:r>
      <w:r>
        <w:rPr>
          <w:rStyle w:val="FootnoteReference"/>
        </w:rPr>
        <w:footnoteReference w:id="18"/>
      </w:r>
      <w:r>
        <w:t xml:space="preserve">. It is estimated that each </w:t>
      </w:r>
      <w:r w:rsidR="00A40F79">
        <w:t xml:space="preserve">licence </w:t>
      </w:r>
      <w:r>
        <w:t xml:space="preserve">holder would spend approximately 100 minutes applying for a </w:t>
      </w:r>
      <w:r w:rsidR="00A40F79">
        <w:t>licence</w:t>
      </w:r>
      <w:r>
        <w:t>. Industry costs include audit costs of $2,060 per liable party</w:t>
      </w:r>
      <w:r w:rsidR="00504D4B">
        <w:t xml:space="preserve"> with</w:t>
      </w:r>
      <w:r>
        <w:t xml:space="preserve"> 10 per cent of liable parties audited each year. </w:t>
      </w:r>
    </w:p>
    <w:p w:rsidR="000B44FB" w:rsidRDefault="000B44FB" w:rsidP="000B44FB">
      <w:pPr>
        <w:pStyle w:val="Heading3"/>
      </w:pPr>
      <w:bookmarkStart w:id="38" w:name="_Toc392772621"/>
      <w:bookmarkStart w:id="39" w:name="_Toc392773769"/>
      <w:bookmarkStart w:id="40" w:name="_Toc392772622"/>
      <w:bookmarkStart w:id="41" w:name="_Toc392773770"/>
      <w:bookmarkEnd w:id="38"/>
      <w:bookmarkEnd w:id="39"/>
      <w:bookmarkEnd w:id="40"/>
      <w:bookmarkEnd w:id="41"/>
      <w:r w:rsidRPr="000B44FB">
        <w:t xml:space="preserve">Cost of additional </w:t>
      </w:r>
      <w:r w:rsidR="00BE4A7E">
        <w:t>retailer take back</w:t>
      </w:r>
      <w:r w:rsidRPr="000B44FB">
        <w:t xml:space="preserve"> activities</w:t>
      </w:r>
    </w:p>
    <w:p w:rsidR="00D60CF0" w:rsidRDefault="00BD67F1" w:rsidP="00CF744A">
      <w:pPr>
        <w:pStyle w:val="BodyText"/>
      </w:pPr>
      <w:r>
        <w:t xml:space="preserve">Retailer take back activities involve collection of end-of-life refrigerator equipment when a new refrigerator is delivered (i.e. new for old replacement). Generally, these old refrigerators are stored at the retailer’s distribution centres, degassed and sent to scrap metal yards or shredders. </w:t>
      </w:r>
    </w:p>
    <w:p w:rsidR="00D60CF0" w:rsidRDefault="00D60CF0" w:rsidP="00D60CF0">
      <w:pPr>
        <w:pStyle w:val="BodyText"/>
      </w:pPr>
      <w:r>
        <w:t>Equipment disposals through retailer take back schemes under each option is outlined in</w:t>
      </w:r>
      <w:r w:rsidR="00C41592">
        <w:t xml:space="preserve"> </w:t>
      </w:r>
      <w:r w:rsidR="00586F30">
        <w:fldChar w:fldCharType="begin"/>
      </w:r>
      <w:r w:rsidR="00C41592">
        <w:instrText xml:space="preserve"> REF _Ref392852429 \h </w:instrText>
      </w:r>
      <w:r w:rsidR="00586F30">
        <w:fldChar w:fldCharType="separate"/>
      </w:r>
      <w:r w:rsidR="001E5D7A">
        <w:t xml:space="preserve">Table </w:t>
      </w:r>
      <w:r w:rsidR="001E5D7A">
        <w:rPr>
          <w:noProof/>
        </w:rPr>
        <w:t>4</w:t>
      </w:r>
      <w:r w:rsidR="001E5D7A">
        <w:noBreakHyphen/>
      </w:r>
      <w:r w:rsidR="001E5D7A">
        <w:rPr>
          <w:noProof/>
        </w:rPr>
        <w:t>3</w:t>
      </w:r>
      <w:r w:rsidR="00586F30">
        <w:fldChar w:fldCharType="end"/>
      </w:r>
      <w:r w:rsidR="00C41592">
        <w:t xml:space="preserve"> </w:t>
      </w:r>
      <w:r>
        <w:t>and outlined in further detail in Appendix B.</w:t>
      </w:r>
    </w:p>
    <w:p w:rsidR="00D60CF0" w:rsidRDefault="00D60CF0" w:rsidP="00D60CF0">
      <w:pPr>
        <w:pStyle w:val="Caption"/>
      </w:pPr>
      <w:bookmarkStart w:id="42" w:name="_Ref392852429"/>
      <w:r>
        <w:t xml:space="preserve">Table </w:t>
      </w:r>
      <w:r w:rsidR="00586F30">
        <w:fldChar w:fldCharType="begin"/>
      </w:r>
      <w:r w:rsidR="00C478AE">
        <w:instrText xml:space="preserve"> STYLEREF 1 \s </w:instrText>
      </w:r>
      <w:r w:rsidR="00586F30">
        <w:fldChar w:fldCharType="separate"/>
      </w:r>
      <w:r w:rsidR="001E5D7A">
        <w:rPr>
          <w:noProof/>
        </w:rPr>
        <w:t>4</w:t>
      </w:r>
      <w:r w:rsidR="00586F30">
        <w:rPr>
          <w:noProof/>
        </w:rPr>
        <w:fldChar w:fldCharType="end"/>
      </w:r>
      <w:r w:rsidR="00CE3BAC">
        <w:noBreakHyphen/>
      </w:r>
      <w:r w:rsidR="00586F30">
        <w:fldChar w:fldCharType="begin"/>
      </w:r>
      <w:r w:rsidR="00C478AE">
        <w:instrText xml:space="preserve"> SEQ Table \* ARABIC \s 1 </w:instrText>
      </w:r>
      <w:r w:rsidR="00586F30">
        <w:fldChar w:fldCharType="separate"/>
      </w:r>
      <w:r w:rsidR="001E5D7A">
        <w:rPr>
          <w:noProof/>
        </w:rPr>
        <w:t>3</w:t>
      </w:r>
      <w:r w:rsidR="00586F30">
        <w:rPr>
          <w:noProof/>
        </w:rPr>
        <w:fldChar w:fldCharType="end"/>
      </w:r>
      <w:bookmarkEnd w:id="42"/>
      <w:r>
        <w:t>: Disposals through retailer take back schemes</w:t>
      </w:r>
    </w:p>
    <w:tbl>
      <w:tblPr>
        <w:tblStyle w:val="TableGrid"/>
        <w:tblW w:w="0" w:type="auto"/>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tblPr>
      <w:tblGrid>
        <w:gridCol w:w="3510"/>
        <w:gridCol w:w="5103"/>
      </w:tblGrid>
      <w:tr w:rsidR="00D60CF0" w:rsidRPr="00C8251D" w:rsidTr="00580CBD">
        <w:trPr>
          <w:tblHeader/>
        </w:trPr>
        <w:tc>
          <w:tcPr>
            <w:tcW w:w="3510" w:type="dxa"/>
            <w:shd w:val="clear" w:color="auto" w:fill="1F497D" w:themeFill="text2"/>
          </w:tcPr>
          <w:p w:rsidR="00D60CF0" w:rsidRPr="00504D4B" w:rsidRDefault="00D60CF0" w:rsidP="00580CBD">
            <w:pPr>
              <w:pStyle w:val="BodyText"/>
              <w:rPr>
                <w:b/>
                <w:color w:val="FFFFFF" w:themeColor="background1"/>
                <w:sz w:val="20"/>
              </w:rPr>
            </w:pPr>
            <w:r w:rsidRPr="00504D4B">
              <w:rPr>
                <w:b/>
                <w:color w:val="FFFFFF" w:themeColor="background1"/>
                <w:sz w:val="20"/>
              </w:rPr>
              <w:t>Option</w:t>
            </w:r>
          </w:p>
        </w:tc>
        <w:tc>
          <w:tcPr>
            <w:tcW w:w="5103" w:type="dxa"/>
            <w:shd w:val="clear" w:color="auto" w:fill="1F497D" w:themeFill="text2"/>
            <w:vAlign w:val="center"/>
          </w:tcPr>
          <w:p w:rsidR="00D60CF0" w:rsidRPr="00504D4B" w:rsidRDefault="00D60CF0" w:rsidP="00C41592">
            <w:pPr>
              <w:pStyle w:val="BodyText"/>
              <w:jc w:val="right"/>
              <w:rPr>
                <w:b/>
                <w:color w:val="FFFFFF" w:themeColor="background1"/>
                <w:sz w:val="20"/>
              </w:rPr>
            </w:pPr>
            <w:r w:rsidRPr="00504D4B">
              <w:rPr>
                <w:b/>
                <w:color w:val="FFFFFF" w:themeColor="background1"/>
                <w:sz w:val="20"/>
              </w:rPr>
              <w:t>Proportion of all Equipment Disposals</w:t>
            </w:r>
          </w:p>
        </w:tc>
      </w:tr>
      <w:tr w:rsidR="00D60CF0" w:rsidRPr="00C8251D" w:rsidTr="00580CBD">
        <w:tc>
          <w:tcPr>
            <w:tcW w:w="3510" w:type="dxa"/>
            <w:shd w:val="clear" w:color="auto" w:fill="C6D9F1" w:themeFill="text2" w:themeFillTint="33"/>
          </w:tcPr>
          <w:p w:rsidR="00D60CF0" w:rsidRPr="00C8251D" w:rsidRDefault="00D60CF0" w:rsidP="00580CBD">
            <w:pPr>
              <w:pStyle w:val="BodyText"/>
              <w:rPr>
                <w:sz w:val="20"/>
              </w:rPr>
            </w:pPr>
            <w:r>
              <w:rPr>
                <w:sz w:val="20"/>
              </w:rPr>
              <w:t>Base Case (Status Quo)</w:t>
            </w:r>
          </w:p>
        </w:tc>
        <w:tc>
          <w:tcPr>
            <w:tcW w:w="5103" w:type="dxa"/>
            <w:vAlign w:val="center"/>
          </w:tcPr>
          <w:p w:rsidR="00D60CF0" w:rsidRPr="00C8251D" w:rsidRDefault="00D60CF0" w:rsidP="00580CBD">
            <w:pPr>
              <w:pStyle w:val="BodyText"/>
              <w:jc w:val="right"/>
              <w:rPr>
                <w:sz w:val="20"/>
              </w:rPr>
            </w:pPr>
            <w:r>
              <w:rPr>
                <w:sz w:val="20"/>
              </w:rPr>
              <w:t>30 per cent</w:t>
            </w:r>
          </w:p>
        </w:tc>
      </w:tr>
      <w:tr w:rsidR="00D60CF0" w:rsidRPr="00C8251D" w:rsidTr="00580CBD">
        <w:tc>
          <w:tcPr>
            <w:tcW w:w="3510" w:type="dxa"/>
            <w:shd w:val="clear" w:color="auto" w:fill="C6D9F1" w:themeFill="text2" w:themeFillTint="33"/>
          </w:tcPr>
          <w:p w:rsidR="00D60CF0" w:rsidRPr="00C8251D" w:rsidRDefault="00D60CF0" w:rsidP="00580CBD">
            <w:pPr>
              <w:pStyle w:val="BodyText"/>
              <w:rPr>
                <w:sz w:val="20"/>
              </w:rPr>
            </w:pPr>
            <w:r w:rsidRPr="00C8251D">
              <w:rPr>
                <w:sz w:val="20"/>
              </w:rPr>
              <w:t>Option 1 – Voluntary Scheme</w:t>
            </w:r>
          </w:p>
        </w:tc>
        <w:tc>
          <w:tcPr>
            <w:tcW w:w="5103" w:type="dxa"/>
            <w:vAlign w:val="center"/>
          </w:tcPr>
          <w:p w:rsidR="00D60CF0" w:rsidRPr="00C8251D" w:rsidRDefault="00D60CF0" w:rsidP="00580CBD">
            <w:pPr>
              <w:pStyle w:val="BodyText"/>
              <w:jc w:val="right"/>
              <w:rPr>
                <w:sz w:val="20"/>
              </w:rPr>
            </w:pPr>
            <w:r>
              <w:rPr>
                <w:sz w:val="20"/>
              </w:rPr>
              <w:t>35 per cent</w:t>
            </w:r>
          </w:p>
        </w:tc>
      </w:tr>
      <w:tr w:rsidR="00D60CF0" w:rsidRPr="00C8251D" w:rsidTr="00580CBD">
        <w:tc>
          <w:tcPr>
            <w:tcW w:w="3510" w:type="dxa"/>
            <w:shd w:val="clear" w:color="auto" w:fill="C6D9F1" w:themeFill="text2" w:themeFillTint="33"/>
          </w:tcPr>
          <w:p w:rsidR="00D60CF0" w:rsidRPr="00C8251D" w:rsidRDefault="00D60CF0" w:rsidP="00580CBD">
            <w:pPr>
              <w:pStyle w:val="BodyText"/>
              <w:rPr>
                <w:sz w:val="20"/>
              </w:rPr>
            </w:pPr>
            <w:r w:rsidRPr="00C8251D">
              <w:rPr>
                <w:sz w:val="20"/>
              </w:rPr>
              <w:t>Option 2 – Co-Regulatory Approach</w:t>
            </w:r>
          </w:p>
        </w:tc>
        <w:tc>
          <w:tcPr>
            <w:tcW w:w="5103" w:type="dxa"/>
            <w:vAlign w:val="center"/>
          </w:tcPr>
          <w:p w:rsidR="00D60CF0" w:rsidRPr="00C8251D" w:rsidRDefault="00D60CF0" w:rsidP="00580CBD">
            <w:pPr>
              <w:pStyle w:val="BodyText"/>
              <w:jc w:val="right"/>
              <w:rPr>
                <w:sz w:val="20"/>
              </w:rPr>
            </w:pPr>
            <w:r>
              <w:rPr>
                <w:sz w:val="20"/>
              </w:rPr>
              <w:t>35 per cent</w:t>
            </w:r>
          </w:p>
        </w:tc>
      </w:tr>
      <w:tr w:rsidR="00D60CF0" w:rsidRPr="00C8251D" w:rsidTr="00580CBD">
        <w:tc>
          <w:tcPr>
            <w:tcW w:w="3510" w:type="dxa"/>
            <w:shd w:val="clear" w:color="auto" w:fill="C6D9F1" w:themeFill="text2" w:themeFillTint="33"/>
          </w:tcPr>
          <w:p w:rsidR="00D60CF0" w:rsidRPr="00C8251D" w:rsidRDefault="00D60CF0" w:rsidP="00580CBD">
            <w:pPr>
              <w:pStyle w:val="BodyText"/>
              <w:rPr>
                <w:sz w:val="20"/>
              </w:rPr>
            </w:pPr>
            <w:r w:rsidRPr="00C8251D">
              <w:rPr>
                <w:sz w:val="20"/>
              </w:rPr>
              <w:t>Option 3 – Mandatory Scheme</w:t>
            </w:r>
          </w:p>
        </w:tc>
        <w:tc>
          <w:tcPr>
            <w:tcW w:w="5103" w:type="dxa"/>
            <w:vAlign w:val="center"/>
          </w:tcPr>
          <w:p w:rsidR="00D60CF0" w:rsidRPr="00C8251D" w:rsidRDefault="00D60CF0" w:rsidP="00580CBD">
            <w:pPr>
              <w:pStyle w:val="BodyText"/>
              <w:jc w:val="right"/>
              <w:rPr>
                <w:sz w:val="20"/>
              </w:rPr>
            </w:pPr>
            <w:r>
              <w:rPr>
                <w:sz w:val="20"/>
              </w:rPr>
              <w:t>70 per cent</w:t>
            </w:r>
          </w:p>
        </w:tc>
      </w:tr>
    </w:tbl>
    <w:p w:rsidR="00D60CF0" w:rsidRDefault="00D60CF0" w:rsidP="00D60CF0">
      <w:pPr>
        <w:pStyle w:val="Source"/>
      </w:pPr>
      <w:r>
        <w:t>Source: Department of the Environment and industry consultation</w:t>
      </w:r>
    </w:p>
    <w:p w:rsidR="00BD67F1" w:rsidRDefault="006B4A9B" w:rsidP="00CF744A">
      <w:pPr>
        <w:pStyle w:val="BodyText"/>
      </w:pPr>
      <w:r>
        <w:t>I</w:t>
      </w:r>
      <w:r w:rsidR="00B45DB2">
        <w:t>ndustry consultation suggests that t</w:t>
      </w:r>
      <w:r w:rsidR="000A56E5">
        <w:t xml:space="preserve">here are a number of </w:t>
      </w:r>
      <w:r w:rsidR="00D6559E">
        <w:t xml:space="preserve">potential </w:t>
      </w:r>
      <w:r w:rsidR="000A56E5">
        <w:t>costs associated with retailer take back activities, including:</w:t>
      </w:r>
    </w:p>
    <w:p w:rsidR="0081406E" w:rsidRDefault="000A56E5">
      <w:pPr>
        <w:pStyle w:val="BulletText"/>
      </w:pPr>
      <w:r>
        <w:t>cost of collection of equipment from household (estimated to be approximately $</w:t>
      </w:r>
      <w:r w:rsidR="00C41592">
        <w:t xml:space="preserve">15-30 </w:t>
      </w:r>
      <w:r>
        <w:t>per unit);</w:t>
      </w:r>
    </w:p>
    <w:p w:rsidR="0081406E" w:rsidRDefault="000A56E5">
      <w:pPr>
        <w:pStyle w:val="BulletText"/>
      </w:pPr>
      <w:r>
        <w:t>cost of degassing equipment (estimated to be approximately $</w:t>
      </w:r>
      <w:r w:rsidR="00C41592">
        <w:t>15-</w:t>
      </w:r>
      <w:r>
        <w:t>30 per unit); and</w:t>
      </w:r>
    </w:p>
    <w:p w:rsidR="0081406E" w:rsidRDefault="000A56E5">
      <w:pPr>
        <w:pStyle w:val="BulletText"/>
      </w:pPr>
      <w:proofErr w:type="gramStart"/>
      <w:r>
        <w:lastRenderedPageBreak/>
        <w:t>cost</w:t>
      </w:r>
      <w:proofErr w:type="gramEnd"/>
      <w:r>
        <w:t xml:space="preserve"> of transporting equipment to metal recycler or shredder (estimated to be $</w:t>
      </w:r>
      <w:r w:rsidR="00C41592">
        <w:t xml:space="preserve">15-30 </w:t>
      </w:r>
      <w:r>
        <w:t>per unit).</w:t>
      </w:r>
    </w:p>
    <w:p w:rsidR="00D60CF0" w:rsidRDefault="006B73DF" w:rsidP="00CF744A">
      <w:pPr>
        <w:pStyle w:val="BodyText"/>
      </w:pPr>
      <w:r>
        <w:t xml:space="preserve">There are potentially some economies of scale associated with higher volumes of equipment. </w:t>
      </w:r>
      <w:r w:rsidR="006B4A9B">
        <w:t xml:space="preserve">There is some degree of uncertainty regarding the incidence of transport costs associated with retailer take-back schemes. </w:t>
      </w:r>
      <w:r w:rsidR="00D60CF0">
        <w:t xml:space="preserve">It is expected that the cost of transport </w:t>
      </w:r>
      <w:r w:rsidR="003B13B0">
        <w:t>would be incurred under the base case and each option. Accordingly, the incremental cost of retailer take back activities under each option was assumed to be equivalent to the cost of collecting and degassing equipment (</w:t>
      </w:r>
      <w:r>
        <w:t xml:space="preserve">assumed to be </w:t>
      </w:r>
      <w:r w:rsidR="003B13B0">
        <w:t>$</w:t>
      </w:r>
      <w:r w:rsidR="00C41592">
        <w:t xml:space="preserve">40 </w:t>
      </w:r>
      <w:r w:rsidR="003B13B0">
        <w:t xml:space="preserve">per unit in total). </w:t>
      </w:r>
      <w:r w:rsidR="006B4A9B">
        <w:t xml:space="preserve">It is recognised that this potentially understates the overall costs where additional transport activity is required. </w:t>
      </w:r>
      <w:r w:rsidR="001931BD">
        <w:t>Further detail on the retailer take back scheme assumptions are provided in Appendix C.</w:t>
      </w:r>
    </w:p>
    <w:p w:rsidR="000A56E5" w:rsidRDefault="000A56E5" w:rsidP="00CF744A">
      <w:pPr>
        <w:pStyle w:val="BodyText"/>
      </w:pPr>
      <w:r>
        <w:t>Consultation indicated that costs would likely be higher in regional areas where the rate of unit disposals is lower and distance to points of disposal are further</w:t>
      </w:r>
      <w:r w:rsidR="00B02F74">
        <w:rPr>
          <w:rStyle w:val="FootnoteReference"/>
        </w:rPr>
        <w:footnoteReference w:id="19"/>
      </w:r>
      <w:r>
        <w:t>.</w:t>
      </w:r>
      <w:r w:rsidR="006B73DF">
        <w:t xml:space="preserve"> Sensitivity analysis was undertaken to test the impact of changes in retailer take back scheme cost assumptions on the overall results of the analysis.</w:t>
      </w:r>
    </w:p>
    <w:p w:rsidR="00F50FB3" w:rsidRDefault="00F50FB3" w:rsidP="00CF744A">
      <w:pPr>
        <w:pStyle w:val="BodyText"/>
      </w:pPr>
      <w:r>
        <w:t>The</w:t>
      </w:r>
      <w:r w:rsidR="00B02F74">
        <w:t xml:space="preserve"> </w:t>
      </w:r>
      <w:r>
        <w:t>costs associated with retailer take back schemes</w:t>
      </w:r>
      <w:r w:rsidR="00B02F74">
        <w:t xml:space="preserve"> under each option, relative to the base case,</w:t>
      </w:r>
      <w:r>
        <w:t xml:space="preserve"> </w:t>
      </w:r>
      <w:r w:rsidR="001931BD">
        <w:t xml:space="preserve">over the 10 years of the analysis </w:t>
      </w:r>
      <w:r>
        <w:t xml:space="preserve">are outlined in </w:t>
      </w:r>
      <w:r w:rsidR="00586F30">
        <w:fldChar w:fldCharType="begin"/>
      </w:r>
      <w:r>
        <w:instrText xml:space="preserve"> REF _Ref391320894 \h </w:instrText>
      </w:r>
      <w:r w:rsidR="00586F30">
        <w:fldChar w:fldCharType="separate"/>
      </w:r>
      <w:r w:rsidR="001E5D7A">
        <w:t xml:space="preserve">Table </w:t>
      </w:r>
      <w:r w:rsidR="001E5D7A">
        <w:rPr>
          <w:noProof/>
        </w:rPr>
        <w:t>4</w:t>
      </w:r>
      <w:r w:rsidR="001E5D7A">
        <w:noBreakHyphen/>
      </w:r>
      <w:r w:rsidR="001E5D7A">
        <w:rPr>
          <w:noProof/>
        </w:rPr>
        <w:t>4</w:t>
      </w:r>
      <w:r w:rsidR="00586F30">
        <w:fldChar w:fldCharType="end"/>
      </w:r>
      <w:r>
        <w:t>.</w:t>
      </w:r>
      <w:r w:rsidR="00227D51">
        <w:t xml:space="preserve"> </w:t>
      </w:r>
      <w:r w:rsidR="001931BD">
        <w:t>Annual costs are provided in Appendix D.</w:t>
      </w:r>
    </w:p>
    <w:p w:rsidR="00F50FB3" w:rsidRPr="00957A1E" w:rsidRDefault="00F50FB3" w:rsidP="00F50FB3">
      <w:pPr>
        <w:pStyle w:val="Caption"/>
        <w:rPr>
          <w:vertAlign w:val="superscript"/>
        </w:rPr>
      </w:pPr>
      <w:bookmarkStart w:id="43" w:name="_Ref391320894"/>
      <w:r>
        <w:t xml:space="preserve">Table </w:t>
      </w:r>
      <w:r w:rsidR="00586F30">
        <w:fldChar w:fldCharType="begin"/>
      </w:r>
      <w:r w:rsidR="00C478AE">
        <w:instrText xml:space="preserve"> STYLEREF 1 \s </w:instrText>
      </w:r>
      <w:r w:rsidR="00586F30">
        <w:fldChar w:fldCharType="separate"/>
      </w:r>
      <w:r w:rsidR="001E5D7A">
        <w:rPr>
          <w:noProof/>
        </w:rPr>
        <w:t>4</w:t>
      </w:r>
      <w:r w:rsidR="00586F30">
        <w:rPr>
          <w:noProof/>
        </w:rPr>
        <w:fldChar w:fldCharType="end"/>
      </w:r>
      <w:r w:rsidR="00CE3BAC">
        <w:noBreakHyphen/>
      </w:r>
      <w:r w:rsidR="00586F30">
        <w:fldChar w:fldCharType="begin"/>
      </w:r>
      <w:r w:rsidR="00C478AE">
        <w:instrText xml:space="preserve"> SEQ Table \* ARABIC \s 1 </w:instrText>
      </w:r>
      <w:r w:rsidR="00586F30">
        <w:fldChar w:fldCharType="separate"/>
      </w:r>
      <w:r w:rsidR="001E5D7A">
        <w:rPr>
          <w:noProof/>
        </w:rPr>
        <w:t>4</w:t>
      </w:r>
      <w:r w:rsidR="00586F30">
        <w:rPr>
          <w:noProof/>
        </w:rPr>
        <w:fldChar w:fldCharType="end"/>
      </w:r>
      <w:bookmarkEnd w:id="43"/>
      <w:r>
        <w:t>: Costs of retailer take back schemes (</w:t>
      </w:r>
      <w:r w:rsidR="00A35EFE">
        <w:t xml:space="preserve">$ million </w:t>
      </w:r>
      <w:r>
        <w:t>PV @ 7%</w:t>
      </w:r>
      <w:r w:rsidR="00455CB0">
        <w:t>)</w:t>
      </w:r>
      <w:r w:rsidR="00455CB0">
        <w:rPr>
          <w:vertAlign w:val="superscript"/>
        </w:rPr>
        <w:t xml:space="preserve"> a</w:t>
      </w:r>
    </w:p>
    <w:tbl>
      <w:tblPr>
        <w:tblStyle w:val="TableGrid"/>
        <w:tblW w:w="0" w:type="auto"/>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tblPr>
      <w:tblGrid>
        <w:gridCol w:w="3510"/>
        <w:gridCol w:w="5103"/>
      </w:tblGrid>
      <w:tr w:rsidR="00C41592" w:rsidRPr="00C8251D" w:rsidTr="00C41592">
        <w:trPr>
          <w:tblHeader/>
        </w:trPr>
        <w:tc>
          <w:tcPr>
            <w:tcW w:w="3510" w:type="dxa"/>
            <w:vMerge w:val="restart"/>
            <w:shd w:val="clear" w:color="auto" w:fill="1F497D" w:themeFill="text2"/>
            <w:vAlign w:val="center"/>
          </w:tcPr>
          <w:p w:rsidR="00586D48" w:rsidRDefault="00C41592">
            <w:pPr>
              <w:pStyle w:val="BodyText"/>
              <w:jc w:val="left"/>
              <w:rPr>
                <w:b/>
                <w:color w:val="FFFFFF" w:themeColor="background1"/>
                <w:sz w:val="20"/>
              </w:rPr>
            </w:pPr>
            <w:r w:rsidRPr="00504D4B">
              <w:rPr>
                <w:b/>
                <w:color w:val="FFFFFF" w:themeColor="background1"/>
                <w:sz w:val="20"/>
              </w:rPr>
              <w:t>Option</w:t>
            </w:r>
          </w:p>
        </w:tc>
        <w:tc>
          <w:tcPr>
            <w:tcW w:w="5103" w:type="dxa"/>
            <w:shd w:val="clear" w:color="auto" w:fill="1F497D" w:themeFill="text2"/>
            <w:vAlign w:val="center"/>
          </w:tcPr>
          <w:p w:rsidR="00586D48" w:rsidRDefault="004C7F41" w:rsidP="001931BD">
            <w:pPr>
              <w:pStyle w:val="BodyText"/>
              <w:jc w:val="center"/>
              <w:rPr>
                <w:b/>
                <w:color w:val="FFFFFF" w:themeColor="background1"/>
                <w:sz w:val="20"/>
              </w:rPr>
            </w:pPr>
            <w:r w:rsidRPr="004C7F41">
              <w:rPr>
                <w:b/>
                <w:color w:val="FFFFFF" w:themeColor="background1"/>
              </w:rPr>
              <w:t>$ million PV @ 7%</w:t>
            </w:r>
            <w:r w:rsidR="001931BD">
              <w:rPr>
                <w:b/>
                <w:color w:val="FFFFFF" w:themeColor="background1"/>
              </w:rPr>
              <w:t xml:space="preserve"> (2014-2024)</w:t>
            </w:r>
          </w:p>
        </w:tc>
      </w:tr>
      <w:tr w:rsidR="00C41592" w:rsidRPr="00C8251D" w:rsidTr="00C41592">
        <w:trPr>
          <w:tblHeader/>
        </w:trPr>
        <w:tc>
          <w:tcPr>
            <w:tcW w:w="3510" w:type="dxa"/>
            <w:vMerge/>
            <w:shd w:val="clear" w:color="auto" w:fill="1F497D" w:themeFill="text2"/>
          </w:tcPr>
          <w:p w:rsidR="00C41592" w:rsidRPr="00504D4B" w:rsidRDefault="00C41592" w:rsidP="006F3822">
            <w:pPr>
              <w:pStyle w:val="BodyText"/>
              <w:rPr>
                <w:b/>
                <w:color w:val="FFFFFF" w:themeColor="background1"/>
                <w:sz w:val="20"/>
              </w:rPr>
            </w:pPr>
          </w:p>
        </w:tc>
        <w:tc>
          <w:tcPr>
            <w:tcW w:w="5103" w:type="dxa"/>
            <w:shd w:val="clear" w:color="auto" w:fill="1F497D" w:themeFill="text2"/>
            <w:vAlign w:val="center"/>
          </w:tcPr>
          <w:p w:rsidR="00C41592" w:rsidRPr="00504D4B" w:rsidRDefault="00C41592" w:rsidP="00F268D2">
            <w:pPr>
              <w:pStyle w:val="BodyText"/>
              <w:jc w:val="right"/>
              <w:rPr>
                <w:b/>
                <w:color w:val="FFFFFF" w:themeColor="background1"/>
                <w:sz w:val="20"/>
              </w:rPr>
            </w:pPr>
            <w:r w:rsidRPr="00504D4B">
              <w:rPr>
                <w:b/>
                <w:color w:val="FFFFFF" w:themeColor="background1"/>
                <w:sz w:val="20"/>
              </w:rPr>
              <w:t>Costs of Increased Retailer Take Back Scheme Recovery</w:t>
            </w:r>
          </w:p>
        </w:tc>
      </w:tr>
      <w:tr w:rsidR="00C91F78" w:rsidRPr="00C8251D" w:rsidTr="00580CBD">
        <w:tc>
          <w:tcPr>
            <w:tcW w:w="3510" w:type="dxa"/>
            <w:shd w:val="clear" w:color="auto" w:fill="C6D9F1" w:themeFill="text2" w:themeFillTint="33"/>
          </w:tcPr>
          <w:p w:rsidR="00C91F78" w:rsidRPr="00C8251D" w:rsidRDefault="00C91F78" w:rsidP="006F3822">
            <w:pPr>
              <w:pStyle w:val="BodyText"/>
              <w:rPr>
                <w:sz w:val="20"/>
              </w:rPr>
            </w:pPr>
            <w:r w:rsidRPr="00C8251D">
              <w:rPr>
                <w:sz w:val="20"/>
              </w:rPr>
              <w:t>Option 1 – Voluntary Scheme</w:t>
            </w:r>
          </w:p>
        </w:tc>
        <w:tc>
          <w:tcPr>
            <w:tcW w:w="5103" w:type="dxa"/>
            <w:vAlign w:val="bottom"/>
          </w:tcPr>
          <w:p w:rsidR="00C91F78" w:rsidRPr="00C8251D" w:rsidRDefault="00C91F78" w:rsidP="00C41592">
            <w:pPr>
              <w:pStyle w:val="BodyText"/>
              <w:jc w:val="right"/>
              <w:rPr>
                <w:sz w:val="20"/>
              </w:rPr>
            </w:pPr>
            <w:r>
              <w:rPr>
                <w:color w:val="000000"/>
                <w:sz w:val="20"/>
              </w:rPr>
              <w:t>$</w:t>
            </w:r>
            <w:r w:rsidR="00C41592">
              <w:rPr>
                <w:color w:val="000000"/>
                <w:sz w:val="20"/>
              </w:rPr>
              <w:t>14.8</w:t>
            </w:r>
          </w:p>
        </w:tc>
      </w:tr>
      <w:tr w:rsidR="00C91F78" w:rsidRPr="00C8251D" w:rsidTr="00580CBD">
        <w:tc>
          <w:tcPr>
            <w:tcW w:w="3510" w:type="dxa"/>
            <w:shd w:val="clear" w:color="auto" w:fill="C6D9F1" w:themeFill="text2" w:themeFillTint="33"/>
          </w:tcPr>
          <w:p w:rsidR="00C91F78" w:rsidRPr="00C8251D" w:rsidRDefault="00C91F78" w:rsidP="006F3822">
            <w:pPr>
              <w:pStyle w:val="BodyText"/>
              <w:rPr>
                <w:sz w:val="20"/>
              </w:rPr>
            </w:pPr>
            <w:r w:rsidRPr="00C8251D">
              <w:rPr>
                <w:sz w:val="20"/>
              </w:rPr>
              <w:t>Option 2 – Co-Regulatory Approach</w:t>
            </w:r>
          </w:p>
        </w:tc>
        <w:tc>
          <w:tcPr>
            <w:tcW w:w="5103" w:type="dxa"/>
            <w:vAlign w:val="bottom"/>
          </w:tcPr>
          <w:p w:rsidR="00C91F78" w:rsidRPr="00C8251D" w:rsidRDefault="00C91F78" w:rsidP="00C41592">
            <w:pPr>
              <w:pStyle w:val="BodyText"/>
              <w:jc w:val="right"/>
              <w:rPr>
                <w:sz w:val="20"/>
              </w:rPr>
            </w:pPr>
            <w:r>
              <w:rPr>
                <w:color w:val="000000"/>
                <w:sz w:val="20"/>
              </w:rPr>
              <w:t>$</w:t>
            </w:r>
            <w:r w:rsidR="00C41592">
              <w:rPr>
                <w:color w:val="000000"/>
                <w:sz w:val="20"/>
              </w:rPr>
              <w:t>14.8</w:t>
            </w:r>
          </w:p>
        </w:tc>
      </w:tr>
      <w:tr w:rsidR="00C91F78" w:rsidRPr="00C8251D" w:rsidTr="00580CBD">
        <w:tc>
          <w:tcPr>
            <w:tcW w:w="3510" w:type="dxa"/>
            <w:shd w:val="clear" w:color="auto" w:fill="C6D9F1" w:themeFill="text2" w:themeFillTint="33"/>
          </w:tcPr>
          <w:p w:rsidR="00C91F78" w:rsidRPr="00C8251D" w:rsidRDefault="00C91F78" w:rsidP="006F3822">
            <w:pPr>
              <w:pStyle w:val="BodyText"/>
              <w:rPr>
                <w:sz w:val="20"/>
              </w:rPr>
            </w:pPr>
            <w:r w:rsidRPr="00C8251D">
              <w:rPr>
                <w:sz w:val="20"/>
              </w:rPr>
              <w:t>Option 3 – Mandatory Scheme</w:t>
            </w:r>
          </w:p>
        </w:tc>
        <w:tc>
          <w:tcPr>
            <w:tcW w:w="5103" w:type="dxa"/>
            <w:vAlign w:val="bottom"/>
          </w:tcPr>
          <w:p w:rsidR="00C91F78" w:rsidRPr="00C8251D" w:rsidRDefault="00C91F78" w:rsidP="00C41592">
            <w:pPr>
              <w:pStyle w:val="BodyText"/>
              <w:jc w:val="right"/>
              <w:rPr>
                <w:sz w:val="20"/>
              </w:rPr>
            </w:pPr>
            <w:r>
              <w:rPr>
                <w:color w:val="000000"/>
                <w:sz w:val="20"/>
              </w:rPr>
              <w:t>$1</w:t>
            </w:r>
            <w:r w:rsidR="00C41592">
              <w:rPr>
                <w:color w:val="000000"/>
                <w:sz w:val="20"/>
              </w:rPr>
              <w:t>18.3</w:t>
            </w:r>
          </w:p>
        </w:tc>
      </w:tr>
    </w:tbl>
    <w:p w:rsidR="00957A1E" w:rsidRDefault="00957A1E" w:rsidP="00F50FB3">
      <w:pPr>
        <w:pStyle w:val="Source"/>
      </w:pPr>
      <w:proofErr w:type="spellStart"/>
      <w:proofErr w:type="gramStart"/>
      <w:r>
        <w:rPr>
          <w:vertAlign w:val="superscript"/>
        </w:rPr>
        <w:t>a</w:t>
      </w:r>
      <w:proofErr w:type="spellEnd"/>
      <w:proofErr w:type="gramEnd"/>
      <w:r>
        <w:rPr>
          <w:vertAlign w:val="superscript"/>
        </w:rPr>
        <w:t xml:space="preserve"> </w:t>
      </w:r>
      <w:r>
        <w:rPr>
          <w:vertAlign w:val="superscript"/>
        </w:rPr>
        <w:tab/>
      </w:r>
      <w:r>
        <w:t>It is important to note that the costs of retailer take back activities is based on information provided through consultation with industry. Detailed testing of these costs has not being undertaken as a part of this analysis.</w:t>
      </w:r>
    </w:p>
    <w:p w:rsidR="00F50FB3" w:rsidRDefault="00F50FB3" w:rsidP="00F50FB3">
      <w:pPr>
        <w:pStyle w:val="Source"/>
      </w:pPr>
      <w:r>
        <w:t xml:space="preserve">Source: </w:t>
      </w:r>
      <w:r w:rsidR="00A34FB4">
        <w:t>Department of the Environment, i</w:t>
      </w:r>
      <w:r w:rsidR="000A56E5">
        <w:t>ndustry consultation and KPMG analysis</w:t>
      </w:r>
    </w:p>
    <w:p w:rsidR="0081406E" w:rsidRDefault="00C116D4">
      <w:pPr>
        <w:pStyle w:val="BodyText"/>
      </w:pPr>
      <w:r>
        <w:t xml:space="preserve">The </w:t>
      </w:r>
      <w:proofErr w:type="gramStart"/>
      <w:r>
        <w:t>costs associated with recovery through retailer take back schemes is</w:t>
      </w:r>
      <w:proofErr w:type="gramEnd"/>
      <w:r>
        <w:t xml:space="preserve"> significantly higher under the mandatory scheme. </w:t>
      </w:r>
      <w:r w:rsidR="00B45DB2">
        <w:t xml:space="preserve">This is due to the higher rate of </w:t>
      </w:r>
      <w:r w:rsidR="00C31247">
        <w:t>disposals</w:t>
      </w:r>
      <w:r w:rsidR="00B45DB2">
        <w:t xml:space="preserve"> through retailer schemes as outlined in </w:t>
      </w:r>
      <w:r w:rsidR="00586F30">
        <w:fldChar w:fldCharType="begin"/>
      </w:r>
      <w:r w:rsidR="00C31247">
        <w:instrText xml:space="preserve"> REF _Ref392852429 \h </w:instrText>
      </w:r>
      <w:r w:rsidR="00586F30">
        <w:fldChar w:fldCharType="separate"/>
      </w:r>
      <w:r w:rsidR="001E5D7A">
        <w:t xml:space="preserve">Table </w:t>
      </w:r>
      <w:r w:rsidR="001E5D7A">
        <w:rPr>
          <w:noProof/>
        </w:rPr>
        <w:t>4</w:t>
      </w:r>
      <w:r w:rsidR="001E5D7A">
        <w:noBreakHyphen/>
      </w:r>
      <w:r w:rsidR="001E5D7A">
        <w:rPr>
          <w:noProof/>
        </w:rPr>
        <w:t>3</w:t>
      </w:r>
      <w:r w:rsidR="00586F30">
        <w:fldChar w:fldCharType="end"/>
      </w:r>
      <w:r w:rsidR="00504D4B">
        <w:t xml:space="preserve"> due to the regulation of retailer take back schemes</w:t>
      </w:r>
      <w:r w:rsidR="00957A1E">
        <w:t>.</w:t>
      </w:r>
      <w:r>
        <w:t xml:space="preserve"> </w:t>
      </w:r>
      <w:r w:rsidR="00957A1E">
        <w:t>T</w:t>
      </w:r>
      <w:r>
        <w:t xml:space="preserve">here is potential that the average cost per unit could decrease </w:t>
      </w:r>
      <w:r w:rsidR="001C36AA">
        <w:t xml:space="preserve">due to economies of scale </w:t>
      </w:r>
      <w:r>
        <w:t xml:space="preserve">as the number of </w:t>
      </w:r>
      <w:proofErr w:type="gramStart"/>
      <w:r>
        <w:t>units</w:t>
      </w:r>
      <w:proofErr w:type="gramEnd"/>
      <w:r>
        <w:t xml:space="preserve"> recovered increases. </w:t>
      </w:r>
    </w:p>
    <w:p w:rsidR="001931BD" w:rsidRDefault="001931BD">
      <w:pPr>
        <w:pStyle w:val="BodyText"/>
      </w:pPr>
      <w:r>
        <w:t xml:space="preserve">There are no retailer take back schemes for air conditioners. Accordingly, all retailer take back schemes are associated with the recovery of refrigerators and freezers at end of life. </w:t>
      </w:r>
    </w:p>
    <w:p w:rsidR="0081406E" w:rsidRDefault="00227D51">
      <w:pPr>
        <w:pStyle w:val="Heading3"/>
      </w:pPr>
      <w:r>
        <w:lastRenderedPageBreak/>
        <w:t>Costs of disassembly</w:t>
      </w:r>
    </w:p>
    <w:p w:rsidR="0081406E" w:rsidRDefault="009E1823">
      <w:pPr>
        <w:pStyle w:val="BodyText"/>
      </w:pPr>
      <w:r>
        <w:t>Reducing the volume of RAC equipment waste to landfill requires disassembly of the unit to recover plastics and other materials. Consultation with industry suggests that complete disassemble takes about one hour per RAC unit and costs between $20 and $30 per unit</w:t>
      </w:r>
      <w:r>
        <w:rPr>
          <w:rStyle w:val="FootnoteReference"/>
        </w:rPr>
        <w:footnoteReference w:id="20"/>
      </w:r>
      <w:r>
        <w:t xml:space="preserve">. </w:t>
      </w:r>
      <w:r w:rsidR="00FF7AB7">
        <w:t>For the purpose of the analysis, the cost of disassembly was assumed to be $</w:t>
      </w:r>
      <w:r w:rsidR="00C41592">
        <w:t xml:space="preserve">20 </w:t>
      </w:r>
      <w:r w:rsidR="00FF7AB7">
        <w:t xml:space="preserve">per unit. </w:t>
      </w:r>
      <w:r w:rsidR="00C41592">
        <w:t xml:space="preserve">Consultation with industry suggest there may be some scope for these costs to decrease as recycling levels increase through economies of scale. This cost efficiency is reflected in the cost per unit being consistent with the lower bound of industry expectations. </w:t>
      </w:r>
      <w:r w:rsidR="00785131">
        <w:t xml:space="preserve">The </w:t>
      </w:r>
      <w:r w:rsidR="00C91F78">
        <w:t>proportion</w:t>
      </w:r>
      <w:r w:rsidR="00785131">
        <w:t xml:space="preserve"> of units disassembled </w:t>
      </w:r>
      <w:r w:rsidR="00FF7AB7">
        <w:t xml:space="preserve">and cost of disassembly </w:t>
      </w:r>
      <w:r w:rsidR="00785131">
        <w:t>under each option</w:t>
      </w:r>
      <w:r w:rsidR="009C0D61">
        <w:t xml:space="preserve"> over the 10 years of the analysis</w:t>
      </w:r>
      <w:r w:rsidR="00785131">
        <w:t xml:space="preserve"> is outlined</w:t>
      </w:r>
      <w:r w:rsidR="00166708">
        <w:t xml:space="preserve"> </w:t>
      </w:r>
      <w:r w:rsidR="00586F30">
        <w:fldChar w:fldCharType="begin"/>
      </w:r>
      <w:r w:rsidR="00166708">
        <w:instrText xml:space="preserve"> REF _Ref392415163 \h </w:instrText>
      </w:r>
      <w:r w:rsidR="00586F30">
        <w:fldChar w:fldCharType="separate"/>
      </w:r>
      <w:r w:rsidR="001E5D7A">
        <w:t xml:space="preserve">Table </w:t>
      </w:r>
      <w:r w:rsidR="001E5D7A">
        <w:rPr>
          <w:noProof/>
        </w:rPr>
        <w:t>4</w:t>
      </w:r>
      <w:r w:rsidR="001E5D7A">
        <w:noBreakHyphen/>
      </w:r>
      <w:r w:rsidR="001E5D7A">
        <w:rPr>
          <w:noProof/>
        </w:rPr>
        <w:t>5</w:t>
      </w:r>
      <w:r w:rsidR="00586F30">
        <w:fldChar w:fldCharType="end"/>
      </w:r>
      <w:r w:rsidR="00166708">
        <w:t xml:space="preserve">. </w:t>
      </w:r>
      <w:r w:rsidR="009C0D61">
        <w:t xml:space="preserve">Annual estimates of the costs of disassembly are outlined in Appendix D. </w:t>
      </w:r>
    </w:p>
    <w:p w:rsidR="00785131" w:rsidRPr="00785131" w:rsidRDefault="00785131" w:rsidP="00785131">
      <w:pPr>
        <w:pStyle w:val="Caption"/>
      </w:pPr>
      <w:bookmarkStart w:id="44" w:name="_Ref392415163"/>
      <w:r>
        <w:t xml:space="preserve">Table </w:t>
      </w:r>
      <w:r w:rsidR="00586F30">
        <w:fldChar w:fldCharType="begin"/>
      </w:r>
      <w:r w:rsidR="00C478AE">
        <w:instrText xml:space="preserve"> STYLEREF 1 \s </w:instrText>
      </w:r>
      <w:r w:rsidR="00586F30">
        <w:fldChar w:fldCharType="separate"/>
      </w:r>
      <w:r w:rsidR="001E5D7A">
        <w:rPr>
          <w:noProof/>
        </w:rPr>
        <w:t>4</w:t>
      </w:r>
      <w:r w:rsidR="00586F30">
        <w:rPr>
          <w:noProof/>
        </w:rPr>
        <w:fldChar w:fldCharType="end"/>
      </w:r>
      <w:r w:rsidR="00CE3BAC">
        <w:noBreakHyphen/>
      </w:r>
      <w:r w:rsidR="00586F30">
        <w:fldChar w:fldCharType="begin"/>
      </w:r>
      <w:r w:rsidR="00C478AE">
        <w:instrText xml:space="preserve"> SEQ Table \* ARABIC \s 1 </w:instrText>
      </w:r>
      <w:r w:rsidR="00586F30">
        <w:fldChar w:fldCharType="separate"/>
      </w:r>
      <w:r w:rsidR="001E5D7A">
        <w:rPr>
          <w:noProof/>
        </w:rPr>
        <w:t>5</w:t>
      </w:r>
      <w:r w:rsidR="00586F30">
        <w:rPr>
          <w:noProof/>
        </w:rPr>
        <w:fldChar w:fldCharType="end"/>
      </w:r>
      <w:bookmarkEnd w:id="44"/>
      <w:r>
        <w:t>: RAC equipment units</w:t>
      </w:r>
      <w:r w:rsidR="00166708">
        <w:t xml:space="preserve"> </w:t>
      </w:r>
      <w:r>
        <w:t xml:space="preserve">disassembled </w:t>
      </w:r>
      <w:r w:rsidR="00FF7AB7">
        <w:t xml:space="preserve">($ million PV @ 7%) </w:t>
      </w:r>
      <w:r>
        <w:rPr>
          <w:vertAlign w:val="superscript"/>
        </w:rPr>
        <w:t>a</w:t>
      </w:r>
      <w:r w:rsidR="00957A1E">
        <w:rPr>
          <w:vertAlign w:val="superscript"/>
        </w:rPr>
        <w:t>, b</w:t>
      </w:r>
    </w:p>
    <w:tbl>
      <w:tblPr>
        <w:tblStyle w:val="TableGrid"/>
        <w:tblW w:w="0" w:type="auto"/>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tblPr>
      <w:tblGrid>
        <w:gridCol w:w="3227"/>
        <w:gridCol w:w="2835"/>
        <w:gridCol w:w="2659"/>
      </w:tblGrid>
      <w:tr w:rsidR="00C41592" w:rsidRPr="00C8251D" w:rsidTr="00C41592">
        <w:tc>
          <w:tcPr>
            <w:tcW w:w="3227" w:type="dxa"/>
            <w:vMerge w:val="restart"/>
            <w:shd w:val="clear" w:color="auto" w:fill="1F497D" w:themeFill="text2"/>
          </w:tcPr>
          <w:p w:rsidR="00C41592" w:rsidRPr="001C36AA" w:rsidRDefault="00C41592" w:rsidP="00C23FCB">
            <w:pPr>
              <w:pStyle w:val="BodyText"/>
              <w:rPr>
                <w:b/>
                <w:color w:val="FFFFFF" w:themeColor="background1"/>
                <w:sz w:val="20"/>
              </w:rPr>
            </w:pPr>
            <w:r w:rsidRPr="001C36AA">
              <w:rPr>
                <w:b/>
                <w:color w:val="FFFFFF" w:themeColor="background1"/>
                <w:sz w:val="20"/>
              </w:rPr>
              <w:t>Option</w:t>
            </w:r>
          </w:p>
        </w:tc>
        <w:tc>
          <w:tcPr>
            <w:tcW w:w="5494" w:type="dxa"/>
            <w:gridSpan w:val="2"/>
            <w:shd w:val="clear" w:color="auto" w:fill="1F497D" w:themeFill="text2"/>
            <w:vAlign w:val="center"/>
          </w:tcPr>
          <w:p w:rsidR="00586D48" w:rsidRDefault="00C41592">
            <w:pPr>
              <w:pStyle w:val="BodyText"/>
              <w:jc w:val="center"/>
              <w:rPr>
                <w:b/>
                <w:color w:val="FFFFFF" w:themeColor="background1"/>
                <w:sz w:val="20"/>
              </w:rPr>
            </w:pPr>
            <w:r w:rsidRPr="00C41592">
              <w:rPr>
                <w:b/>
                <w:color w:val="FFFFFF" w:themeColor="background1"/>
              </w:rPr>
              <w:t>$ million PV @ 7%</w:t>
            </w:r>
            <w:r w:rsidR="009C0D61">
              <w:rPr>
                <w:b/>
                <w:color w:val="FFFFFF" w:themeColor="background1"/>
              </w:rPr>
              <w:t xml:space="preserve"> (2014-2024)</w:t>
            </w:r>
          </w:p>
        </w:tc>
      </w:tr>
      <w:tr w:rsidR="00C41592" w:rsidRPr="00C8251D" w:rsidTr="001C36AA">
        <w:tc>
          <w:tcPr>
            <w:tcW w:w="3227" w:type="dxa"/>
            <w:vMerge/>
            <w:shd w:val="clear" w:color="auto" w:fill="1F497D" w:themeFill="text2"/>
          </w:tcPr>
          <w:p w:rsidR="00C41592" w:rsidRPr="001C36AA" w:rsidRDefault="00C41592" w:rsidP="00C23FCB">
            <w:pPr>
              <w:pStyle w:val="BodyText"/>
              <w:rPr>
                <w:b/>
                <w:color w:val="FFFFFF" w:themeColor="background1"/>
                <w:sz w:val="20"/>
              </w:rPr>
            </w:pPr>
          </w:p>
        </w:tc>
        <w:tc>
          <w:tcPr>
            <w:tcW w:w="2835" w:type="dxa"/>
            <w:shd w:val="clear" w:color="auto" w:fill="1F497D" w:themeFill="text2"/>
            <w:vAlign w:val="center"/>
          </w:tcPr>
          <w:p w:rsidR="00C41592" w:rsidRPr="001C36AA" w:rsidRDefault="00C41592" w:rsidP="00C23FCB">
            <w:pPr>
              <w:pStyle w:val="BodyText"/>
              <w:jc w:val="right"/>
              <w:rPr>
                <w:b/>
                <w:color w:val="FFFFFF" w:themeColor="background1"/>
                <w:sz w:val="20"/>
              </w:rPr>
            </w:pPr>
            <w:r w:rsidRPr="001C36AA">
              <w:rPr>
                <w:b/>
                <w:color w:val="FFFFFF" w:themeColor="background1"/>
                <w:sz w:val="20"/>
              </w:rPr>
              <w:t>RAC equipment disassembled</w:t>
            </w:r>
          </w:p>
        </w:tc>
        <w:tc>
          <w:tcPr>
            <w:tcW w:w="2659" w:type="dxa"/>
            <w:shd w:val="clear" w:color="auto" w:fill="1F497D" w:themeFill="text2"/>
          </w:tcPr>
          <w:p w:rsidR="00C41592" w:rsidRPr="001C36AA" w:rsidRDefault="00C41592" w:rsidP="00C23FCB">
            <w:pPr>
              <w:pStyle w:val="BodyText"/>
              <w:jc w:val="right"/>
              <w:rPr>
                <w:b/>
                <w:color w:val="FFFFFF" w:themeColor="background1"/>
                <w:sz w:val="20"/>
              </w:rPr>
            </w:pPr>
            <w:r w:rsidRPr="001C36AA">
              <w:rPr>
                <w:b/>
                <w:color w:val="FFFFFF" w:themeColor="background1"/>
                <w:sz w:val="20"/>
              </w:rPr>
              <w:t xml:space="preserve">Cost of disassembly </w:t>
            </w:r>
          </w:p>
        </w:tc>
      </w:tr>
      <w:tr w:rsidR="00C41592" w:rsidRPr="00C8251D" w:rsidTr="001C36AA">
        <w:tc>
          <w:tcPr>
            <w:tcW w:w="3227" w:type="dxa"/>
            <w:shd w:val="clear" w:color="auto" w:fill="C6D9F1" w:themeFill="text2" w:themeFillTint="33"/>
          </w:tcPr>
          <w:p w:rsidR="00C41592" w:rsidRPr="00C8251D" w:rsidRDefault="00C41592" w:rsidP="00C23FCB">
            <w:pPr>
              <w:pStyle w:val="BodyText"/>
              <w:rPr>
                <w:sz w:val="20"/>
              </w:rPr>
            </w:pPr>
            <w:r>
              <w:rPr>
                <w:sz w:val="20"/>
              </w:rPr>
              <w:t>Base Case (Status Quo)</w:t>
            </w:r>
          </w:p>
        </w:tc>
        <w:tc>
          <w:tcPr>
            <w:tcW w:w="2835" w:type="dxa"/>
            <w:vAlign w:val="center"/>
          </w:tcPr>
          <w:p w:rsidR="00C41592" w:rsidRDefault="00C41592" w:rsidP="00C23FCB">
            <w:pPr>
              <w:pStyle w:val="BodyText"/>
              <w:jc w:val="right"/>
              <w:rPr>
                <w:sz w:val="20"/>
              </w:rPr>
            </w:pPr>
            <w:r>
              <w:rPr>
                <w:sz w:val="20"/>
              </w:rPr>
              <w:t>0 per cent</w:t>
            </w:r>
          </w:p>
        </w:tc>
        <w:tc>
          <w:tcPr>
            <w:tcW w:w="2659" w:type="dxa"/>
          </w:tcPr>
          <w:p w:rsidR="00C41592" w:rsidRDefault="00C41592" w:rsidP="00C23FCB">
            <w:pPr>
              <w:pStyle w:val="BodyText"/>
              <w:jc w:val="right"/>
              <w:rPr>
                <w:sz w:val="20"/>
              </w:rPr>
            </w:pPr>
            <w:r>
              <w:rPr>
                <w:color w:val="000000"/>
                <w:sz w:val="20"/>
              </w:rPr>
              <w:t>$0.0</w:t>
            </w:r>
          </w:p>
        </w:tc>
      </w:tr>
      <w:tr w:rsidR="00C41592" w:rsidRPr="00C8251D" w:rsidTr="001C36AA">
        <w:tc>
          <w:tcPr>
            <w:tcW w:w="3227" w:type="dxa"/>
            <w:shd w:val="clear" w:color="auto" w:fill="C6D9F1" w:themeFill="text2" w:themeFillTint="33"/>
          </w:tcPr>
          <w:p w:rsidR="00C41592" w:rsidRPr="00C8251D" w:rsidRDefault="00C41592" w:rsidP="00C23FCB">
            <w:pPr>
              <w:pStyle w:val="BodyText"/>
              <w:rPr>
                <w:sz w:val="20"/>
              </w:rPr>
            </w:pPr>
            <w:r w:rsidRPr="00C8251D">
              <w:rPr>
                <w:sz w:val="20"/>
              </w:rPr>
              <w:t>Option 1 – Voluntary Scheme</w:t>
            </w:r>
          </w:p>
        </w:tc>
        <w:tc>
          <w:tcPr>
            <w:tcW w:w="2835" w:type="dxa"/>
            <w:vAlign w:val="center"/>
          </w:tcPr>
          <w:p w:rsidR="00C41592" w:rsidRPr="00C8251D" w:rsidRDefault="00C41592" w:rsidP="00C23FCB">
            <w:pPr>
              <w:pStyle w:val="BodyText"/>
              <w:jc w:val="right"/>
              <w:rPr>
                <w:sz w:val="20"/>
              </w:rPr>
            </w:pPr>
            <w:r>
              <w:rPr>
                <w:sz w:val="20"/>
              </w:rPr>
              <w:t>7.5 per cent</w:t>
            </w:r>
          </w:p>
        </w:tc>
        <w:tc>
          <w:tcPr>
            <w:tcW w:w="2659" w:type="dxa"/>
          </w:tcPr>
          <w:p w:rsidR="00C41592" w:rsidRDefault="00C41592" w:rsidP="00C41592">
            <w:pPr>
              <w:pStyle w:val="BodyText"/>
              <w:jc w:val="right"/>
              <w:rPr>
                <w:sz w:val="20"/>
              </w:rPr>
            </w:pPr>
            <w:r>
              <w:rPr>
                <w:color w:val="000000"/>
                <w:sz w:val="20"/>
              </w:rPr>
              <w:t>$21.1</w:t>
            </w:r>
          </w:p>
        </w:tc>
      </w:tr>
      <w:tr w:rsidR="00C41592" w:rsidRPr="00C8251D" w:rsidTr="001C36AA">
        <w:tc>
          <w:tcPr>
            <w:tcW w:w="3227" w:type="dxa"/>
            <w:shd w:val="clear" w:color="auto" w:fill="C6D9F1" w:themeFill="text2" w:themeFillTint="33"/>
          </w:tcPr>
          <w:p w:rsidR="00C41592" w:rsidRPr="00C8251D" w:rsidRDefault="00C41592" w:rsidP="00C23FCB">
            <w:pPr>
              <w:pStyle w:val="BodyText"/>
              <w:rPr>
                <w:sz w:val="20"/>
              </w:rPr>
            </w:pPr>
            <w:r w:rsidRPr="00C8251D">
              <w:rPr>
                <w:sz w:val="20"/>
              </w:rPr>
              <w:t>Option 2 – Co-Regulatory Approach</w:t>
            </w:r>
          </w:p>
        </w:tc>
        <w:tc>
          <w:tcPr>
            <w:tcW w:w="2835" w:type="dxa"/>
            <w:vAlign w:val="center"/>
          </w:tcPr>
          <w:p w:rsidR="00C41592" w:rsidRPr="00C8251D" w:rsidRDefault="00C41592" w:rsidP="00C23FCB">
            <w:pPr>
              <w:pStyle w:val="BodyText"/>
              <w:jc w:val="right"/>
              <w:rPr>
                <w:sz w:val="20"/>
              </w:rPr>
            </w:pPr>
            <w:r>
              <w:rPr>
                <w:sz w:val="20"/>
              </w:rPr>
              <w:t>22.5 per cent</w:t>
            </w:r>
          </w:p>
        </w:tc>
        <w:tc>
          <w:tcPr>
            <w:tcW w:w="2659" w:type="dxa"/>
          </w:tcPr>
          <w:p w:rsidR="00C41592" w:rsidRDefault="00C41592" w:rsidP="00C41592">
            <w:pPr>
              <w:pStyle w:val="BodyText"/>
              <w:jc w:val="right"/>
              <w:rPr>
                <w:sz w:val="20"/>
              </w:rPr>
            </w:pPr>
            <w:r>
              <w:rPr>
                <w:color w:val="000000"/>
                <w:sz w:val="20"/>
              </w:rPr>
              <w:t>$63.4</w:t>
            </w:r>
          </w:p>
        </w:tc>
      </w:tr>
      <w:tr w:rsidR="00C41592" w:rsidRPr="00C8251D" w:rsidTr="001C36AA">
        <w:tc>
          <w:tcPr>
            <w:tcW w:w="3227" w:type="dxa"/>
            <w:shd w:val="clear" w:color="auto" w:fill="C6D9F1" w:themeFill="text2" w:themeFillTint="33"/>
          </w:tcPr>
          <w:p w:rsidR="00C41592" w:rsidRPr="00C8251D" w:rsidRDefault="00C41592" w:rsidP="00C23FCB">
            <w:pPr>
              <w:pStyle w:val="BodyText"/>
              <w:rPr>
                <w:sz w:val="20"/>
              </w:rPr>
            </w:pPr>
            <w:r w:rsidRPr="00C8251D">
              <w:rPr>
                <w:sz w:val="20"/>
              </w:rPr>
              <w:t>Option 3 – Mandatory Scheme</w:t>
            </w:r>
          </w:p>
        </w:tc>
        <w:tc>
          <w:tcPr>
            <w:tcW w:w="2835" w:type="dxa"/>
            <w:vAlign w:val="center"/>
          </w:tcPr>
          <w:p w:rsidR="00C41592" w:rsidRPr="00C8251D" w:rsidRDefault="00C41592" w:rsidP="00C23FCB">
            <w:pPr>
              <w:pStyle w:val="BodyText"/>
              <w:jc w:val="right"/>
              <w:rPr>
                <w:sz w:val="20"/>
              </w:rPr>
            </w:pPr>
            <w:r>
              <w:rPr>
                <w:sz w:val="20"/>
              </w:rPr>
              <w:t>70 per cent</w:t>
            </w:r>
          </w:p>
        </w:tc>
        <w:tc>
          <w:tcPr>
            <w:tcW w:w="2659" w:type="dxa"/>
          </w:tcPr>
          <w:p w:rsidR="00C41592" w:rsidRDefault="00C41592" w:rsidP="00C41592">
            <w:pPr>
              <w:pStyle w:val="BodyText"/>
              <w:jc w:val="right"/>
              <w:rPr>
                <w:sz w:val="20"/>
              </w:rPr>
            </w:pPr>
            <w:r>
              <w:rPr>
                <w:color w:val="000000"/>
                <w:sz w:val="20"/>
              </w:rPr>
              <w:t>$170.5</w:t>
            </w:r>
          </w:p>
        </w:tc>
      </w:tr>
    </w:tbl>
    <w:p w:rsidR="00785131" w:rsidRDefault="00785131" w:rsidP="00785131">
      <w:pPr>
        <w:pStyle w:val="Source"/>
      </w:pPr>
      <w:proofErr w:type="gramStart"/>
      <w:r>
        <w:rPr>
          <w:vertAlign w:val="superscript"/>
        </w:rPr>
        <w:t>a</w:t>
      </w:r>
      <w:proofErr w:type="gramEnd"/>
      <w:r>
        <w:rPr>
          <w:vertAlign w:val="superscript"/>
        </w:rPr>
        <w:tab/>
      </w:r>
      <w:r>
        <w:t xml:space="preserve">Based on the </w:t>
      </w:r>
      <w:r w:rsidR="00166708">
        <w:t>estimated recovery of plastics under each option as outlined in Section 3.</w:t>
      </w:r>
    </w:p>
    <w:p w:rsidR="00957A1E" w:rsidRPr="00957A1E" w:rsidRDefault="00957A1E" w:rsidP="00785131">
      <w:pPr>
        <w:pStyle w:val="Source"/>
      </w:pPr>
      <w:proofErr w:type="gramStart"/>
      <w:r>
        <w:rPr>
          <w:vertAlign w:val="superscript"/>
        </w:rPr>
        <w:t>b</w:t>
      </w:r>
      <w:proofErr w:type="gramEnd"/>
      <w:r>
        <w:rPr>
          <w:vertAlign w:val="superscript"/>
        </w:rPr>
        <w:tab/>
      </w:r>
      <w:r>
        <w:t>It is important to note that the costs of disassembly is based on information provided through consultation with industry. Detailed testing of these costs has not being undertaken as a part of this analysis.</w:t>
      </w:r>
    </w:p>
    <w:p w:rsidR="00785131" w:rsidRDefault="00785131" w:rsidP="00785131">
      <w:pPr>
        <w:pStyle w:val="Source"/>
      </w:pPr>
      <w:r>
        <w:t xml:space="preserve">Source: </w:t>
      </w:r>
      <w:r w:rsidR="00594660">
        <w:tab/>
      </w:r>
      <w:r>
        <w:t>Department of the Environment, industry consultation and KPMG analysis</w:t>
      </w:r>
    </w:p>
    <w:p w:rsidR="0081406E" w:rsidRDefault="00D4784B">
      <w:pPr>
        <w:pStyle w:val="BodyText"/>
      </w:pPr>
      <w:r>
        <w:t xml:space="preserve">The costs of disassembly are highest under the mandatory scheme (option 3). This is consistent with the activity required to achieve the significant reduction in RAC equipment materials sent to landfill. </w:t>
      </w:r>
      <w:r w:rsidR="009C0D61">
        <w:t xml:space="preserve">The total costs of disassembly are higher for refrigerators and freezers than for air conditioners. This reflects the larger volume of </w:t>
      </w:r>
      <w:r w:rsidR="00515755">
        <w:t>refrigerators and freezers</w:t>
      </w:r>
      <w:r w:rsidR="009C0D61">
        <w:t xml:space="preserve"> reaching end of life over the period of analysis (2014 to 2024).</w:t>
      </w:r>
    </w:p>
    <w:p w:rsidR="00101677" w:rsidRDefault="00101677" w:rsidP="00101677">
      <w:pPr>
        <w:pStyle w:val="Heading2"/>
      </w:pPr>
      <w:bookmarkStart w:id="45" w:name="_Toc403647588"/>
      <w:r>
        <w:t>Benefits</w:t>
      </w:r>
      <w:bookmarkEnd w:id="45"/>
    </w:p>
    <w:p w:rsidR="0081406E" w:rsidRDefault="00E633FD">
      <w:pPr>
        <w:pStyle w:val="BodyText"/>
      </w:pPr>
      <w:r>
        <w:t>The benefits that have been identified to occur as a result of the options are:</w:t>
      </w:r>
    </w:p>
    <w:p w:rsidR="0081406E" w:rsidRDefault="00E633FD">
      <w:pPr>
        <w:pStyle w:val="BulletText"/>
      </w:pPr>
      <w:r>
        <w:t>avoided landfill costs (including direct costs and externality costs);</w:t>
      </w:r>
    </w:p>
    <w:p w:rsidR="0081406E" w:rsidRDefault="00E633FD">
      <w:pPr>
        <w:pStyle w:val="BulletText"/>
      </w:pPr>
      <w:r>
        <w:t>value of the additional resources recovered from RAC equipment;</w:t>
      </w:r>
    </w:p>
    <w:p w:rsidR="0081406E" w:rsidRDefault="00E633FD">
      <w:pPr>
        <w:pStyle w:val="BulletText"/>
      </w:pPr>
      <w:r>
        <w:t>the value of</w:t>
      </w:r>
      <w:r w:rsidR="00957A1E">
        <w:t xml:space="preserve"> the refrigerant gas recovered</w:t>
      </w:r>
      <w:r>
        <w:t xml:space="preserve">; </w:t>
      </w:r>
    </w:p>
    <w:p w:rsidR="0081406E" w:rsidRDefault="00E633FD">
      <w:pPr>
        <w:pStyle w:val="BulletText"/>
      </w:pPr>
      <w:r>
        <w:t>societ</w:t>
      </w:r>
      <w:r w:rsidR="00E753D7">
        <w:t>y’</w:t>
      </w:r>
      <w:r>
        <w:t>s intrinsic value of a reduction in GHG emissions (consumer surplus from reduced emissions)</w:t>
      </w:r>
      <w:r w:rsidR="00957A1E">
        <w:t>; and</w:t>
      </w:r>
    </w:p>
    <w:p w:rsidR="0081406E" w:rsidRDefault="00957A1E">
      <w:pPr>
        <w:pStyle w:val="BulletText"/>
      </w:pPr>
      <w:proofErr w:type="gramStart"/>
      <w:r>
        <w:lastRenderedPageBreak/>
        <w:t>health</w:t>
      </w:r>
      <w:proofErr w:type="gramEnd"/>
      <w:r>
        <w:t xml:space="preserve"> benefits from reduced emissions.</w:t>
      </w:r>
    </w:p>
    <w:p w:rsidR="0081406E" w:rsidRDefault="00E633FD">
      <w:pPr>
        <w:pStyle w:val="BodyText"/>
      </w:pPr>
      <w:r>
        <w:t>The options could potentially have positive impacts on employment creation</w:t>
      </w:r>
      <w:r w:rsidR="001C36AA">
        <w:t xml:space="preserve"> (e.g. due to additional recycling activity)</w:t>
      </w:r>
      <w:r>
        <w:t xml:space="preserve">. However, these impacts are not generally included in a CBA framework. </w:t>
      </w:r>
    </w:p>
    <w:p w:rsidR="00101677" w:rsidRDefault="007A7415" w:rsidP="007A7415">
      <w:pPr>
        <w:pStyle w:val="Heading3"/>
      </w:pPr>
      <w:r>
        <w:t>Reduction in landfill</w:t>
      </w:r>
    </w:p>
    <w:p w:rsidR="007A7415" w:rsidRDefault="00205FF9" w:rsidP="004A1526">
      <w:pPr>
        <w:pStyle w:val="BodyText"/>
      </w:pPr>
      <w:r>
        <w:t xml:space="preserve">The impact of the options on the share of RAC equipment waste diverted to landfill is outlined in </w:t>
      </w:r>
      <w:r w:rsidR="00586F30">
        <w:fldChar w:fldCharType="begin"/>
      </w:r>
      <w:r w:rsidR="00746EAA">
        <w:instrText xml:space="preserve"> REF _Ref391304826 \h </w:instrText>
      </w:r>
      <w:r w:rsidR="00586F30">
        <w:fldChar w:fldCharType="separate"/>
      </w:r>
      <w:r w:rsidR="001E5D7A">
        <w:t xml:space="preserve">Table </w:t>
      </w:r>
      <w:r w:rsidR="001E5D7A">
        <w:rPr>
          <w:noProof/>
        </w:rPr>
        <w:t>4</w:t>
      </w:r>
      <w:r w:rsidR="001E5D7A">
        <w:noBreakHyphen/>
      </w:r>
      <w:r w:rsidR="001E5D7A">
        <w:rPr>
          <w:noProof/>
        </w:rPr>
        <w:t>6</w:t>
      </w:r>
      <w:r w:rsidR="00586F30">
        <w:fldChar w:fldCharType="end"/>
      </w:r>
      <w:r w:rsidR="00F268D2">
        <w:t xml:space="preserve"> and outlined in further detail in Appendix B</w:t>
      </w:r>
      <w:r w:rsidR="00746EAA">
        <w:t>.</w:t>
      </w:r>
    </w:p>
    <w:p w:rsidR="00F268D2" w:rsidRDefault="00F268D2" w:rsidP="00F268D2">
      <w:pPr>
        <w:pStyle w:val="BodyText"/>
      </w:pPr>
      <w:r>
        <w:t xml:space="preserve">Reducing the volume of waste diverted to landfill avoids the costs associated with managing this </w:t>
      </w:r>
      <w:proofErr w:type="gramStart"/>
      <w:r>
        <w:t>waste</w:t>
      </w:r>
      <w:proofErr w:type="gramEnd"/>
      <w:r>
        <w:t>, including:</w:t>
      </w:r>
    </w:p>
    <w:p w:rsidR="00F268D2" w:rsidRDefault="00F268D2" w:rsidP="00F268D2">
      <w:pPr>
        <w:pStyle w:val="BulletText"/>
      </w:pPr>
      <w:r>
        <w:t>costs of land;</w:t>
      </w:r>
    </w:p>
    <w:p w:rsidR="00F268D2" w:rsidRDefault="00F268D2" w:rsidP="00F268D2">
      <w:pPr>
        <w:pStyle w:val="BulletText"/>
      </w:pPr>
      <w:r>
        <w:t>costs of on-site gas recovery and flaring;</w:t>
      </w:r>
    </w:p>
    <w:p w:rsidR="00F268D2" w:rsidRDefault="00F268D2" w:rsidP="00F268D2">
      <w:pPr>
        <w:pStyle w:val="BulletText"/>
      </w:pPr>
      <w:r>
        <w:t>fencing and security;</w:t>
      </w:r>
    </w:p>
    <w:p w:rsidR="00F268D2" w:rsidRDefault="00F268D2" w:rsidP="00F268D2">
      <w:pPr>
        <w:pStyle w:val="BulletText"/>
      </w:pPr>
      <w:r>
        <w:t>capping and landscaping;</w:t>
      </w:r>
    </w:p>
    <w:p w:rsidR="00F268D2" w:rsidRDefault="00F268D2" w:rsidP="00F268D2">
      <w:pPr>
        <w:pStyle w:val="BulletText"/>
      </w:pPr>
      <w:r>
        <w:t>operational costs (e.g. fuel, labour and materials); and</w:t>
      </w:r>
    </w:p>
    <w:p w:rsidR="00F268D2" w:rsidRDefault="00F268D2" w:rsidP="00F268D2">
      <w:pPr>
        <w:pStyle w:val="BulletText"/>
      </w:pPr>
      <w:proofErr w:type="gramStart"/>
      <w:r>
        <w:t>cost</w:t>
      </w:r>
      <w:proofErr w:type="gramEnd"/>
      <w:r>
        <w:t xml:space="preserve"> of rehabilitation and aftercare.</w:t>
      </w:r>
    </w:p>
    <w:p w:rsidR="00205FF9" w:rsidRDefault="00205FF9" w:rsidP="00205FF9">
      <w:pPr>
        <w:pStyle w:val="Caption"/>
      </w:pPr>
      <w:bookmarkStart w:id="46" w:name="_Ref392751998"/>
      <w:bookmarkStart w:id="47" w:name="_Ref391304826"/>
      <w:r>
        <w:t xml:space="preserve">Table </w:t>
      </w:r>
      <w:r w:rsidR="00586F30">
        <w:fldChar w:fldCharType="begin"/>
      </w:r>
      <w:r w:rsidR="00C478AE">
        <w:instrText xml:space="preserve"> STYLEREF 1 \s </w:instrText>
      </w:r>
      <w:r w:rsidR="00586F30">
        <w:fldChar w:fldCharType="separate"/>
      </w:r>
      <w:r w:rsidR="001E5D7A">
        <w:rPr>
          <w:noProof/>
        </w:rPr>
        <w:t>4</w:t>
      </w:r>
      <w:r w:rsidR="00586F30">
        <w:rPr>
          <w:noProof/>
        </w:rPr>
        <w:fldChar w:fldCharType="end"/>
      </w:r>
      <w:r w:rsidR="00CE3BAC">
        <w:noBreakHyphen/>
      </w:r>
      <w:r w:rsidR="00586F30">
        <w:fldChar w:fldCharType="begin"/>
      </w:r>
      <w:r w:rsidR="00C478AE">
        <w:instrText xml:space="preserve"> SEQ Table \* ARABIC \s 1 </w:instrText>
      </w:r>
      <w:r w:rsidR="00586F30">
        <w:fldChar w:fldCharType="separate"/>
      </w:r>
      <w:r w:rsidR="001E5D7A">
        <w:rPr>
          <w:noProof/>
        </w:rPr>
        <w:t>6</w:t>
      </w:r>
      <w:r w:rsidR="00586F30">
        <w:rPr>
          <w:noProof/>
        </w:rPr>
        <w:fldChar w:fldCharType="end"/>
      </w:r>
      <w:bookmarkEnd w:id="46"/>
      <w:bookmarkEnd w:id="47"/>
      <w:r>
        <w:t>: Landfill reduction under product stewardship options</w:t>
      </w:r>
    </w:p>
    <w:tbl>
      <w:tblPr>
        <w:tblStyle w:val="TableGrid"/>
        <w:tblW w:w="0" w:type="auto"/>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tblPr>
      <w:tblGrid>
        <w:gridCol w:w="3369"/>
        <w:gridCol w:w="2676"/>
        <w:gridCol w:w="2676"/>
      </w:tblGrid>
      <w:tr w:rsidR="0043543B" w:rsidRPr="00C8251D" w:rsidTr="0043543B">
        <w:tc>
          <w:tcPr>
            <w:tcW w:w="3369" w:type="dxa"/>
            <w:vMerge w:val="restart"/>
            <w:shd w:val="clear" w:color="auto" w:fill="1F497D" w:themeFill="text2"/>
            <w:vAlign w:val="center"/>
          </w:tcPr>
          <w:p w:rsidR="0043543B" w:rsidRPr="001C36AA" w:rsidRDefault="0043543B" w:rsidP="0043543B">
            <w:pPr>
              <w:pStyle w:val="BodyText"/>
              <w:jc w:val="left"/>
              <w:rPr>
                <w:b/>
                <w:color w:val="FFFFFF" w:themeColor="background1"/>
                <w:sz w:val="20"/>
              </w:rPr>
            </w:pPr>
            <w:r w:rsidRPr="001C36AA">
              <w:rPr>
                <w:b/>
                <w:color w:val="FFFFFF" w:themeColor="background1"/>
                <w:sz w:val="20"/>
              </w:rPr>
              <w:t>Option</w:t>
            </w:r>
          </w:p>
        </w:tc>
        <w:tc>
          <w:tcPr>
            <w:tcW w:w="5352" w:type="dxa"/>
            <w:gridSpan w:val="2"/>
            <w:shd w:val="clear" w:color="auto" w:fill="1F497D" w:themeFill="text2"/>
            <w:vAlign w:val="center"/>
          </w:tcPr>
          <w:p w:rsidR="0043543B" w:rsidRPr="001C36AA" w:rsidRDefault="0043543B" w:rsidP="00993FC3">
            <w:pPr>
              <w:pStyle w:val="BodyText"/>
              <w:jc w:val="right"/>
              <w:rPr>
                <w:b/>
                <w:color w:val="FFFFFF" w:themeColor="background1"/>
                <w:sz w:val="20"/>
              </w:rPr>
            </w:pPr>
            <w:r w:rsidRPr="001C36AA">
              <w:rPr>
                <w:b/>
                <w:color w:val="FFFFFF" w:themeColor="background1"/>
                <w:sz w:val="20"/>
              </w:rPr>
              <w:t>Reduction in landfill relative to base case</w:t>
            </w:r>
          </w:p>
        </w:tc>
      </w:tr>
      <w:tr w:rsidR="0043543B" w:rsidRPr="00C8251D" w:rsidTr="0043543B">
        <w:tc>
          <w:tcPr>
            <w:tcW w:w="3369" w:type="dxa"/>
            <w:vMerge/>
            <w:shd w:val="clear" w:color="auto" w:fill="1F497D" w:themeFill="text2"/>
          </w:tcPr>
          <w:p w:rsidR="0043543B" w:rsidRPr="001C36AA" w:rsidRDefault="0043543B" w:rsidP="00B45195">
            <w:pPr>
              <w:pStyle w:val="BodyText"/>
              <w:rPr>
                <w:b/>
                <w:color w:val="FFFFFF" w:themeColor="background1"/>
                <w:sz w:val="20"/>
              </w:rPr>
            </w:pPr>
          </w:p>
        </w:tc>
        <w:tc>
          <w:tcPr>
            <w:tcW w:w="2676" w:type="dxa"/>
            <w:shd w:val="clear" w:color="auto" w:fill="1F497D" w:themeFill="text2"/>
            <w:vAlign w:val="center"/>
          </w:tcPr>
          <w:p w:rsidR="0043543B" w:rsidRPr="001C36AA" w:rsidRDefault="0043543B" w:rsidP="00B45195">
            <w:pPr>
              <w:pStyle w:val="BodyText"/>
              <w:jc w:val="right"/>
              <w:rPr>
                <w:b/>
                <w:color w:val="FFFFFF" w:themeColor="background1"/>
                <w:sz w:val="20"/>
              </w:rPr>
            </w:pPr>
            <w:r w:rsidRPr="001C36AA">
              <w:rPr>
                <w:b/>
                <w:color w:val="FFFFFF" w:themeColor="background1"/>
                <w:sz w:val="20"/>
              </w:rPr>
              <w:t>Refrigerators</w:t>
            </w:r>
          </w:p>
        </w:tc>
        <w:tc>
          <w:tcPr>
            <w:tcW w:w="2676" w:type="dxa"/>
            <w:shd w:val="clear" w:color="auto" w:fill="1F497D" w:themeFill="text2"/>
          </w:tcPr>
          <w:p w:rsidR="0043543B" w:rsidRPr="001C36AA" w:rsidRDefault="0043543B" w:rsidP="00B45195">
            <w:pPr>
              <w:pStyle w:val="BodyText"/>
              <w:jc w:val="right"/>
              <w:rPr>
                <w:b/>
                <w:color w:val="FFFFFF" w:themeColor="background1"/>
                <w:sz w:val="20"/>
              </w:rPr>
            </w:pPr>
            <w:r w:rsidRPr="001C36AA">
              <w:rPr>
                <w:b/>
                <w:color w:val="FFFFFF" w:themeColor="background1"/>
                <w:sz w:val="20"/>
              </w:rPr>
              <w:t>Air Conditioners</w:t>
            </w:r>
          </w:p>
        </w:tc>
      </w:tr>
      <w:tr w:rsidR="0043543B" w:rsidRPr="00C8251D" w:rsidTr="0043543B">
        <w:tc>
          <w:tcPr>
            <w:tcW w:w="3369" w:type="dxa"/>
            <w:shd w:val="clear" w:color="auto" w:fill="C6D9F1" w:themeFill="text2" w:themeFillTint="33"/>
          </w:tcPr>
          <w:p w:rsidR="0043543B" w:rsidRPr="00C8251D" w:rsidRDefault="0043543B" w:rsidP="00B45195">
            <w:pPr>
              <w:pStyle w:val="BodyText"/>
              <w:rPr>
                <w:sz w:val="20"/>
              </w:rPr>
            </w:pPr>
            <w:r w:rsidRPr="00C8251D">
              <w:rPr>
                <w:sz w:val="20"/>
              </w:rPr>
              <w:t>Option 1 – Voluntary Scheme</w:t>
            </w:r>
          </w:p>
        </w:tc>
        <w:tc>
          <w:tcPr>
            <w:tcW w:w="2676" w:type="dxa"/>
            <w:vAlign w:val="center"/>
          </w:tcPr>
          <w:p w:rsidR="0043543B" w:rsidRPr="00C8251D" w:rsidRDefault="0043543B" w:rsidP="0043543B">
            <w:pPr>
              <w:pStyle w:val="BodyText"/>
              <w:jc w:val="right"/>
              <w:rPr>
                <w:sz w:val="20"/>
              </w:rPr>
            </w:pPr>
            <w:r>
              <w:rPr>
                <w:sz w:val="20"/>
              </w:rPr>
              <w:t>7.5 per cent</w:t>
            </w:r>
          </w:p>
        </w:tc>
        <w:tc>
          <w:tcPr>
            <w:tcW w:w="2676" w:type="dxa"/>
            <w:vAlign w:val="center"/>
          </w:tcPr>
          <w:p w:rsidR="0043543B" w:rsidRDefault="0043543B" w:rsidP="0043543B">
            <w:pPr>
              <w:pStyle w:val="BodyText"/>
              <w:jc w:val="right"/>
              <w:rPr>
                <w:sz w:val="20"/>
              </w:rPr>
            </w:pPr>
            <w:r>
              <w:rPr>
                <w:sz w:val="20"/>
              </w:rPr>
              <w:t>7.5 per cent</w:t>
            </w:r>
          </w:p>
        </w:tc>
      </w:tr>
      <w:tr w:rsidR="0043543B" w:rsidRPr="00C8251D" w:rsidTr="0043543B">
        <w:tc>
          <w:tcPr>
            <w:tcW w:w="3369" w:type="dxa"/>
            <w:shd w:val="clear" w:color="auto" w:fill="C6D9F1" w:themeFill="text2" w:themeFillTint="33"/>
          </w:tcPr>
          <w:p w:rsidR="0043543B" w:rsidRPr="00C8251D" w:rsidRDefault="0043543B" w:rsidP="00B45195">
            <w:pPr>
              <w:pStyle w:val="BodyText"/>
              <w:rPr>
                <w:sz w:val="20"/>
              </w:rPr>
            </w:pPr>
            <w:r w:rsidRPr="00C8251D">
              <w:rPr>
                <w:sz w:val="20"/>
              </w:rPr>
              <w:t>Option 2 – Co-Regulatory Approach</w:t>
            </w:r>
          </w:p>
        </w:tc>
        <w:tc>
          <w:tcPr>
            <w:tcW w:w="2676" w:type="dxa"/>
            <w:vAlign w:val="center"/>
          </w:tcPr>
          <w:p w:rsidR="0043543B" w:rsidRPr="00205FF9" w:rsidRDefault="0043543B" w:rsidP="0043543B">
            <w:pPr>
              <w:pStyle w:val="BodyText"/>
              <w:jc w:val="right"/>
              <w:rPr>
                <w:sz w:val="20"/>
                <w:vertAlign w:val="superscript"/>
              </w:rPr>
            </w:pPr>
            <w:r>
              <w:rPr>
                <w:sz w:val="20"/>
              </w:rPr>
              <w:t xml:space="preserve">15 to 30 per cent </w:t>
            </w:r>
            <w:r>
              <w:rPr>
                <w:sz w:val="20"/>
                <w:vertAlign w:val="superscript"/>
              </w:rPr>
              <w:t>a</w:t>
            </w:r>
          </w:p>
        </w:tc>
        <w:tc>
          <w:tcPr>
            <w:tcW w:w="2676" w:type="dxa"/>
            <w:vAlign w:val="center"/>
          </w:tcPr>
          <w:p w:rsidR="0043543B" w:rsidRPr="00205FF9" w:rsidRDefault="0043543B" w:rsidP="0043543B">
            <w:pPr>
              <w:pStyle w:val="BodyText"/>
              <w:jc w:val="right"/>
              <w:rPr>
                <w:sz w:val="20"/>
                <w:vertAlign w:val="superscript"/>
              </w:rPr>
            </w:pPr>
            <w:r>
              <w:rPr>
                <w:sz w:val="20"/>
              </w:rPr>
              <w:t xml:space="preserve">15 to 30 per cent </w:t>
            </w:r>
            <w:r>
              <w:rPr>
                <w:sz w:val="20"/>
                <w:vertAlign w:val="superscript"/>
              </w:rPr>
              <w:t>a</w:t>
            </w:r>
          </w:p>
        </w:tc>
      </w:tr>
      <w:tr w:rsidR="0043543B" w:rsidRPr="00C8251D" w:rsidTr="0043543B">
        <w:tc>
          <w:tcPr>
            <w:tcW w:w="3369" w:type="dxa"/>
            <w:shd w:val="clear" w:color="auto" w:fill="C6D9F1" w:themeFill="text2" w:themeFillTint="33"/>
          </w:tcPr>
          <w:p w:rsidR="0043543B" w:rsidRPr="00C8251D" w:rsidRDefault="0043543B" w:rsidP="00B45195">
            <w:pPr>
              <w:pStyle w:val="BodyText"/>
              <w:rPr>
                <w:sz w:val="20"/>
              </w:rPr>
            </w:pPr>
            <w:r w:rsidRPr="00C8251D">
              <w:rPr>
                <w:sz w:val="20"/>
              </w:rPr>
              <w:t>Option 3 – Mandatory Scheme</w:t>
            </w:r>
          </w:p>
        </w:tc>
        <w:tc>
          <w:tcPr>
            <w:tcW w:w="2676" w:type="dxa"/>
            <w:vAlign w:val="center"/>
          </w:tcPr>
          <w:p w:rsidR="0043543B" w:rsidRPr="00C8251D" w:rsidRDefault="0043543B" w:rsidP="0043543B">
            <w:pPr>
              <w:pStyle w:val="BodyText"/>
              <w:jc w:val="right"/>
              <w:rPr>
                <w:sz w:val="20"/>
              </w:rPr>
            </w:pPr>
            <w:r>
              <w:rPr>
                <w:sz w:val="20"/>
              </w:rPr>
              <w:t>70 per cent</w:t>
            </w:r>
          </w:p>
        </w:tc>
        <w:tc>
          <w:tcPr>
            <w:tcW w:w="2676" w:type="dxa"/>
            <w:vAlign w:val="center"/>
          </w:tcPr>
          <w:p w:rsidR="0043543B" w:rsidRDefault="0043543B" w:rsidP="0043543B">
            <w:pPr>
              <w:pStyle w:val="BodyText"/>
              <w:jc w:val="right"/>
              <w:rPr>
                <w:sz w:val="20"/>
              </w:rPr>
            </w:pPr>
            <w:r>
              <w:rPr>
                <w:sz w:val="20"/>
              </w:rPr>
              <w:t>50 per cent</w:t>
            </w:r>
          </w:p>
        </w:tc>
      </w:tr>
    </w:tbl>
    <w:p w:rsidR="00205FF9" w:rsidRPr="00205FF9" w:rsidRDefault="00205FF9" w:rsidP="00205FF9">
      <w:pPr>
        <w:pStyle w:val="Source"/>
      </w:pPr>
      <w:proofErr w:type="gramStart"/>
      <w:r>
        <w:rPr>
          <w:vertAlign w:val="superscript"/>
        </w:rPr>
        <w:t>a</w:t>
      </w:r>
      <w:proofErr w:type="gramEnd"/>
      <w:r>
        <w:rPr>
          <w:vertAlign w:val="superscript"/>
        </w:rPr>
        <w:t xml:space="preserve"> </w:t>
      </w:r>
      <w:r w:rsidR="0043543B">
        <w:rPr>
          <w:vertAlign w:val="superscript"/>
        </w:rPr>
        <w:tab/>
      </w:r>
      <w:r w:rsidR="00746EAA">
        <w:t>Analysis was undertaken based o</w:t>
      </w:r>
      <w:r w:rsidR="0043543B">
        <w:t xml:space="preserve">n the mid-point (22.5 per cent) and sensitivity analysis undertaken for high and low values. </w:t>
      </w:r>
    </w:p>
    <w:p w:rsidR="00205FF9" w:rsidRDefault="00205FF9" w:rsidP="00205FF9">
      <w:pPr>
        <w:pStyle w:val="Source"/>
      </w:pPr>
      <w:r>
        <w:t xml:space="preserve">Source: </w:t>
      </w:r>
      <w:r w:rsidR="0043543B">
        <w:tab/>
      </w:r>
      <w:r>
        <w:t>Department of the Environment</w:t>
      </w:r>
      <w:r w:rsidR="00201C37">
        <w:t xml:space="preserve"> and industry consultation</w:t>
      </w:r>
    </w:p>
    <w:p w:rsidR="00205FF9" w:rsidRDefault="00452343" w:rsidP="004A1526">
      <w:pPr>
        <w:pStyle w:val="BodyText"/>
      </w:pPr>
      <w:r>
        <w:t xml:space="preserve">A review of the costs of landfill disposal in Australia was undertaken by BDA Group in 2009. The estimated costs of landfills for small, medium and large landfills in Australia are outlined in </w:t>
      </w:r>
      <w:r w:rsidR="00586F30">
        <w:fldChar w:fldCharType="begin"/>
      </w:r>
      <w:r w:rsidR="007D4DF2">
        <w:instrText xml:space="preserve"> REF _Ref391316741 \h </w:instrText>
      </w:r>
      <w:r w:rsidR="00586F30">
        <w:fldChar w:fldCharType="separate"/>
      </w:r>
      <w:r w:rsidR="001E5D7A">
        <w:t xml:space="preserve">Table </w:t>
      </w:r>
      <w:r w:rsidR="001E5D7A">
        <w:rPr>
          <w:noProof/>
        </w:rPr>
        <w:t>4</w:t>
      </w:r>
      <w:r w:rsidR="001E5D7A">
        <w:noBreakHyphen/>
      </w:r>
      <w:r w:rsidR="001E5D7A">
        <w:rPr>
          <w:noProof/>
        </w:rPr>
        <w:t>7</w:t>
      </w:r>
      <w:r w:rsidR="00586F30">
        <w:fldChar w:fldCharType="end"/>
      </w:r>
      <w:r w:rsidR="007D4DF2">
        <w:t>.</w:t>
      </w:r>
    </w:p>
    <w:p w:rsidR="00452343" w:rsidRDefault="00452343" w:rsidP="00635C9C">
      <w:pPr>
        <w:pStyle w:val="Caption"/>
      </w:pPr>
      <w:bookmarkStart w:id="48" w:name="_Ref391316741"/>
      <w:r>
        <w:lastRenderedPageBreak/>
        <w:t xml:space="preserve">Table </w:t>
      </w:r>
      <w:r w:rsidR="00586F30">
        <w:fldChar w:fldCharType="begin"/>
      </w:r>
      <w:r w:rsidR="00C478AE">
        <w:instrText xml:space="preserve"> STYLEREF 1 \s </w:instrText>
      </w:r>
      <w:r w:rsidR="00586F30">
        <w:fldChar w:fldCharType="separate"/>
      </w:r>
      <w:r w:rsidR="001E5D7A">
        <w:rPr>
          <w:noProof/>
        </w:rPr>
        <w:t>4</w:t>
      </w:r>
      <w:r w:rsidR="00586F30">
        <w:rPr>
          <w:noProof/>
        </w:rPr>
        <w:fldChar w:fldCharType="end"/>
      </w:r>
      <w:r w:rsidR="00CE3BAC">
        <w:noBreakHyphen/>
      </w:r>
      <w:r w:rsidR="00586F30">
        <w:fldChar w:fldCharType="begin"/>
      </w:r>
      <w:r w:rsidR="00C478AE">
        <w:instrText xml:space="preserve"> SEQ Table \* ARABIC \s 1 </w:instrText>
      </w:r>
      <w:r w:rsidR="00586F30">
        <w:fldChar w:fldCharType="separate"/>
      </w:r>
      <w:r w:rsidR="001E5D7A">
        <w:rPr>
          <w:noProof/>
        </w:rPr>
        <w:t>7</w:t>
      </w:r>
      <w:r w:rsidR="00586F30">
        <w:rPr>
          <w:noProof/>
        </w:rPr>
        <w:fldChar w:fldCharType="end"/>
      </w:r>
      <w:bookmarkEnd w:id="48"/>
      <w:r>
        <w:t xml:space="preserve">: </w:t>
      </w:r>
      <w:r w:rsidR="008610E0">
        <w:t>Estimated cost of landfill ($ per tonne)</w:t>
      </w:r>
    </w:p>
    <w:tbl>
      <w:tblPr>
        <w:tblStyle w:val="TableGrid"/>
        <w:tblW w:w="0" w:type="auto"/>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tblPr>
      <w:tblGrid>
        <w:gridCol w:w="2518"/>
        <w:gridCol w:w="2067"/>
        <w:gridCol w:w="2068"/>
        <w:gridCol w:w="2068"/>
      </w:tblGrid>
      <w:tr w:rsidR="00671CBE" w:rsidRPr="00C8251D" w:rsidTr="00671CBE">
        <w:trPr>
          <w:tblHeader/>
        </w:trPr>
        <w:tc>
          <w:tcPr>
            <w:tcW w:w="2518" w:type="dxa"/>
            <w:vMerge w:val="restart"/>
            <w:shd w:val="clear" w:color="auto" w:fill="1F497D" w:themeFill="text2"/>
            <w:vAlign w:val="center"/>
          </w:tcPr>
          <w:p w:rsidR="005201D9" w:rsidRDefault="00671CBE" w:rsidP="007748FF">
            <w:pPr>
              <w:pStyle w:val="BodyText"/>
              <w:keepNext/>
              <w:spacing w:before="60" w:after="60"/>
              <w:jc w:val="left"/>
              <w:rPr>
                <w:b/>
                <w:color w:val="FFFFFF" w:themeColor="background1"/>
                <w:sz w:val="20"/>
              </w:rPr>
            </w:pPr>
            <w:r w:rsidRPr="008610E0">
              <w:rPr>
                <w:b/>
                <w:color w:val="FFFFFF" w:themeColor="background1"/>
                <w:sz w:val="20"/>
              </w:rPr>
              <w:t>Cost</w:t>
            </w:r>
          </w:p>
        </w:tc>
        <w:tc>
          <w:tcPr>
            <w:tcW w:w="6203" w:type="dxa"/>
            <w:gridSpan w:val="3"/>
            <w:shd w:val="clear" w:color="auto" w:fill="1F497D" w:themeFill="text2"/>
            <w:vAlign w:val="center"/>
          </w:tcPr>
          <w:p w:rsidR="005201D9" w:rsidRDefault="00671CBE" w:rsidP="007748FF">
            <w:pPr>
              <w:pStyle w:val="BodyText"/>
              <w:keepNext/>
              <w:spacing w:before="60" w:after="60"/>
              <w:jc w:val="center"/>
              <w:rPr>
                <w:b/>
                <w:color w:val="FFFFFF" w:themeColor="background1"/>
                <w:sz w:val="20"/>
              </w:rPr>
            </w:pPr>
            <w:r>
              <w:rPr>
                <w:b/>
                <w:color w:val="FFFFFF" w:themeColor="background1"/>
                <w:sz w:val="20"/>
              </w:rPr>
              <w:t>Cost of landfill ($ per tonne)</w:t>
            </w:r>
          </w:p>
        </w:tc>
      </w:tr>
      <w:tr w:rsidR="00671CBE" w:rsidRPr="00C8251D" w:rsidTr="00671CBE">
        <w:trPr>
          <w:tblHeader/>
        </w:trPr>
        <w:tc>
          <w:tcPr>
            <w:tcW w:w="2518" w:type="dxa"/>
            <w:vMerge/>
            <w:shd w:val="clear" w:color="auto" w:fill="1F497D" w:themeFill="text2"/>
            <w:vAlign w:val="center"/>
          </w:tcPr>
          <w:p w:rsidR="005201D9" w:rsidRDefault="005201D9" w:rsidP="007748FF">
            <w:pPr>
              <w:pStyle w:val="BodyText"/>
              <w:keepNext/>
              <w:spacing w:before="60" w:after="60"/>
              <w:jc w:val="left"/>
              <w:rPr>
                <w:b/>
                <w:color w:val="FFFFFF" w:themeColor="background1"/>
                <w:sz w:val="20"/>
              </w:rPr>
            </w:pPr>
          </w:p>
        </w:tc>
        <w:tc>
          <w:tcPr>
            <w:tcW w:w="2067" w:type="dxa"/>
            <w:shd w:val="clear" w:color="auto" w:fill="1F497D" w:themeFill="text2"/>
            <w:vAlign w:val="center"/>
          </w:tcPr>
          <w:p w:rsidR="005201D9" w:rsidRDefault="00671CBE" w:rsidP="007748FF">
            <w:pPr>
              <w:pStyle w:val="BodyText"/>
              <w:keepNext/>
              <w:spacing w:before="60" w:after="60"/>
              <w:jc w:val="right"/>
              <w:rPr>
                <w:b/>
                <w:color w:val="FFFFFF" w:themeColor="background1"/>
                <w:sz w:val="20"/>
              </w:rPr>
            </w:pPr>
            <w:r w:rsidRPr="008610E0">
              <w:rPr>
                <w:b/>
                <w:color w:val="FFFFFF" w:themeColor="background1"/>
                <w:sz w:val="20"/>
              </w:rPr>
              <w:t xml:space="preserve">Small </w:t>
            </w:r>
            <w:r w:rsidRPr="008610E0">
              <w:rPr>
                <w:b/>
                <w:color w:val="FFFFFF" w:themeColor="background1"/>
                <w:sz w:val="20"/>
              </w:rPr>
              <w:br/>
              <w:t>(&lt;10,000t)</w:t>
            </w:r>
          </w:p>
        </w:tc>
        <w:tc>
          <w:tcPr>
            <w:tcW w:w="2068" w:type="dxa"/>
            <w:shd w:val="clear" w:color="auto" w:fill="1F497D" w:themeFill="text2"/>
          </w:tcPr>
          <w:p w:rsidR="005201D9" w:rsidRDefault="00671CBE" w:rsidP="007748FF">
            <w:pPr>
              <w:pStyle w:val="BodyText"/>
              <w:keepNext/>
              <w:spacing w:before="60" w:after="60"/>
              <w:jc w:val="right"/>
              <w:rPr>
                <w:b/>
                <w:color w:val="FFFFFF" w:themeColor="background1"/>
                <w:sz w:val="20"/>
              </w:rPr>
            </w:pPr>
            <w:r w:rsidRPr="008610E0">
              <w:rPr>
                <w:b/>
                <w:color w:val="FFFFFF" w:themeColor="background1"/>
                <w:sz w:val="20"/>
              </w:rPr>
              <w:t xml:space="preserve">Medium </w:t>
            </w:r>
            <w:r w:rsidRPr="008610E0">
              <w:rPr>
                <w:b/>
                <w:color w:val="FFFFFF" w:themeColor="background1"/>
                <w:sz w:val="20"/>
              </w:rPr>
              <w:br/>
              <w:t>(10,000 to 100,000t)</w:t>
            </w:r>
          </w:p>
        </w:tc>
        <w:tc>
          <w:tcPr>
            <w:tcW w:w="2068" w:type="dxa"/>
            <w:shd w:val="clear" w:color="auto" w:fill="1F497D" w:themeFill="text2"/>
          </w:tcPr>
          <w:p w:rsidR="005201D9" w:rsidRDefault="00671CBE" w:rsidP="007748FF">
            <w:pPr>
              <w:pStyle w:val="BodyText"/>
              <w:keepNext/>
              <w:spacing w:before="60" w:after="60"/>
              <w:jc w:val="right"/>
              <w:rPr>
                <w:b/>
                <w:color w:val="FFFFFF" w:themeColor="background1"/>
                <w:sz w:val="20"/>
              </w:rPr>
            </w:pPr>
            <w:r w:rsidRPr="008610E0">
              <w:rPr>
                <w:b/>
                <w:color w:val="FFFFFF" w:themeColor="background1"/>
                <w:sz w:val="20"/>
              </w:rPr>
              <w:t xml:space="preserve">Large </w:t>
            </w:r>
            <w:r w:rsidRPr="008610E0">
              <w:rPr>
                <w:b/>
                <w:color w:val="FFFFFF" w:themeColor="background1"/>
                <w:sz w:val="20"/>
              </w:rPr>
              <w:br/>
              <w:t>(&gt;100,000t)</w:t>
            </w:r>
          </w:p>
        </w:tc>
      </w:tr>
      <w:tr w:rsidR="00452343" w:rsidRPr="00C8251D" w:rsidTr="008610E0">
        <w:tc>
          <w:tcPr>
            <w:tcW w:w="2518" w:type="dxa"/>
            <w:shd w:val="clear" w:color="auto" w:fill="C6D9F1" w:themeFill="text2" w:themeFillTint="33"/>
          </w:tcPr>
          <w:p w:rsidR="005201D9" w:rsidRDefault="00452343" w:rsidP="007748FF">
            <w:pPr>
              <w:pStyle w:val="BodyText"/>
              <w:keepNext/>
              <w:spacing w:before="60" w:after="60"/>
              <w:rPr>
                <w:sz w:val="20"/>
              </w:rPr>
            </w:pPr>
            <w:r>
              <w:rPr>
                <w:sz w:val="20"/>
              </w:rPr>
              <w:t>Land</w:t>
            </w:r>
          </w:p>
        </w:tc>
        <w:tc>
          <w:tcPr>
            <w:tcW w:w="2067" w:type="dxa"/>
            <w:vAlign w:val="center"/>
          </w:tcPr>
          <w:p w:rsidR="005201D9" w:rsidRDefault="008610E0" w:rsidP="007748FF">
            <w:pPr>
              <w:pStyle w:val="BodyText"/>
              <w:keepNext/>
              <w:spacing w:before="60" w:after="60"/>
              <w:jc w:val="right"/>
              <w:rPr>
                <w:sz w:val="20"/>
              </w:rPr>
            </w:pPr>
            <w:r>
              <w:rPr>
                <w:sz w:val="20"/>
              </w:rPr>
              <w:t>5</w:t>
            </w:r>
          </w:p>
        </w:tc>
        <w:tc>
          <w:tcPr>
            <w:tcW w:w="2068" w:type="dxa"/>
          </w:tcPr>
          <w:p w:rsidR="005201D9" w:rsidRDefault="008610E0" w:rsidP="007748FF">
            <w:pPr>
              <w:pStyle w:val="BodyText"/>
              <w:keepNext/>
              <w:spacing w:before="60" w:after="60"/>
              <w:jc w:val="right"/>
              <w:rPr>
                <w:sz w:val="20"/>
              </w:rPr>
            </w:pPr>
            <w:r>
              <w:rPr>
                <w:sz w:val="20"/>
              </w:rPr>
              <w:t>3</w:t>
            </w:r>
          </w:p>
        </w:tc>
        <w:tc>
          <w:tcPr>
            <w:tcW w:w="2068" w:type="dxa"/>
          </w:tcPr>
          <w:p w:rsidR="005201D9" w:rsidRDefault="008610E0" w:rsidP="007748FF">
            <w:pPr>
              <w:pStyle w:val="BodyText"/>
              <w:keepNext/>
              <w:spacing w:before="60" w:after="60"/>
              <w:jc w:val="right"/>
              <w:rPr>
                <w:sz w:val="20"/>
              </w:rPr>
            </w:pPr>
            <w:r>
              <w:rPr>
                <w:sz w:val="20"/>
              </w:rPr>
              <w:t>2</w:t>
            </w:r>
          </w:p>
        </w:tc>
      </w:tr>
      <w:tr w:rsidR="00452343" w:rsidRPr="00C8251D" w:rsidTr="008610E0">
        <w:tc>
          <w:tcPr>
            <w:tcW w:w="2518" w:type="dxa"/>
            <w:shd w:val="clear" w:color="auto" w:fill="C6D9F1" w:themeFill="text2" w:themeFillTint="33"/>
          </w:tcPr>
          <w:p w:rsidR="00452343" w:rsidRPr="00C8251D" w:rsidRDefault="00452343" w:rsidP="00F268D2">
            <w:pPr>
              <w:pStyle w:val="BodyText"/>
              <w:spacing w:before="60" w:after="60"/>
              <w:rPr>
                <w:sz w:val="20"/>
              </w:rPr>
            </w:pPr>
            <w:r>
              <w:rPr>
                <w:sz w:val="20"/>
              </w:rPr>
              <w:t>Approvals/site development</w:t>
            </w:r>
          </w:p>
        </w:tc>
        <w:tc>
          <w:tcPr>
            <w:tcW w:w="2067" w:type="dxa"/>
            <w:vAlign w:val="center"/>
          </w:tcPr>
          <w:p w:rsidR="00452343" w:rsidRPr="008610E0" w:rsidRDefault="008610E0" w:rsidP="00F268D2">
            <w:pPr>
              <w:pStyle w:val="BodyText"/>
              <w:spacing w:before="60" w:after="60"/>
              <w:jc w:val="right"/>
              <w:rPr>
                <w:sz w:val="20"/>
              </w:rPr>
            </w:pPr>
            <w:r w:rsidRPr="008610E0">
              <w:rPr>
                <w:sz w:val="20"/>
              </w:rPr>
              <w:t>10</w:t>
            </w:r>
          </w:p>
        </w:tc>
        <w:tc>
          <w:tcPr>
            <w:tcW w:w="2068" w:type="dxa"/>
          </w:tcPr>
          <w:p w:rsidR="00452343" w:rsidRPr="008610E0" w:rsidRDefault="008610E0" w:rsidP="00F268D2">
            <w:pPr>
              <w:pStyle w:val="BodyText"/>
              <w:spacing w:before="60" w:after="60"/>
              <w:jc w:val="right"/>
              <w:rPr>
                <w:sz w:val="20"/>
              </w:rPr>
            </w:pPr>
            <w:r w:rsidRPr="008610E0">
              <w:rPr>
                <w:sz w:val="20"/>
              </w:rPr>
              <w:t>6</w:t>
            </w:r>
          </w:p>
        </w:tc>
        <w:tc>
          <w:tcPr>
            <w:tcW w:w="2068" w:type="dxa"/>
          </w:tcPr>
          <w:p w:rsidR="00452343" w:rsidRPr="008610E0" w:rsidRDefault="008610E0" w:rsidP="00F268D2">
            <w:pPr>
              <w:pStyle w:val="BodyText"/>
              <w:spacing w:before="60" w:after="60"/>
              <w:jc w:val="right"/>
              <w:rPr>
                <w:sz w:val="20"/>
              </w:rPr>
            </w:pPr>
            <w:r w:rsidRPr="008610E0">
              <w:rPr>
                <w:sz w:val="20"/>
              </w:rPr>
              <w:t>4</w:t>
            </w:r>
          </w:p>
        </w:tc>
      </w:tr>
      <w:tr w:rsidR="00452343" w:rsidRPr="00C8251D" w:rsidTr="008610E0">
        <w:tc>
          <w:tcPr>
            <w:tcW w:w="2518" w:type="dxa"/>
            <w:shd w:val="clear" w:color="auto" w:fill="C6D9F1" w:themeFill="text2" w:themeFillTint="33"/>
          </w:tcPr>
          <w:p w:rsidR="00452343" w:rsidRPr="00C8251D" w:rsidRDefault="00452343" w:rsidP="00F268D2">
            <w:pPr>
              <w:pStyle w:val="BodyText"/>
              <w:spacing w:before="60" w:after="60"/>
              <w:rPr>
                <w:sz w:val="20"/>
              </w:rPr>
            </w:pPr>
            <w:r>
              <w:rPr>
                <w:sz w:val="20"/>
              </w:rPr>
              <w:t>Best practice liner</w:t>
            </w:r>
          </w:p>
        </w:tc>
        <w:tc>
          <w:tcPr>
            <w:tcW w:w="2067" w:type="dxa"/>
            <w:vAlign w:val="center"/>
          </w:tcPr>
          <w:p w:rsidR="00452343" w:rsidRPr="00C8251D" w:rsidRDefault="008610E0" w:rsidP="00F268D2">
            <w:pPr>
              <w:pStyle w:val="BodyText"/>
              <w:spacing w:before="60" w:after="60"/>
              <w:jc w:val="right"/>
              <w:rPr>
                <w:sz w:val="20"/>
              </w:rPr>
            </w:pPr>
            <w:r>
              <w:rPr>
                <w:sz w:val="20"/>
              </w:rPr>
              <w:t>13</w:t>
            </w:r>
          </w:p>
        </w:tc>
        <w:tc>
          <w:tcPr>
            <w:tcW w:w="2068" w:type="dxa"/>
          </w:tcPr>
          <w:p w:rsidR="00452343" w:rsidRPr="00C8251D" w:rsidRDefault="008610E0" w:rsidP="00F268D2">
            <w:pPr>
              <w:pStyle w:val="BodyText"/>
              <w:spacing w:before="60" w:after="60"/>
              <w:jc w:val="right"/>
              <w:rPr>
                <w:sz w:val="20"/>
              </w:rPr>
            </w:pPr>
            <w:r>
              <w:rPr>
                <w:sz w:val="20"/>
              </w:rPr>
              <w:t>8</w:t>
            </w:r>
          </w:p>
        </w:tc>
        <w:tc>
          <w:tcPr>
            <w:tcW w:w="2068" w:type="dxa"/>
          </w:tcPr>
          <w:p w:rsidR="00452343" w:rsidRPr="00C8251D" w:rsidRDefault="008610E0" w:rsidP="00F268D2">
            <w:pPr>
              <w:pStyle w:val="BodyText"/>
              <w:spacing w:before="60" w:after="60"/>
              <w:jc w:val="right"/>
              <w:rPr>
                <w:sz w:val="20"/>
              </w:rPr>
            </w:pPr>
            <w:r>
              <w:rPr>
                <w:sz w:val="20"/>
              </w:rPr>
              <w:t>5</w:t>
            </w:r>
          </w:p>
        </w:tc>
      </w:tr>
      <w:tr w:rsidR="00452343" w:rsidRPr="00C8251D" w:rsidTr="008610E0">
        <w:tc>
          <w:tcPr>
            <w:tcW w:w="2518" w:type="dxa"/>
            <w:shd w:val="clear" w:color="auto" w:fill="C6D9F1" w:themeFill="text2" w:themeFillTint="33"/>
          </w:tcPr>
          <w:p w:rsidR="00452343" w:rsidRDefault="00452343" w:rsidP="00F268D2">
            <w:pPr>
              <w:pStyle w:val="BodyText"/>
              <w:spacing w:before="60" w:after="60"/>
              <w:rPr>
                <w:sz w:val="20"/>
              </w:rPr>
            </w:pPr>
            <w:proofErr w:type="spellStart"/>
            <w:r>
              <w:rPr>
                <w:sz w:val="20"/>
              </w:rPr>
              <w:t>Leachate</w:t>
            </w:r>
            <w:proofErr w:type="spellEnd"/>
            <w:r>
              <w:rPr>
                <w:sz w:val="20"/>
              </w:rPr>
              <w:t xml:space="preserve"> collection</w:t>
            </w:r>
          </w:p>
        </w:tc>
        <w:tc>
          <w:tcPr>
            <w:tcW w:w="2067" w:type="dxa"/>
            <w:vAlign w:val="center"/>
          </w:tcPr>
          <w:p w:rsidR="00452343" w:rsidRPr="00C8251D" w:rsidRDefault="008610E0" w:rsidP="00F268D2">
            <w:pPr>
              <w:pStyle w:val="BodyText"/>
              <w:spacing w:before="60" w:after="60"/>
              <w:jc w:val="right"/>
              <w:rPr>
                <w:sz w:val="20"/>
              </w:rPr>
            </w:pPr>
            <w:r>
              <w:rPr>
                <w:sz w:val="20"/>
              </w:rPr>
              <w:t>6</w:t>
            </w:r>
          </w:p>
        </w:tc>
        <w:tc>
          <w:tcPr>
            <w:tcW w:w="2068" w:type="dxa"/>
          </w:tcPr>
          <w:p w:rsidR="00452343" w:rsidRPr="00C8251D" w:rsidRDefault="008610E0" w:rsidP="00F268D2">
            <w:pPr>
              <w:pStyle w:val="BodyText"/>
              <w:spacing w:before="60" w:after="60"/>
              <w:jc w:val="right"/>
              <w:rPr>
                <w:sz w:val="20"/>
              </w:rPr>
            </w:pPr>
            <w:r>
              <w:rPr>
                <w:sz w:val="20"/>
              </w:rPr>
              <w:t>4</w:t>
            </w:r>
          </w:p>
        </w:tc>
        <w:tc>
          <w:tcPr>
            <w:tcW w:w="2068" w:type="dxa"/>
          </w:tcPr>
          <w:p w:rsidR="00452343" w:rsidRPr="00C8251D" w:rsidRDefault="008610E0" w:rsidP="00F268D2">
            <w:pPr>
              <w:pStyle w:val="BodyText"/>
              <w:spacing w:before="60" w:after="60"/>
              <w:jc w:val="right"/>
              <w:rPr>
                <w:sz w:val="20"/>
              </w:rPr>
            </w:pPr>
            <w:r>
              <w:rPr>
                <w:sz w:val="20"/>
              </w:rPr>
              <w:t>3</w:t>
            </w:r>
          </w:p>
        </w:tc>
      </w:tr>
      <w:tr w:rsidR="008610E0" w:rsidRPr="00C8251D" w:rsidTr="008610E0">
        <w:tc>
          <w:tcPr>
            <w:tcW w:w="2518" w:type="dxa"/>
            <w:shd w:val="clear" w:color="auto" w:fill="C6D9F1" w:themeFill="text2" w:themeFillTint="33"/>
          </w:tcPr>
          <w:p w:rsidR="008610E0" w:rsidRDefault="008610E0" w:rsidP="00F268D2">
            <w:pPr>
              <w:pStyle w:val="BodyText"/>
              <w:spacing w:before="60" w:after="60"/>
              <w:rPr>
                <w:sz w:val="20"/>
              </w:rPr>
            </w:pPr>
            <w:r>
              <w:rPr>
                <w:sz w:val="20"/>
              </w:rPr>
              <w:t>Gas recovery</w:t>
            </w:r>
          </w:p>
        </w:tc>
        <w:tc>
          <w:tcPr>
            <w:tcW w:w="2067" w:type="dxa"/>
            <w:vAlign w:val="center"/>
          </w:tcPr>
          <w:p w:rsidR="008610E0" w:rsidRPr="00C8251D" w:rsidRDefault="008610E0" w:rsidP="00F268D2">
            <w:pPr>
              <w:pStyle w:val="BodyText"/>
              <w:spacing w:before="60" w:after="60"/>
              <w:jc w:val="right"/>
              <w:rPr>
                <w:sz w:val="20"/>
              </w:rPr>
            </w:pPr>
            <w:r>
              <w:rPr>
                <w:sz w:val="20"/>
              </w:rPr>
              <w:t>6</w:t>
            </w:r>
          </w:p>
        </w:tc>
        <w:tc>
          <w:tcPr>
            <w:tcW w:w="2068" w:type="dxa"/>
          </w:tcPr>
          <w:p w:rsidR="008610E0" w:rsidRPr="00C8251D" w:rsidRDefault="008610E0" w:rsidP="00F268D2">
            <w:pPr>
              <w:pStyle w:val="BodyText"/>
              <w:spacing w:before="60" w:after="60"/>
              <w:jc w:val="right"/>
              <w:rPr>
                <w:sz w:val="20"/>
              </w:rPr>
            </w:pPr>
            <w:r>
              <w:rPr>
                <w:sz w:val="20"/>
              </w:rPr>
              <w:t>4</w:t>
            </w:r>
          </w:p>
        </w:tc>
        <w:tc>
          <w:tcPr>
            <w:tcW w:w="2068" w:type="dxa"/>
          </w:tcPr>
          <w:p w:rsidR="008610E0" w:rsidRPr="00C8251D" w:rsidRDefault="008610E0" w:rsidP="00F268D2">
            <w:pPr>
              <w:pStyle w:val="BodyText"/>
              <w:spacing w:before="60" w:after="60"/>
              <w:jc w:val="right"/>
              <w:rPr>
                <w:sz w:val="20"/>
              </w:rPr>
            </w:pPr>
            <w:r>
              <w:rPr>
                <w:sz w:val="20"/>
              </w:rPr>
              <w:t>3</w:t>
            </w:r>
          </w:p>
        </w:tc>
      </w:tr>
      <w:tr w:rsidR="008610E0" w:rsidRPr="00C8251D" w:rsidTr="008610E0">
        <w:tc>
          <w:tcPr>
            <w:tcW w:w="2518" w:type="dxa"/>
            <w:shd w:val="clear" w:color="auto" w:fill="C6D9F1" w:themeFill="text2" w:themeFillTint="33"/>
          </w:tcPr>
          <w:p w:rsidR="008610E0" w:rsidRDefault="008610E0" w:rsidP="00F268D2">
            <w:pPr>
              <w:pStyle w:val="BodyText"/>
              <w:spacing w:before="60" w:after="60"/>
              <w:rPr>
                <w:sz w:val="20"/>
              </w:rPr>
            </w:pPr>
            <w:r>
              <w:rPr>
                <w:sz w:val="20"/>
              </w:rPr>
              <w:t>Amenity management</w:t>
            </w:r>
          </w:p>
        </w:tc>
        <w:tc>
          <w:tcPr>
            <w:tcW w:w="2067" w:type="dxa"/>
            <w:vAlign w:val="center"/>
          </w:tcPr>
          <w:p w:rsidR="008610E0" w:rsidRPr="00C8251D" w:rsidRDefault="008610E0" w:rsidP="00F268D2">
            <w:pPr>
              <w:pStyle w:val="BodyText"/>
              <w:spacing w:before="60" w:after="60"/>
              <w:jc w:val="right"/>
              <w:rPr>
                <w:sz w:val="20"/>
              </w:rPr>
            </w:pPr>
            <w:r>
              <w:rPr>
                <w:sz w:val="20"/>
              </w:rPr>
              <w:t>1</w:t>
            </w:r>
          </w:p>
        </w:tc>
        <w:tc>
          <w:tcPr>
            <w:tcW w:w="2068" w:type="dxa"/>
          </w:tcPr>
          <w:p w:rsidR="008610E0" w:rsidRPr="00C8251D" w:rsidRDefault="008610E0" w:rsidP="00F268D2">
            <w:pPr>
              <w:pStyle w:val="BodyText"/>
              <w:spacing w:before="60" w:after="60"/>
              <w:jc w:val="right"/>
              <w:rPr>
                <w:sz w:val="20"/>
              </w:rPr>
            </w:pPr>
            <w:r>
              <w:rPr>
                <w:sz w:val="20"/>
              </w:rPr>
              <w:t>1</w:t>
            </w:r>
          </w:p>
        </w:tc>
        <w:tc>
          <w:tcPr>
            <w:tcW w:w="2068" w:type="dxa"/>
          </w:tcPr>
          <w:p w:rsidR="008610E0" w:rsidRPr="00C8251D" w:rsidRDefault="008610E0" w:rsidP="00F268D2">
            <w:pPr>
              <w:pStyle w:val="BodyText"/>
              <w:spacing w:before="60" w:after="60"/>
              <w:jc w:val="right"/>
              <w:rPr>
                <w:sz w:val="20"/>
              </w:rPr>
            </w:pPr>
            <w:r>
              <w:rPr>
                <w:sz w:val="20"/>
              </w:rPr>
              <w:t>1</w:t>
            </w:r>
          </w:p>
        </w:tc>
      </w:tr>
      <w:tr w:rsidR="008610E0" w:rsidRPr="00C8251D" w:rsidTr="008610E0">
        <w:tc>
          <w:tcPr>
            <w:tcW w:w="2518" w:type="dxa"/>
            <w:shd w:val="clear" w:color="auto" w:fill="C6D9F1" w:themeFill="text2" w:themeFillTint="33"/>
          </w:tcPr>
          <w:p w:rsidR="008610E0" w:rsidRDefault="008610E0" w:rsidP="00F268D2">
            <w:pPr>
              <w:pStyle w:val="BodyText"/>
              <w:spacing w:before="60" w:after="60"/>
              <w:rPr>
                <w:sz w:val="20"/>
              </w:rPr>
            </w:pPr>
            <w:r>
              <w:rPr>
                <w:sz w:val="20"/>
              </w:rPr>
              <w:t>Operations</w:t>
            </w:r>
          </w:p>
        </w:tc>
        <w:tc>
          <w:tcPr>
            <w:tcW w:w="2067" w:type="dxa"/>
            <w:vAlign w:val="center"/>
          </w:tcPr>
          <w:p w:rsidR="008610E0" w:rsidRPr="00C8251D" w:rsidRDefault="008610E0" w:rsidP="00F268D2">
            <w:pPr>
              <w:pStyle w:val="BodyText"/>
              <w:spacing w:before="60" w:after="60"/>
              <w:jc w:val="right"/>
              <w:rPr>
                <w:sz w:val="20"/>
              </w:rPr>
            </w:pPr>
            <w:r>
              <w:rPr>
                <w:sz w:val="20"/>
              </w:rPr>
              <w:t>34</w:t>
            </w:r>
          </w:p>
        </w:tc>
        <w:tc>
          <w:tcPr>
            <w:tcW w:w="2068" w:type="dxa"/>
          </w:tcPr>
          <w:p w:rsidR="008610E0" w:rsidRPr="00C8251D" w:rsidRDefault="008610E0" w:rsidP="00F268D2">
            <w:pPr>
              <w:pStyle w:val="BodyText"/>
              <w:spacing w:before="60" w:after="60"/>
              <w:jc w:val="right"/>
              <w:rPr>
                <w:sz w:val="20"/>
              </w:rPr>
            </w:pPr>
            <w:r>
              <w:rPr>
                <w:sz w:val="20"/>
              </w:rPr>
              <w:t>20</w:t>
            </w:r>
          </w:p>
        </w:tc>
        <w:tc>
          <w:tcPr>
            <w:tcW w:w="2068" w:type="dxa"/>
          </w:tcPr>
          <w:p w:rsidR="008610E0" w:rsidRPr="00C8251D" w:rsidRDefault="008610E0" w:rsidP="00F268D2">
            <w:pPr>
              <w:pStyle w:val="BodyText"/>
              <w:spacing w:before="60" w:after="60"/>
              <w:jc w:val="right"/>
              <w:rPr>
                <w:sz w:val="20"/>
              </w:rPr>
            </w:pPr>
            <w:r>
              <w:rPr>
                <w:sz w:val="20"/>
              </w:rPr>
              <w:t>14</w:t>
            </w:r>
          </w:p>
        </w:tc>
      </w:tr>
      <w:tr w:rsidR="008610E0" w:rsidRPr="00C8251D" w:rsidTr="008610E0">
        <w:tc>
          <w:tcPr>
            <w:tcW w:w="2518" w:type="dxa"/>
            <w:shd w:val="clear" w:color="auto" w:fill="C6D9F1" w:themeFill="text2" w:themeFillTint="33"/>
          </w:tcPr>
          <w:p w:rsidR="008610E0" w:rsidRDefault="008610E0" w:rsidP="00F268D2">
            <w:pPr>
              <w:pStyle w:val="BodyText"/>
              <w:spacing w:before="60" w:after="60"/>
              <w:rPr>
                <w:sz w:val="20"/>
              </w:rPr>
            </w:pPr>
            <w:r>
              <w:rPr>
                <w:sz w:val="20"/>
              </w:rPr>
              <w:t>Capping and remediation</w:t>
            </w:r>
          </w:p>
        </w:tc>
        <w:tc>
          <w:tcPr>
            <w:tcW w:w="2067" w:type="dxa"/>
            <w:vAlign w:val="center"/>
          </w:tcPr>
          <w:p w:rsidR="008610E0" w:rsidRPr="00C8251D" w:rsidRDefault="008610E0" w:rsidP="00F268D2">
            <w:pPr>
              <w:pStyle w:val="BodyText"/>
              <w:spacing w:before="60" w:after="60"/>
              <w:jc w:val="right"/>
              <w:rPr>
                <w:sz w:val="20"/>
              </w:rPr>
            </w:pPr>
            <w:r>
              <w:rPr>
                <w:sz w:val="20"/>
              </w:rPr>
              <w:t>10</w:t>
            </w:r>
          </w:p>
        </w:tc>
        <w:tc>
          <w:tcPr>
            <w:tcW w:w="2068" w:type="dxa"/>
          </w:tcPr>
          <w:p w:rsidR="008610E0" w:rsidRPr="00C8251D" w:rsidRDefault="008610E0" w:rsidP="00F268D2">
            <w:pPr>
              <w:pStyle w:val="BodyText"/>
              <w:spacing w:before="60" w:after="60"/>
              <w:jc w:val="right"/>
              <w:rPr>
                <w:sz w:val="20"/>
              </w:rPr>
            </w:pPr>
            <w:r>
              <w:rPr>
                <w:sz w:val="20"/>
              </w:rPr>
              <w:t>8</w:t>
            </w:r>
          </w:p>
        </w:tc>
        <w:tc>
          <w:tcPr>
            <w:tcW w:w="2068" w:type="dxa"/>
          </w:tcPr>
          <w:p w:rsidR="008610E0" w:rsidRPr="00C8251D" w:rsidRDefault="008610E0" w:rsidP="00F268D2">
            <w:pPr>
              <w:pStyle w:val="BodyText"/>
              <w:spacing w:before="60" w:after="60"/>
              <w:jc w:val="right"/>
              <w:rPr>
                <w:sz w:val="20"/>
              </w:rPr>
            </w:pPr>
            <w:r>
              <w:rPr>
                <w:sz w:val="20"/>
              </w:rPr>
              <w:t>4</w:t>
            </w:r>
          </w:p>
        </w:tc>
      </w:tr>
      <w:tr w:rsidR="008610E0" w:rsidRPr="00C8251D" w:rsidTr="008610E0">
        <w:tc>
          <w:tcPr>
            <w:tcW w:w="2518" w:type="dxa"/>
            <w:shd w:val="clear" w:color="auto" w:fill="C6D9F1" w:themeFill="text2" w:themeFillTint="33"/>
          </w:tcPr>
          <w:p w:rsidR="008610E0" w:rsidRDefault="008610E0" w:rsidP="00F268D2">
            <w:pPr>
              <w:pStyle w:val="BodyText"/>
              <w:spacing w:before="60" w:after="60"/>
              <w:rPr>
                <w:sz w:val="20"/>
              </w:rPr>
            </w:pPr>
            <w:r>
              <w:rPr>
                <w:sz w:val="20"/>
              </w:rPr>
              <w:t>Post-closure maintenance</w:t>
            </w:r>
          </w:p>
        </w:tc>
        <w:tc>
          <w:tcPr>
            <w:tcW w:w="2067" w:type="dxa"/>
            <w:vAlign w:val="center"/>
          </w:tcPr>
          <w:p w:rsidR="008610E0" w:rsidRPr="00C8251D" w:rsidRDefault="008610E0" w:rsidP="00F268D2">
            <w:pPr>
              <w:pStyle w:val="BodyText"/>
              <w:spacing w:before="60" w:after="60"/>
              <w:jc w:val="right"/>
              <w:rPr>
                <w:sz w:val="20"/>
              </w:rPr>
            </w:pPr>
            <w:r>
              <w:rPr>
                <w:sz w:val="20"/>
              </w:rPr>
              <w:t>15</w:t>
            </w:r>
          </w:p>
        </w:tc>
        <w:tc>
          <w:tcPr>
            <w:tcW w:w="2068" w:type="dxa"/>
          </w:tcPr>
          <w:p w:rsidR="008610E0" w:rsidRPr="00C8251D" w:rsidRDefault="008610E0" w:rsidP="00F268D2">
            <w:pPr>
              <w:pStyle w:val="BodyText"/>
              <w:spacing w:before="60" w:after="60"/>
              <w:jc w:val="right"/>
              <w:rPr>
                <w:sz w:val="20"/>
              </w:rPr>
            </w:pPr>
            <w:r>
              <w:rPr>
                <w:sz w:val="20"/>
              </w:rPr>
              <w:t>9</w:t>
            </w:r>
          </w:p>
        </w:tc>
        <w:tc>
          <w:tcPr>
            <w:tcW w:w="2068" w:type="dxa"/>
          </w:tcPr>
          <w:p w:rsidR="008610E0" w:rsidRPr="00C8251D" w:rsidRDefault="008610E0" w:rsidP="00F268D2">
            <w:pPr>
              <w:pStyle w:val="BodyText"/>
              <w:spacing w:before="60" w:after="60"/>
              <w:jc w:val="right"/>
              <w:rPr>
                <w:sz w:val="20"/>
              </w:rPr>
            </w:pPr>
            <w:r>
              <w:rPr>
                <w:sz w:val="20"/>
              </w:rPr>
              <w:t>6</w:t>
            </w:r>
          </w:p>
        </w:tc>
      </w:tr>
      <w:tr w:rsidR="008610E0" w:rsidRPr="00C8251D" w:rsidTr="008610E0">
        <w:tc>
          <w:tcPr>
            <w:tcW w:w="2518" w:type="dxa"/>
            <w:shd w:val="clear" w:color="auto" w:fill="C6D9F1" w:themeFill="text2" w:themeFillTint="33"/>
          </w:tcPr>
          <w:p w:rsidR="008610E0" w:rsidRPr="008610E0" w:rsidRDefault="008610E0" w:rsidP="00F268D2">
            <w:pPr>
              <w:pStyle w:val="BodyText"/>
              <w:spacing w:before="60" w:after="60"/>
              <w:rPr>
                <w:b/>
                <w:sz w:val="20"/>
              </w:rPr>
            </w:pPr>
            <w:r w:rsidRPr="008610E0">
              <w:rPr>
                <w:b/>
                <w:sz w:val="20"/>
              </w:rPr>
              <w:t>Total</w:t>
            </w:r>
          </w:p>
        </w:tc>
        <w:tc>
          <w:tcPr>
            <w:tcW w:w="2067" w:type="dxa"/>
            <w:vAlign w:val="center"/>
          </w:tcPr>
          <w:p w:rsidR="008610E0" w:rsidRPr="008610E0" w:rsidRDefault="008610E0" w:rsidP="00F268D2">
            <w:pPr>
              <w:pStyle w:val="BodyText"/>
              <w:spacing w:before="60" w:after="60"/>
              <w:jc w:val="right"/>
              <w:rPr>
                <w:b/>
                <w:sz w:val="20"/>
              </w:rPr>
            </w:pPr>
            <w:r w:rsidRPr="008610E0">
              <w:rPr>
                <w:b/>
                <w:sz w:val="20"/>
              </w:rPr>
              <w:t>100</w:t>
            </w:r>
          </w:p>
        </w:tc>
        <w:tc>
          <w:tcPr>
            <w:tcW w:w="2068" w:type="dxa"/>
          </w:tcPr>
          <w:p w:rsidR="008610E0" w:rsidRPr="008610E0" w:rsidRDefault="008610E0" w:rsidP="00F268D2">
            <w:pPr>
              <w:pStyle w:val="BodyText"/>
              <w:spacing w:before="60" w:after="60"/>
              <w:jc w:val="right"/>
              <w:rPr>
                <w:b/>
                <w:sz w:val="20"/>
              </w:rPr>
            </w:pPr>
            <w:r w:rsidRPr="008610E0">
              <w:rPr>
                <w:b/>
                <w:sz w:val="20"/>
              </w:rPr>
              <w:t>60</w:t>
            </w:r>
          </w:p>
        </w:tc>
        <w:tc>
          <w:tcPr>
            <w:tcW w:w="2068" w:type="dxa"/>
          </w:tcPr>
          <w:p w:rsidR="008610E0" w:rsidRPr="008610E0" w:rsidRDefault="008610E0" w:rsidP="00F268D2">
            <w:pPr>
              <w:pStyle w:val="BodyText"/>
              <w:spacing w:before="60" w:after="60"/>
              <w:jc w:val="right"/>
              <w:rPr>
                <w:b/>
                <w:sz w:val="20"/>
              </w:rPr>
            </w:pPr>
            <w:r w:rsidRPr="008610E0">
              <w:rPr>
                <w:b/>
                <w:sz w:val="20"/>
              </w:rPr>
              <w:t>40</w:t>
            </w:r>
          </w:p>
        </w:tc>
      </w:tr>
    </w:tbl>
    <w:p w:rsidR="00452343" w:rsidRPr="00452343" w:rsidRDefault="00452343" w:rsidP="00452343">
      <w:pPr>
        <w:pStyle w:val="Source"/>
      </w:pPr>
      <w:r>
        <w:t xml:space="preserve">Source: </w:t>
      </w:r>
      <w:r>
        <w:tab/>
        <w:t xml:space="preserve">BDA Group (2009) </w:t>
      </w:r>
      <w:proofErr w:type="gramStart"/>
      <w:r>
        <w:rPr>
          <w:i/>
        </w:rPr>
        <w:t>The</w:t>
      </w:r>
      <w:proofErr w:type="gramEnd"/>
      <w:r>
        <w:rPr>
          <w:i/>
        </w:rPr>
        <w:t xml:space="preserve"> full cost of landfill disposal in Australia, </w:t>
      </w:r>
      <w:r>
        <w:t>report prepared for the Department of the Environment Heritage and the Arts</w:t>
      </w:r>
    </w:p>
    <w:p w:rsidR="00452343" w:rsidRDefault="00015426" w:rsidP="004A1526">
      <w:pPr>
        <w:pStyle w:val="BodyText"/>
      </w:pPr>
      <w:r>
        <w:t>A large volume of RAC equipment would likely be disposed of in large urban landfills.</w:t>
      </w:r>
      <w:r w:rsidR="007748FF">
        <w:t xml:space="preserve"> However, recycling rates are potentially lower in regional areas as retailer and local government schemes are likely to be less accessible. Accordingly, a large volume of RAC equipment will also be disposed of in small and medium landfills. </w:t>
      </w:r>
      <w:r>
        <w:t>Accordingly, f</w:t>
      </w:r>
      <w:r w:rsidR="00F67F5B">
        <w:t xml:space="preserve">or the purpose of the analysis </w:t>
      </w:r>
      <w:r w:rsidR="00FB0FE0">
        <w:t>the estimate for medium sized landfills ($60/tonne) was adopted to model the economic benefits of diverted landfill waste. This 2009 estimate was inflated to 2014</w:t>
      </w:r>
      <w:r>
        <w:t xml:space="preserve"> dollars</w:t>
      </w:r>
      <w:r w:rsidR="00FB0FE0">
        <w:t xml:space="preserve"> ($68/tonne) based on the </w:t>
      </w:r>
      <w:r w:rsidR="00B02F74">
        <w:t>Consumer Price Index (</w:t>
      </w:r>
      <w:r w:rsidR="00FB0FE0">
        <w:t>CPI</w:t>
      </w:r>
      <w:r w:rsidR="00B02F74">
        <w:t>)</w:t>
      </w:r>
      <w:r w:rsidR="00FB0FE0">
        <w:t xml:space="preserve">. </w:t>
      </w:r>
    </w:p>
    <w:p w:rsidR="00452343" w:rsidRDefault="00FB0FE0" w:rsidP="004A1526">
      <w:pPr>
        <w:pStyle w:val="BodyText"/>
      </w:pPr>
      <w:r>
        <w:t>In addition to the economic costs of landfill, there are a number of environmental costs associated with waste diversion to landfill, including:</w:t>
      </w:r>
    </w:p>
    <w:p w:rsidR="00FB0FE0" w:rsidRDefault="00FB0FE0" w:rsidP="00FB0FE0">
      <w:pPr>
        <w:pStyle w:val="BulletText"/>
      </w:pPr>
      <w:r>
        <w:t>greenhouse gas emissions;</w:t>
      </w:r>
    </w:p>
    <w:p w:rsidR="00FB0FE0" w:rsidRDefault="00FB0FE0" w:rsidP="00FB0FE0">
      <w:pPr>
        <w:pStyle w:val="BulletText"/>
      </w:pPr>
      <w:r>
        <w:t>other gas emissions;</w:t>
      </w:r>
    </w:p>
    <w:p w:rsidR="00FB0FE0" w:rsidRDefault="00FB0FE0" w:rsidP="00FB0FE0">
      <w:pPr>
        <w:pStyle w:val="BulletText"/>
      </w:pPr>
      <w:proofErr w:type="spellStart"/>
      <w:r>
        <w:t>leachate</w:t>
      </w:r>
      <w:proofErr w:type="spellEnd"/>
      <w:r>
        <w:t xml:space="preserve"> leakage; and</w:t>
      </w:r>
    </w:p>
    <w:p w:rsidR="00FB0FE0" w:rsidRDefault="00FB0FE0" w:rsidP="00FB0FE0">
      <w:pPr>
        <w:pStyle w:val="BulletText"/>
      </w:pPr>
      <w:proofErr w:type="gramStart"/>
      <w:r>
        <w:t>loss</w:t>
      </w:r>
      <w:proofErr w:type="gramEnd"/>
      <w:r>
        <w:t xml:space="preserve"> of amenity.</w:t>
      </w:r>
    </w:p>
    <w:p w:rsidR="00452343" w:rsidRDefault="00B45195" w:rsidP="004A1526">
      <w:pPr>
        <w:pStyle w:val="BodyText"/>
      </w:pPr>
      <w:r>
        <w:t>Estimates of the environmental costs of landfill vary significantly ranging from $1 to $24 per tonne</w:t>
      </w:r>
      <w:r w:rsidR="006F155E">
        <w:t xml:space="preserve"> (in 2009 dollars)</w:t>
      </w:r>
      <w:r>
        <w:rPr>
          <w:rStyle w:val="FootnoteReference"/>
        </w:rPr>
        <w:footnoteReference w:id="21"/>
      </w:r>
      <w:r>
        <w:t>. For the purpose of the analysis, the mi</w:t>
      </w:r>
      <w:r w:rsidR="006F155E">
        <w:t xml:space="preserve">d-point was adopted as the assumed environmental cost of landfill ($14 per tonne in 2014). </w:t>
      </w:r>
    </w:p>
    <w:p w:rsidR="00B02F74" w:rsidRDefault="00B02F74" w:rsidP="004A1526">
      <w:pPr>
        <w:pStyle w:val="BodyText"/>
      </w:pPr>
      <w:r>
        <w:t>The benefits of avoided landfill under each option, relative to the base case</w:t>
      </w:r>
      <w:r w:rsidR="00015426">
        <w:t xml:space="preserve"> over the 10 years of the analysis</w:t>
      </w:r>
      <w:r w:rsidR="00515755">
        <w:t>,</w:t>
      </w:r>
      <w:r>
        <w:t xml:space="preserve"> are outlined in </w:t>
      </w:r>
      <w:r w:rsidR="00586F30">
        <w:fldChar w:fldCharType="begin"/>
      </w:r>
      <w:r>
        <w:instrText xml:space="preserve"> REF _Ref392405319 \h </w:instrText>
      </w:r>
      <w:r w:rsidR="00586F30">
        <w:fldChar w:fldCharType="separate"/>
      </w:r>
      <w:r w:rsidR="001E5D7A">
        <w:t xml:space="preserve">Table </w:t>
      </w:r>
      <w:r w:rsidR="001E5D7A">
        <w:rPr>
          <w:noProof/>
        </w:rPr>
        <w:t>4</w:t>
      </w:r>
      <w:r w:rsidR="001E5D7A">
        <w:noBreakHyphen/>
      </w:r>
      <w:r w:rsidR="001E5D7A">
        <w:rPr>
          <w:noProof/>
        </w:rPr>
        <w:t>8</w:t>
      </w:r>
      <w:r w:rsidR="00586F30">
        <w:fldChar w:fldCharType="end"/>
      </w:r>
      <w:r>
        <w:t xml:space="preserve">. </w:t>
      </w:r>
      <w:r w:rsidR="00FA2BC6">
        <w:t xml:space="preserve">Care must be taken in interpreting these costs as the parameters used to measure landfill waste management costs and environmental externalities are not specific to RAC equipment waste. </w:t>
      </w:r>
    </w:p>
    <w:p w:rsidR="00C116D4" w:rsidRDefault="00C116D4" w:rsidP="004A1526">
      <w:pPr>
        <w:pStyle w:val="BodyText"/>
      </w:pPr>
      <w:r>
        <w:lastRenderedPageBreak/>
        <w:t xml:space="preserve">Consistent with the reduction in disposal of RAC equipment materials outlined in </w:t>
      </w:r>
      <w:r w:rsidR="00586F30">
        <w:fldChar w:fldCharType="begin"/>
      </w:r>
      <w:r>
        <w:instrText xml:space="preserve"> REF _Ref392751998 \h </w:instrText>
      </w:r>
      <w:r w:rsidR="00586F30">
        <w:fldChar w:fldCharType="separate"/>
      </w:r>
      <w:r w:rsidR="001E5D7A">
        <w:t xml:space="preserve">Table </w:t>
      </w:r>
      <w:r w:rsidR="001E5D7A">
        <w:rPr>
          <w:noProof/>
        </w:rPr>
        <w:t>4</w:t>
      </w:r>
      <w:r w:rsidR="001E5D7A">
        <w:noBreakHyphen/>
      </w:r>
      <w:r w:rsidR="001E5D7A">
        <w:rPr>
          <w:noProof/>
        </w:rPr>
        <w:t>6</w:t>
      </w:r>
      <w:r w:rsidR="00586F30">
        <w:fldChar w:fldCharType="end"/>
      </w:r>
      <w:r>
        <w:t xml:space="preserve">, the avoided waste management costs and environmental externalities of landfill are highest under the mandatory scheme (option 3). </w:t>
      </w:r>
      <w:r w:rsidR="00015426">
        <w:t>Under all options, the avoided landfill costs are higher for refrigerators and freezers than for air conditioners. This is consistent with the higher volume of refrigerators and freezer</w:t>
      </w:r>
      <w:r w:rsidR="00515755">
        <w:t>s</w:t>
      </w:r>
      <w:r w:rsidR="00015426">
        <w:t xml:space="preserve"> reaching end of life</w:t>
      </w:r>
      <w:r w:rsidR="00635C9C">
        <w:t xml:space="preserve"> over the period of analysis (2014 to 2024)</w:t>
      </w:r>
      <w:r w:rsidR="00015426">
        <w:t xml:space="preserve">. </w:t>
      </w:r>
    </w:p>
    <w:p w:rsidR="006F155E" w:rsidRDefault="006F155E" w:rsidP="006F155E">
      <w:pPr>
        <w:pStyle w:val="Caption"/>
      </w:pPr>
      <w:bookmarkStart w:id="49" w:name="_Ref392405319"/>
      <w:r>
        <w:t xml:space="preserve">Table </w:t>
      </w:r>
      <w:r w:rsidR="00586F30">
        <w:fldChar w:fldCharType="begin"/>
      </w:r>
      <w:r w:rsidR="00C478AE">
        <w:instrText xml:space="preserve"> STYLEREF 1 \s </w:instrText>
      </w:r>
      <w:r w:rsidR="00586F30">
        <w:fldChar w:fldCharType="separate"/>
      </w:r>
      <w:r w:rsidR="001E5D7A">
        <w:rPr>
          <w:noProof/>
        </w:rPr>
        <w:t>4</w:t>
      </w:r>
      <w:r w:rsidR="00586F30">
        <w:rPr>
          <w:noProof/>
        </w:rPr>
        <w:fldChar w:fldCharType="end"/>
      </w:r>
      <w:r w:rsidR="00CE3BAC">
        <w:noBreakHyphen/>
      </w:r>
      <w:r w:rsidR="00586F30">
        <w:fldChar w:fldCharType="begin"/>
      </w:r>
      <w:r w:rsidR="00C478AE">
        <w:instrText xml:space="preserve"> SEQ Table \* ARABIC \s 1 </w:instrText>
      </w:r>
      <w:r w:rsidR="00586F30">
        <w:fldChar w:fldCharType="separate"/>
      </w:r>
      <w:r w:rsidR="001E5D7A">
        <w:rPr>
          <w:noProof/>
        </w:rPr>
        <w:t>8</w:t>
      </w:r>
      <w:r w:rsidR="00586F30">
        <w:rPr>
          <w:noProof/>
        </w:rPr>
        <w:fldChar w:fldCharType="end"/>
      </w:r>
      <w:bookmarkEnd w:id="49"/>
      <w:r>
        <w:t xml:space="preserve">: Avoided landfill </w:t>
      </w:r>
      <w:r w:rsidR="00671CBE">
        <w:t xml:space="preserve">costs </w:t>
      </w:r>
      <w:r>
        <w:t>(PV @ 7% $ million)</w:t>
      </w:r>
    </w:p>
    <w:tbl>
      <w:tblPr>
        <w:tblStyle w:val="TableGrid"/>
        <w:tblW w:w="0" w:type="auto"/>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tblPr>
      <w:tblGrid>
        <w:gridCol w:w="3369"/>
        <w:gridCol w:w="2676"/>
        <w:gridCol w:w="2676"/>
      </w:tblGrid>
      <w:tr w:rsidR="00671CBE" w:rsidRPr="00C8251D" w:rsidTr="00671CBE">
        <w:trPr>
          <w:tblHeader/>
        </w:trPr>
        <w:tc>
          <w:tcPr>
            <w:tcW w:w="3369" w:type="dxa"/>
            <w:vMerge w:val="restart"/>
            <w:shd w:val="clear" w:color="auto" w:fill="1F497D" w:themeFill="text2"/>
            <w:vAlign w:val="center"/>
          </w:tcPr>
          <w:p w:rsidR="00671CBE" w:rsidRDefault="00671CBE" w:rsidP="006F3822">
            <w:pPr>
              <w:pStyle w:val="BodyText"/>
              <w:jc w:val="left"/>
              <w:rPr>
                <w:b/>
                <w:color w:val="FFFFFF" w:themeColor="background1"/>
                <w:sz w:val="20"/>
              </w:rPr>
            </w:pPr>
            <w:r>
              <w:rPr>
                <w:b/>
                <w:color w:val="FFFFFF" w:themeColor="background1"/>
                <w:sz w:val="20"/>
              </w:rPr>
              <w:t>Option</w:t>
            </w:r>
          </w:p>
        </w:tc>
        <w:tc>
          <w:tcPr>
            <w:tcW w:w="5352" w:type="dxa"/>
            <w:gridSpan w:val="2"/>
            <w:shd w:val="clear" w:color="auto" w:fill="1F497D" w:themeFill="text2"/>
            <w:vAlign w:val="center"/>
          </w:tcPr>
          <w:p w:rsidR="00586D48" w:rsidRDefault="00671CBE">
            <w:pPr>
              <w:pStyle w:val="BodyText"/>
              <w:jc w:val="center"/>
              <w:rPr>
                <w:b/>
                <w:color w:val="FFFFFF" w:themeColor="background1"/>
                <w:sz w:val="20"/>
              </w:rPr>
            </w:pPr>
            <w:r>
              <w:rPr>
                <w:b/>
                <w:color w:val="FFFFFF" w:themeColor="background1"/>
                <w:sz w:val="20"/>
              </w:rPr>
              <w:t>PV @ 7% $ million</w:t>
            </w:r>
            <w:r w:rsidR="00015426">
              <w:rPr>
                <w:b/>
                <w:color w:val="FFFFFF" w:themeColor="background1"/>
                <w:sz w:val="20"/>
              </w:rPr>
              <w:t xml:space="preserve"> (2014 to 2024)</w:t>
            </w:r>
          </w:p>
        </w:tc>
      </w:tr>
      <w:tr w:rsidR="00671CBE" w:rsidRPr="00C8251D" w:rsidTr="00671CBE">
        <w:trPr>
          <w:tblHeader/>
        </w:trPr>
        <w:tc>
          <w:tcPr>
            <w:tcW w:w="3369" w:type="dxa"/>
            <w:vMerge/>
            <w:shd w:val="clear" w:color="auto" w:fill="1F497D" w:themeFill="text2"/>
            <w:vAlign w:val="center"/>
          </w:tcPr>
          <w:p w:rsidR="00671CBE" w:rsidRPr="008610E0" w:rsidRDefault="00671CBE" w:rsidP="006F3822">
            <w:pPr>
              <w:pStyle w:val="BodyText"/>
              <w:jc w:val="left"/>
              <w:rPr>
                <w:b/>
                <w:color w:val="FFFFFF" w:themeColor="background1"/>
                <w:sz w:val="20"/>
              </w:rPr>
            </w:pPr>
          </w:p>
        </w:tc>
        <w:tc>
          <w:tcPr>
            <w:tcW w:w="2676" w:type="dxa"/>
            <w:shd w:val="clear" w:color="auto" w:fill="1F497D" w:themeFill="text2"/>
            <w:vAlign w:val="center"/>
          </w:tcPr>
          <w:p w:rsidR="00671CBE" w:rsidRPr="008610E0" w:rsidRDefault="00671CBE" w:rsidP="006F3822">
            <w:pPr>
              <w:pStyle w:val="BodyText"/>
              <w:jc w:val="right"/>
              <w:rPr>
                <w:b/>
                <w:color w:val="FFFFFF" w:themeColor="background1"/>
                <w:sz w:val="20"/>
              </w:rPr>
            </w:pPr>
            <w:r>
              <w:rPr>
                <w:b/>
                <w:color w:val="FFFFFF" w:themeColor="background1"/>
                <w:sz w:val="20"/>
              </w:rPr>
              <w:t>Avoided Waste Management Costs</w:t>
            </w:r>
          </w:p>
        </w:tc>
        <w:tc>
          <w:tcPr>
            <w:tcW w:w="2676" w:type="dxa"/>
            <w:shd w:val="clear" w:color="auto" w:fill="1F497D" w:themeFill="text2"/>
          </w:tcPr>
          <w:p w:rsidR="00671CBE" w:rsidRDefault="00671CBE" w:rsidP="006F3822">
            <w:pPr>
              <w:pStyle w:val="BodyText"/>
              <w:jc w:val="right"/>
              <w:rPr>
                <w:b/>
                <w:color w:val="FFFFFF" w:themeColor="background1"/>
                <w:sz w:val="20"/>
              </w:rPr>
            </w:pPr>
            <w:r>
              <w:rPr>
                <w:b/>
                <w:color w:val="FFFFFF" w:themeColor="background1"/>
                <w:sz w:val="20"/>
              </w:rPr>
              <w:t>Avoided Environmental Externalities</w:t>
            </w:r>
          </w:p>
        </w:tc>
      </w:tr>
      <w:tr w:rsidR="00671098" w:rsidRPr="00C8251D" w:rsidTr="00671CBE">
        <w:tc>
          <w:tcPr>
            <w:tcW w:w="3369" w:type="dxa"/>
            <w:shd w:val="clear" w:color="auto" w:fill="C6D9F1" w:themeFill="text2" w:themeFillTint="33"/>
          </w:tcPr>
          <w:p w:rsidR="00671098" w:rsidRPr="00C8251D" w:rsidRDefault="00671098" w:rsidP="006F3822">
            <w:pPr>
              <w:pStyle w:val="BodyText"/>
              <w:rPr>
                <w:sz w:val="20"/>
              </w:rPr>
            </w:pPr>
            <w:r w:rsidRPr="00C8251D">
              <w:rPr>
                <w:sz w:val="20"/>
              </w:rPr>
              <w:t>Option 1 – Voluntary Scheme</w:t>
            </w:r>
          </w:p>
        </w:tc>
        <w:tc>
          <w:tcPr>
            <w:tcW w:w="2676" w:type="dxa"/>
            <w:vAlign w:val="center"/>
          </w:tcPr>
          <w:p w:rsidR="00671098" w:rsidRDefault="00671098" w:rsidP="00671098">
            <w:pPr>
              <w:jc w:val="right"/>
              <w:rPr>
                <w:color w:val="000000"/>
                <w:sz w:val="20"/>
              </w:rPr>
            </w:pPr>
            <w:r>
              <w:rPr>
                <w:color w:val="000000"/>
                <w:sz w:val="20"/>
              </w:rPr>
              <w:t>$1.8</w:t>
            </w:r>
          </w:p>
        </w:tc>
        <w:tc>
          <w:tcPr>
            <w:tcW w:w="2676" w:type="dxa"/>
            <w:vAlign w:val="center"/>
          </w:tcPr>
          <w:p w:rsidR="00671098" w:rsidRDefault="00671098" w:rsidP="00671098">
            <w:pPr>
              <w:jc w:val="right"/>
              <w:rPr>
                <w:color w:val="000000"/>
                <w:sz w:val="20"/>
              </w:rPr>
            </w:pPr>
            <w:r>
              <w:rPr>
                <w:color w:val="000000"/>
                <w:sz w:val="20"/>
              </w:rPr>
              <w:t>$0.4</w:t>
            </w:r>
          </w:p>
        </w:tc>
      </w:tr>
      <w:tr w:rsidR="00671098" w:rsidRPr="00C8251D" w:rsidTr="00671CBE">
        <w:tc>
          <w:tcPr>
            <w:tcW w:w="3369" w:type="dxa"/>
            <w:shd w:val="clear" w:color="auto" w:fill="C6D9F1" w:themeFill="text2" w:themeFillTint="33"/>
          </w:tcPr>
          <w:p w:rsidR="00671098" w:rsidRPr="00C8251D" w:rsidRDefault="00671098" w:rsidP="006F3822">
            <w:pPr>
              <w:pStyle w:val="BodyText"/>
              <w:rPr>
                <w:sz w:val="20"/>
              </w:rPr>
            </w:pPr>
            <w:r w:rsidRPr="00C8251D">
              <w:rPr>
                <w:sz w:val="20"/>
              </w:rPr>
              <w:t>Option 2 – Co-Regulatory Approach</w:t>
            </w:r>
          </w:p>
        </w:tc>
        <w:tc>
          <w:tcPr>
            <w:tcW w:w="2676" w:type="dxa"/>
            <w:vAlign w:val="center"/>
          </w:tcPr>
          <w:p w:rsidR="00671098" w:rsidRDefault="00671098" w:rsidP="00671098">
            <w:pPr>
              <w:jc w:val="right"/>
              <w:rPr>
                <w:color w:val="000000"/>
                <w:sz w:val="20"/>
              </w:rPr>
            </w:pPr>
            <w:r>
              <w:rPr>
                <w:color w:val="000000"/>
                <w:sz w:val="20"/>
              </w:rPr>
              <w:t>$3.5</w:t>
            </w:r>
          </w:p>
        </w:tc>
        <w:tc>
          <w:tcPr>
            <w:tcW w:w="2676" w:type="dxa"/>
            <w:vAlign w:val="center"/>
          </w:tcPr>
          <w:p w:rsidR="00671098" w:rsidRDefault="00671098" w:rsidP="00671098">
            <w:pPr>
              <w:jc w:val="right"/>
              <w:rPr>
                <w:color w:val="000000"/>
                <w:sz w:val="20"/>
              </w:rPr>
            </w:pPr>
            <w:r>
              <w:rPr>
                <w:color w:val="000000"/>
                <w:sz w:val="20"/>
              </w:rPr>
              <w:t>$0.7</w:t>
            </w:r>
          </w:p>
        </w:tc>
      </w:tr>
      <w:tr w:rsidR="00671098" w:rsidRPr="00C8251D" w:rsidTr="00671CBE">
        <w:tc>
          <w:tcPr>
            <w:tcW w:w="3369" w:type="dxa"/>
            <w:shd w:val="clear" w:color="auto" w:fill="C6D9F1" w:themeFill="text2" w:themeFillTint="33"/>
          </w:tcPr>
          <w:p w:rsidR="00671098" w:rsidRPr="00C8251D" w:rsidRDefault="00671098" w:rsidP="006F3822">
            <w:pPr>
              <w:pStyle w:val="BodyText"/>
              <w:rPr>
                <w:sz w:val="20"/>
              </w:rPr>
            </w:pPr>
            <w:r w:rsidRPr="00C8251D">
              <w:rPr>
                <w:sz w:val="20"/>
              </w:rPr>
              <w:t>Option 3 – Mandatory Scheme</w:t>
            </w:r>
          </w:p>
        </w:tc>
        <w:tc>
          <w:tcPr>
            <w:tcW w:w="2676" w:type="dxa"/>
            <w:vAlign w:val="center"/>
          </w:tcPr>
          <w:p w:rsidR="00671098" w:rsidRDefault="00671098" w:rsidP="00671098">
            <w:pPr>
              <w:jc w:val="right"/>
              <w:rPr>
                <w:color w:val="000000"/>
                <w:sz w:val="20"/>
              </w:rPr>
            </w:pPr>
            <w:r>
              <w:rPr>
                <w:color w:val="000000"/>
                <w:sz w:val="20"/>
              </w:rPr>
              <w:t>$14.8</w:t>
            </w:r>
          </w:p>
        </w:tc>
        <w:tc>
          <w:tcPr>
            <w:tcW w:w="2676" w:type="dxa"/>
            <w:vAlign w:val="center"/>
          </w:tcPr>
          <w:p w:rsidR="00671098" w:rsidRDefault="00671098" w:rsidP="00671098">
            <w:pPr>
              <w:jc w:val="right"/>
              <w:rPr>
                <w:color w:val="000000"/>
                <w:sz w:val="20"/>
              </w:rPr>
            </w:pPr>
            <w:r>
              <w:rPr>
                <w:color w:val="000000"/>
                <w:sz w:val="20"/>
              </w:rPr>
              <w:t>$3.0</w:t>
            </w:r>
          </w:p>
        </w:tc>
      </w:tr>
    </w:tbl>
    <w:p w:rsidR="006F155E" w:rsidRDefault="006F155E" w:rsidP="006F155E">
      <w:pPr>
        <w:pStyle w:val="Source"/>
      </w:pPr>
      <w:r>
        <w:t xml:space="preserve">Source: </w:t>
      </w:r>
      <w:r>
        <w:tab/>
        <w:t>KPMG analysis</w:t>
      </w:r>
    </w:p>
    <w:p w:rsidR="007A7415" w:rsidRDefault="007A7415" w:rsidP="007A7415">
      <w:pPr>
        <w:pStyle w:val="Heading3"/>
      </w:pPr>
      <w:bookmarkStart w:id="50" w:name="_Toc392772628"/>
      <w:bookmarkStart w:id="51" w:name="_Toc392773776"/>
      <w:bookmarkEnd w:id="50"/>
      <w:bookmarkEnd w:id="51"/>
      <w:r>
        <w:t>Increase in resource reuse</w:t>
      </w:r>
    </w:p>
    <w:p w:rsidR="007A7415" w:rsidRDefault="00746EAA" w:rsidP="004A1526">
      <w:pPr>
        <w:pStyle w:val="BodyText"/>
      </w:pPr>
      <w:r>
        <w:t xml:space="preserve">The expected level of metals recovery from RAC equipment at </w:t>
      </w:r>
      <w:r w:rsidR="00F052A8">
        <w:t>end-of-life</w:t>
      </w:r>
      <w:r w:rsidR="00F052A8" w:rsidRPr="00122F56">
        <w:t xml:space="preserve"> </w:t>
      </w:r>
      <w:r>
        <w:t xml:space="preserve">is outlined in </w:t>
      </w:r>
      <w:r w:rsidR="00586F30">
        <w:fldChar w:fldCharType="begin"/>
      </w:r>
      <w:r w:rsidR="00B10A48">
        <w:instrText xml:space="preserve"> REF _Ref391319071 \h </w:instrText>
      </w:r>
      <w:r w:rsidR="00586F30">
        <w:fldChar w:fldCharType="separate"/>
      </w:r>
      <w:r w:rsidR="001E5D7A">
        <w:t xml:space="preserve">Table </w:t>
      </w:r>
      <w:r w:rsidR="001E5D7A">
        <w:rPr>
          <w:noProof/>
        </w:rPr>
        <w:t>4</w:t>
      </w:r>
      <w:r w:rsidR="001E5D7A">
        <w:noBreakHyphen/>
      </w:r>
      <w:r w:rsidR="001E5D7A">
        <w:rPr>
          <w:noProof/>
        </w:rPr>
        <w:t>9</w:t>
      </w:r>
      <w:r w:rsidR="00586F30">
        <w:fldChar w:fldCharType="end"/>
      </w:r>
      <w:r w:rsidR="00F268D2">
        <w:t xml:space="preserve"> and outlined in further detail in Appendix B</w:t>
      </w:r>
      <w:r w:rsidR="00B10A48">
        <w:t xml:space="preserve">. The </w:t>
      </w:r>
      <w:r w:rsidR="00E44F5C">
        <w:t xml:space="preserve">rate of metal recovery remains consistent with the status quo under each option except the mandatory scheme. Under the mandatory scheme, the level of metal recovery is expected to be higher as a result of the increase in retailer take back schemes. </w:t>
      </w:r>
    </w:p>
    <w:p w:rsidR="00B10A48" w:rsidRDefault="00B10A48" w:rsidP="00B10A48">
      <w:pPr>
        <w:pStyle w:val="Caption"/>
      </w:pPr>
      <w:bookmarkStart w:id="52" w:name="_Ref391319071"/>
      <w:r>
        <w:t xml:space="preserve">Table </w:t>
      </w:r>
      <w:r w:rsidR="00586F30">
        <w:fldChar w:fldCharType="begin"/>
      </w:r>
      <w:r w:rsidR="00C478AE">
        <w:instrText xml:space="preserve"> STYLEREF 1 \s </w:instrText>
      </w:r>
      <w:r w:rsidR="00586F30">
        <w:fldChar w:fldCharType="separate"/>
      </w:r>
      <w:r w:rsidR="001E5D7A">
        <w:rPr>
          <w:noProof/>
        </w:rPr>
        <w:t>4</w:t>
      </w:r>
      <w:r w:rsidR="00586F30">
        <w:rPr>
          <w:noProof/>
        </w:rPr>
        <w:fldChar w:fldCharType="end"/>
      </w:r>
      <w:r w:rsidR="00CE3BAC">
        <w:noBreakHyphen/>
      </w:r>
      <w:r w:rsidR="00586F30">
        <w:fldChar w:fldCharType="begin"/>
      </w:r>
      <w:r w:rsidR="00C478AE">
        <w:instrText xml:space="preserve"> SEQ Table \* ARABIC \s 1 </w:instrText>
      </w:r>
      <w:r w:rsidR="00586F30">
        <w:fldChar w:fldCharType="separate"/>
      </w:r>
      <w:r w:rsidR="001E5D7A">
        <w:rPr>
          <w:noProof/>
        </w:rPr>
        <w:t>9</w:t>
      </w:r>
      <w:r w:rsidR="00586F30">
        <w:rPr>
          <w:noProof/>
        </w:rPr>
        <w:fldChar w:fldCharType="end"/>
      </w:r>
      <w:bookmarkEnd w:id="52"/>
      <w:r>
        <w:t>: Metal resource recovery rates</w:t>
      </w:r>
    </w:p>
    <w:tbl>
      <w:tblPr>
        <w:tblStyle w:val="TableGrid"/>
        <w:tblW w:w="0" w:type="auto"/>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tblPr>
      <w:tblGrid>
        <w:gridCol w:w="3369"/>
        <w:gridCol w:w="2676"/>
        <w:gridCol w:w="2676"/>
      </w:tblGrid>
      <w:tr w:rsidR="00193016" w:rsidRPr="00C8251D" w:rsidTr="00193016">
        <w:tc>
          <w:tcPr>
            <w:tcW w:w="3369" w:type="dxa"/>
            <w:vMerge w:val="restart"/>
            <w:shd w:val="clear" w:color="auto" w:fill="1F497D" w:themeFill="text2"/>
            <w:vAlign w:val="center"/>
          </w:tcPr>
          <w:p w:rsidR="00193016" w:rsidRPr="008610E0" w:rsidRDefault="00193016" w:rsidP="006F3822">
            <w:pPr>
              <w:pStyle w:val="BodyText"/>
              <w:jc w:val="left"/>
              <w:rPr>
                <w:b/>
                <w:color w:val="FFFFFF" w:themeColor="background1"/>
                <w:sz w:val="20"/>
              </w:rPr>
            </w:pPr>
            <w:r>
              <w:rPr>
                <w:b/>
                <w:color w:val="FFFFFF" w:themeColor="background1"/>
                <w:sz w:val="20"/>
              </w:rPr>
              <w:t>Option</w:t>
            </w:r>
          </w:p>
        </w:tc>
        <w:tc>
          <w:tcPr>
            <w:tcW w:w="5352" w:type="dxa"/>
            <w:gridSpan w:val="2"/>
            <w:shd w:val="clear" w:color="auto" w:fill="1F497D" w:themeFill="text2"/>
            <w:vAlign w:val="center"/>
          </w:tcPr>
          <w:p w:rsidR="00193016" w:rsidRDefault="00193016" w:rsidP="006F3822">
            <w:pPr>
              <w:pStyle w:val="BodyText"/>
              <w:jc w:val="right"/>
              <w:rPr>
                <w:b/>
                <w:color w:val="FFFFFF" w:themeColor="background1"/>
                <w:sz w:val="20"/>
              </w:rPr>
            </w:pPr>
            <w:r>
              <w:rPr>
                <w:b/>
                <w:color w:val="FFFFFF" w:themeColor="background1"/>
                <w:sz w:val="20"/>
              </w:rPr>
              <w:t>Metal Resource Recovery Rate</w:t>
            </w:r>
          </w:p>
        </w:tc>
      </w:tr>
      <w:tr w:rsidR="00193016" w:rsidRPr="00C8251D" w:rsidTr="00193016">
        <w:tc>
          <w:tcPr>
            <w:tcW w:w="3369" w:type="dxa"/>
            <w:vMerge/>
            <w:shd w:val="clear" w:color="auto" w:fill="1F497D" w:themeFill="text2"/>
            <w:vAlign w:val="center"/>
          </w:tcPr>
          <w:p w:rsidR="00193016" w:rsidRDefault="00193016" w:rsidP="006F3822">
            <w:pPr>
              <w:pStyle w:val="BodyText"/>
              <w:jc w:val="left"/>
              <w:rPr>
                <w:b/>
                <w:color w:val="FFFFFF" w:themeColor="background1"/>
                <w:sz w:val="20"/>
              </w:rPr>
            </w:pPr>
          </w:p>
        </w:tc>
        <w:tc>
          <w:tcPr>
            <w:tcW w:w="2676" w:type="dxa"/>
            <w:shd w:val="clear" w:color="auto" w:fill="1F497D" w:themeFill="text2"/>
            <w:vAlign w:val="center"/>
          </w:tcPr>
          <w:p w:rsidR="00193016" w:rsidRDefault="00193016" w:rsidP="006F3822">
            <w:pPr>
              <w:pStyle w:val="BodyText"/>
              <w:jc w:val="right"/>
              <w:rPr>
                <w:b/>
                <w:color w:val="FFFFFF" w:themeColor="background1"/>
                <w:sz w:val="20"/>
              </w:rPr>
            </w:pPr>
            <w:r>
              <w:rPr>
                <w:b/>
                <w:color w:val="FFFFFF" w:themeColor="background1"/>
                <w:sz w:val="20"/>
              </w:rPr>
              <w:t>Refrigerators</w:t>
            </w:r>
          </w:p>
        </w:tc>
        <w:tc>
          <w:tcPr>
            <w:tcW w:w="2676" w:type="dxa"/>
            <w:shd w:val="clear" w:color="auto" w:fill="1F497D" w:themeFill="text2"/>
          </w:tcPr>
          <w:p w:rsidR="00193016" w:rsidRDefault="00193016" w:rsidP="006F3822">
            <w:pPr>
              <w:pStyle w:val="BodyText"/>
              <w:jc w:val="right"/>
              <w:rPr>
                <w:b/>
                <w:color w:val="FFFFFF" w:themeColor="background1"/>
                <w:sz w:val="20"/>
              </w:rPr>
            </w:pPr>
            <w:r>
              <w:rPr>
                <w:b/>
                <w:color w:val="FFFFFF" w:themeColor="background1"/>
                <w:sz w:val="20"/>
              </w:rPr>
              <w:t>Air Conditioners</w:t>
            </w:r>
          </w:p>
        </w:tc>
      </w:tr>
      <w:tr w:rsidR="00193016" w:rsidRPr="00C8251D" w:rsidTr="00193016">
        <w:tc>
          <w:tcPr>
            <w:tcW w:w="3369" w:type="dxa"/>
            <w:shd w:val="clear" w:color="auto" w:fill="C6D9F1" w:themeFill="text2" w:themeFillTint="33"/>
          </w:tcPr>
          <w:p w:rsidR="00193016" w:rsidRPr="00C8251D" w:rsidRDefault="00193016" w:rsidP="006F3822">
            <w:pPr>
              <w:pStyle w:val="BodyText"/>
              <w:rPr>
                <w:sz w:val="20"/>
              </w:rPr>
            </w:pPr>
            <w:r>
              <w:rPr>
                <w:sz w:val="20"/>
              </w:rPr>
              <w:t>Base Case (Status Quo)</w:t>
            </w:r>
          </w:p>
        </w:tc>
        <w:tc>
          <w:tcPr>
            <w:tcW w:w="2676" w:type="dxa"/>
            <w:vAlign w:val="center"/>
          </w:tcPr>
          <w:p w:rsidR="00193016" w:rsidRPr="00C8251D" w:rsidRDefault="00193016" w:rsidP="006F3822">
            <w:pPr>
              <w:pStyle w:val="BodyText"/>
              <w:jc w:val="right"/>
              <w:rPr>
                <w:sz w:val="20"/>
              </w:rPr>
            </w:pPr>
            <w:r>
              <w:rPr>
                <w:sz w:val="20"/>
              </w:rPr>
              <w:t>90 per cent</w:t>
            </w:r>
          </w:p>
        </w:tc>
        <w:tc>
          <w:tcPr>
            <w:tcW w:w="2676" w:type="dxa"/>
            <w:vAlign w:val="center"/>
          </w:tcPr>
          <w:p w:rsidR="00193016" w:rsidRPr="00C8251D" w:rsidRDefault="00193016" w:rsidP="00993FC3">
            <w:pPr>
              <w:pStyle w:val="BodyText"/>
              <w:jc w:val="right"/>
              <w:rPr>
                <w:sz w:val="20"/>
              </w:rPr>
            </w:pPr>
            <w:r>
              <w:rPr>
                <w:sz w:val="20"/>
              </w:rPr>
              <w:t>90 per cent</w:t>
            </w:r>
          </w:p>
        </w:tc>
      </w:tr>
      <w:tr w:rsidR="00193016" w:rsidRPr="00C8251D" w:rsidTr="00193016">
        <w:tc>
          <w:tcPr>
            <w:tcW w:w="3369" w:type="dxa"/>
            <w:shd w:val="clear" w:color="auto" w:fill="C6D9F1" w:themeFill="text2" w:themeFillTint="33"/>
          </w:tcPr>
          <w:p w:rsidR="00193016" w:rsidRPr="00C8251D" w:rsidRDefault="00193016" w:rsidP="006F3822">
            <w:pPr>
              <w:pStyle w:val="BodyText"/>
              <w:rPr>
                <w:sz w:val="20"/>
              </w:rPr>
            </w:pPr>
            <w:r w:rsidRPr="00C8251D">
              <w:rPr>
                <w:sz w:val="20"/>
              </w:rPr>
              <w:t>Option 1 – Voluntary Scheme</w:t>
            </w:r>
          </w:p>
        </w:tc>
        <w:tc>
          <w:tcPr>
            <w:tcW w:w="2676" w:type="dxa"/>
            <w:vAlign w:val="center"/>
          </w:tcPr>
          <w:p w:rsidR="00193016" w:rsidRPr="008610E0" w:rsidRDefault="00193016" w:rsidP="006F3822">
            <w:pPr>
              <w:pStyle w:val="BodyText"/>
              <w:jc w:val="right"/>
              <w:rPr>
                <w:sz w:val="20"/>
              </w:rPr>
            </w:pPr>
            <w:r>
              <w:rPr>
                <w:sz w:val="20"/>
              </w:rPr>
              <w:t>90 per cent</w:t>
            </w:r>
          </w:p>
        </w:tc>
        <w:tc>
          <w:tcPr>
            <w:tcW w:w="2676" w:type="dxa"/>
            <w:vAlign w:val="center"/>
          </w:tcPr>
          <w:p w:rsidR="00193016" w:rsidRPr="008610E0" w:rsidRDefault="00193016" w:rsidP="00993FC3">
            <w:pPr>
              <w:pStyle w:val="BodyText"/>
              <w:jc w:val="right"/>
              <w:rPr>
                <w:sz w:val="20"/>
              </w:rPr>
            </w:pPr>
            <w:r>
              <w:rPr>
                <w:sz w:val="20"/>
              </w:rPr>
              <w:t>90 per cent</w:t>
            </w:r>
          </w:p>
        </w:tc>
      </w:tr>
      <w:tr w:rsidR="00193016" w:rsidRPr="00C8251D" w:rsidTr="00193016">
        <w:tc>
          <w:tcPr>
            <w:tcW w:w="3369" w:type="dxa"/>
            <w:shd w:val="clear" w:color="auto" w:fill="C6D9F1" w:themeFill="text2" w:themeFillTint="33"/>
          </w:tcPr>
          <w:p w:rsidR="00193016" w:rsidRPr="00C8251D" w:rsidRDefault="00193016" w:rsidP="006F3822">
            <w:pPr>
              <w:pStyle w:val="BodyText"/>
              <w:rPr>
                <w:sz w:val="20"/>
              </w:rPr>
            </w:pPr>
            <w:r w:rsidRPr="00C8251D">
              <w:rPr>
                <w:sz w:val="20"/>
              </w:rPr>
              <w:t>Option 2 – Co-Regulatory Approach</w:t>
            </w:r>
          </w:p>
        </w:tc>
        <w:tc>
          <w:tcPr>
            <w:tcW w:w="2676" w:type="dxa"/>
            <w:vAlign w:val="center"/>
          </w:tcPr>
          <w:p w:rsidR="00193016" w:rsidRPr="00C8251D" w:rsidRDefault="00193016" w:rsidP="006F3822">
            <w:pPr>
              <w:pStyle w:val="BodyText"/>
              <w:jc w:val="right"/>
              <w:rPr>
                <w:sz w:val="20"/>
              </w:rPr>
            </w:pPr>
            <w:r>
              <w:rPr>
                <w:sz w:val="20"/>
              </w:rPr>
              <w:t>90 per cent</w:t>
            </w:r>
          </w:p>
        </w:tc>
        <w:tc>
          <w:tcPr>
            <w:tcW w:w="2676" w:type="dxa"/>
            <w:vAlign w:val="center"/>
          </w:tcPr>
          <w:p w:rsidR="00193016" w:rsidRPr="00C8251D" w:rsidRDefault="00193016" w:rsidP="00993FC3">
            <w:pPr>
              <w:pStyle w:val="BodyText"/>
              <w:jc w:val="right"/>
              <w:rPr>
                <w:sz w:val="20"/>
              </w:rPr>
            </w:pPr>
            <w:r>
              <w:rPr>
                <w:sz w:val="20"/>
              </w:rPr>
              <w:t>90 per cent</w:t>
            </w:r>
          </w:p>
        </w:tc>
      </w:tr>
      <w:tr w:rsidR="00193016" w:rsidRPr="00C8251D" w:rsidTr="00193016">
        <w:tc>
          <w:tcPr>
            <w:tcW w:w="3369" w:type="dxa"/>
            <w:shd w:val="clear" w:color="auto" w:fill="C6D9F1" w:themeFill="text2" w:themeFillTint="33"/>
          </w:tcPr>
          <w:p w:rsidR="00193016" w:rsidRPr="00C8251D" w:rsidRDefault="00193016" w:rsidP="006F3822">
            <w:pPr>
              <w:pStyle w:val="BodyText"/>
              <w:rPr>
                <w:sz w:val="20"/>
              </w:rPr>
            </w:pPr>
            <w:r w:rsidRPr="00C8251D">
              <w:rPr>
                <w:sz w:val="20"/>
              </w:rPr>
              <w:t>Option 3 – Mandatory Scheme</w:t>
            </w:r>
          </w:p>
        </w:tc>
        <w:tc>
          <w:tcPr>
            <w:tcW w:w="2676" w:type="dxa"/>
            <w:vAlign w:val="center"/>
          </w:tcPr>
          <w:p w:rsidR="00193016" w:rsidRPr="00C8251D" w:rsidRDefault="00193016" w:rsidP="006F3822">
            <w:pPr>
              <w:pStyle w:val="BodyText"/>
              <w:jc w:val="right"/>
              <w:rPr>
                <w:sz w:val="20"/>
              </w:rPr>
            </w:pPr>
            <w:r>
              <w:rPr>
                <w:sz w:val="20"/>
              </w:rPr>
              <w:t>95 per cent</w:t>
            </w:r>
          </w:p>
        </w:tc>
        <w:tc>
          <w:tcPr>
            <w:tcW w:w="2676" w:type="dxa"/>
            <w:vAlign w:val="center"/>
          </w:tcPr>
          <w:p w:rsidR="00193016" w:rsidRPr="00C8251D" w:rsidRDefault="00193016" w:rsidP="00993FC3">
            <w:pPr>
              <w:pStyle w:val="BodyText"/>
              <w:jc w:val="right"/>
              <w:rPr>
                <w:sz w:val="20"/>
              </w:rPr>
            </w:pPr>
            <w:r>
              <w:rPr>
                <w:sz w:val="20"/>
              </w:rPr>
              <w:t>95 per cent</w:t>
            </w:r>
          </w:p>
        </w:tc>
      </w:tr>
    </w:tbl>
    <w:p w:rsidR="00B10A48" w:rsidRPr="00452343" w:rsidRDefault="00B10A48" w:rsidP="00B10A48">
      <w:pPr>
        <w:pStyle w:val="Source"/>
      </w:pPr>
      <w:r>
        <w:t xml:space="preserve">Source: </w:t>
      </w:r>
      <w:r>
        <w:tab/>
        <w:t>Department of the Environment</w:t>
      </w:r>
      <w:r w:rsidR="005533BA">
        <w:t xml:space="preserve"> and industry consultation</w:t>
      </w:r>
    </w:p>
    <w:p w:rsidR="00193016" w:rsidRDefault="00031E57" w:rsidP="004A1526">
      <w:pPr>
        <w:pStyle w:val="BodyText"/>
      </w:pPr>
      <w:r>
        <w:t>Based on industry consultation, t</w:t>
      </w:r>
      <w:r w:rsidR="00BE4A7E">
        <w:t>he average value of metal resources recovered is assumed to be</w:t>
      </w:r>
      <w:r w:rsidR="00193016">
        <w:t>:</w:t>
      </w:r>
      <w:r w:rsidR="00BE4A7E">
        <w:t xml:space="preserve"> </w:t>
      </w:r>
    </w:p>
    <w:p w:rsidR="00193016" w:rsidRDefault="00193016" w:rsidP="00193016">
      <w:pPr>
        <w:pStyle w:val="BulletText"/>
      </w:pPr>
      <w:r>
        <w:t>$5,000 per tonne for copper;</w:t>
      </w:r>
    </w:p>
    <w:p w:rsidR="00193016" w:rsidRDefault="00193016" w:rsidP="008227F4">
      <w:pPr>
        <w:pStyle w:val="BulletText"/>
      </w:pPr>
      <w:r>
        <w:t>$</w:t>
      </w:r>
      <w:r w:rsidR="00671CBE">
        <w:t>1</w:t>
      </w:r>
      <w:r>
        <w:t>,</w:t>
      </w:r>
      <w:r w:rsidR="00671CBE">
        <w:t xml:space="preserve">400 </w:t>
      </w:r>
      <w:r>
        <w:t>per tonne for aluminium; and</w:t>
      </w:r>
    </w:p>
    <w:p w:rsidR="00193016" w:rsidRDefault="00193016" w:rsidP="00193016">
      <w:pPr>
        <w:pStyle w:val="BulletText"/>
      </w:pPr>
      <w:r>
        <w:lastRenderedPageBreak/>
        <w:t>$</w:t>
      </w:r>
      <w:r w:rsidR="00671CBE">
        <w:t xml:space="preserve">140 </w:t>
      </w:r>
      <w:r>
        <w:t>per tonne for steel</w:t>
      </w:r>
      <w:r w:rsidR="005533BA">
        <w:rPr>
          <w:rStyle w:val="FootnoteReference"/>
        </w:rPr>
        <w:footnoteReference w:id="22"/>
      </w:r>
      <w:r>
        <w:t>.</w:t>
      </w:r>
    </w:p>
    <w:p w:rsidR="00C116D4" w:rsidRDefault="00C116D4" w:rsidP="004A1526">
      <w:pPr>
        <w:pStyle w:val="BodyText"/>
      </w:pPr>
      <w:r>
        <w:t xml:space="preserve">The material composition of </w:t>
      </w:r>
      <w:r w:rsidR="003E04E7">
        <w:t xml:space="preserve">RAC equipment is illustrated in </w:t>
      </w:r>
      <w:r w:rsidR="00586F30">
        <w:fldChar w:fldCharType="begin"/>
      </w:r>
      <w:r w:rsidR="00203A80">
        <w:instrText xml:space="preserve"> REF _Ref392754552 \h </w:instrText>
      </w:r>
      <w:r w:rsidR="00586F30">
        <w:fldChar w:fldCharType="separate"/>
      </w:r>
      <w:r w:rsidR="001E5D7A">
        <w:t xml:space="preserve">Chart </w:t>
      </w:r>
      <w:r w:rsidR="001E5D7A">
        <w:rPr>
          <w:noProof/>
        </w:rPr>
        <w:t>4</w:t>
      </w:r>
      <w:r w:rsidR="001E5D7A">
        <w:noBreakHyphen/>
      </w:r>
      <w:r w:rsidR="001E5D7A">
        <w:rPr>
          <w:noProof/>
        </w:rPr>
        <w:t>1</w:t>
      </w:r>
      <w:r w:rsidR="00586F30">
        <w:fldChar w:fldCharType="end"/>
      </w:r>
      <w:r w:rsidR="00203A80">
        <w:t>.</w:t>
      </w:r>
    </w:p>
    <w:p w:rsidR="0081406E" w:rsidRDefault="003E04E7">
      <w:pPr>
        <w:pStyle w:val="Caption"/>
      </w:pPr>
      <w:bookmarkStart w:id="53" w:name="_Ref392754552"/>
      <w:r>
        <w:t xml:space="preserve">Chart </w:t>
      </w:r>
      <w:r w:rsidR="00586F30">
        <w:fldChar w:fldCharType="begin"/>
      </w:r>
      <w:r w:rsidR="0011645F">
        <w:instrText xml:space="preserve"> STYLEREF 1 \s </w:instrText>
      </w:r>
      <w:r w:rsidR="00586F30">
        <w:fldChar w:fldCharType="separate"/>
      </w:r>
      <w:r w:rsidR="001E5D7A">
        <w:rPr>
          <w:noProof/>
        </w:rPr>
        <w:t>4</w:t>
      </w:r>
      <w:r w:rsidR="00586F30">
        <w:fldChar w:fldCharType="end"/>
      </w:r>
      <w:r w:rsidR="0011645F">
        <w:noBreakHyphen/>
      </w:r>
      <w:r w:rsidR="00586F30">
        <w:fldChar w:fldCharType="begin"/>
      </w:r>
      <w:r w:rsidR="0011645F">
        <w:instrText xml:space="preserve"> SEQ Chart \* ARABIC \s 1 </w:instrText>
      </w:r>
      <w:r w:rsidR="00586F30">
        <w:fldChar w:fldCharType="separate"/>
      </w:r>
      <w:r w:rsidR="001E5D7A">
        <w:rPr>
          <w:noProof/>
        </w:rPr>
        <w:t>1</w:t>
      </w:r>
      <w:r w:rsidR="00586F30">
        <w:fldChar w:fldCharType="end"/>
      </w:r>
      <w:bookmarkEnd w:id="53"/>
      <w:r>
        <w:t>: Material composition of RAC equipment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83"/>
        <w:gridCol w:w="4438"/>
      </w:tblGrid>
      <w:tr w:rsidR="003E04E7" w:rsidTr="003E04E7">
        <w:tc>
          <w:tcPr>
            <w:tcW w:w="4283" w:type="dxa"/>
          </w:tcPr>
          <w:p w:rsidR="003E04E7" w:rsidRDefault="0081406E" w:rsidP="004A1526">
            <w:pPr>
              <w:pStyle w:val="BodyText"/>
            </w:pPr>
            <w:r>
              <w:rPr>
                <w:noProof/>
                <w:lang w:eastAsia="en-AU"/>
              </w:rPr>
              <w:drawing>
                <wp:inline distT="0" distB="0" distL="0" distR="0">
                  <wp:extent cx="2590235" cy="2160000"/>
                  <wp:effectExtent l="0" t="0" r="0" b="0"/>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srcRect l="13295" r="10983"/>
                          <a:stretch>
                            <a:fillRect/>
                          </a:stretch>
                        </pic:blipFill>
                        <pic:spPr bwMode="auto">
                          <a:xfrm>
                            <a:off x="0" y="0"/>
                            <a:ext cx="2590235" cy="2160000"/>
                          </a:xfrm>
                          <a:prstGeom prst="rect">
                            <a:avLst/>
                          </a:prstGeom>
                          <a:noFill/>
                          <a:ln w="9525">
                            <a:noFill/>
                            <a:miter lim="800000"/>
                            <a:headEnd/>
                            <a:tailEnd/>
                          </a:ln>
                        </pic:spPr>
                      </pic:pic>
                    </a:graphicData>
                  </a:graphic>
                </wp:inline>
              </w:drawing>
            </w:r>
          </w:p>
        </w:tc>
        <w:tc>
          <w:tcPr>
            <w:tcW w:w="4438" w:type="dxa"/>
          </w:tcPr>
          <w:p w:rsidR="003E04E7" w:rsidRDefault="0081406E" w:rsidP="004A1526">
            <w:pPr>
              <w:pStyle w:val="BodyText"/>
            </w:pPr>
            <w:r>
              <w:rPr>
                <w:noProof/>
                <w:lang w:eastAsia="en-AU"/>
              </w:rPr>
              <w:drawing>
                <wp:inline distT="0" distB="0" distL="0" distR="0">
                  <wp:extent cx="2689282" cy="2160000"/>
                  <wp:effectExtent l="0" t="0" r="0" b="0"/>
                  <wp:docPr id="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srcRect l="9652" r="11197"/>
                          <a:stretch>
                            <a:fillRect/>
                          </a:stretch>
                        </pic:blipFill>
                        <pic:spPr bwMode="auto">
                          <a:xfrm>
                            <a:off x="0" y="0"/>
                            <a:ext cx="2689282" cy="2160000"/>
                          </a:xfrm>
                          <a:prstGeom prst="rect">
                            <a:avLst/>
                          </a:prstGeom>
                          <a:noFill/>
                          <a:ln w="9525">
                            <a:noFill/>
                            <a:miter lim="800000"/>
                            <a:headEnd/>
                            <a:tailEnd/>
                          </a:ln>
                        </pic:spPr>
                      </pic:pic>
                    </a:graphicData>
                  </a:graphic>
                </wp:inline>
              </w:drawing>
            </w:r>
          </w:p>
        </w:tc>
      </w:tr>
    </w:tbl>
    <w:p w:rsidR="003E04E7" w:rsidRDefault="003E04E7" w:rsidP="003E04E7">
      <w:pPr>
        <w:pStyle w:val="Source"/>
      </w:pPr>
      <w:r>
        <w:t xml:space="preserve">Source: </w:t>
      </w:r>
      <w:r>
        <w:tab/>
        <w:t xml:space="preserve">Department of the Environment, industry consultation and KPMG (2014). </w:t>
      </w:r>
    </w:p>
    <w:p w:rsidR="00B10A48" w:rsidRDefault="00BE4A7E" w:rsidP="004A1526">
      <w:pPr>
        <w:pStyle w:val="BodyText"/>
      </w:pPr>
      <w:r>
        <w:t xml:space="preserve">The net benefits associated with metal recovery </w:t>
      </w:r>
      <w:r w:rsidR="00203A80">
        <w:t xml:space="preserve">were estimated based on the composition of RAC equipment, the average value of recovered metal resources and the volume of disposals each year (outlined in Appendix A). The net benefit </w:t>
      </w:r>
      <w:r w:rsidR="00CD093A">
        <w:t xml:space="preserve">over the 10 years of the analysis </w:t>
      </w:r>
      <w:r w:rsidR="00203A80">
        <w:t xml:space="preserve">under each option </w:t>
      </w:r>
      <w:r>
        <w:t xml:space="preserve">is outlined in </w:t>
      </w:r>
      <w:r w:rsidR="00586F30">
        <w:fldChar w:fldCharType="begin"/>
      </w:r>
      <w:r w:rsidR="00993FC3">
        <w:instrText xml:space="preserve"> REF _Ref391387292 \h </w:instrText>
      </w:r>
      <w:r w:rsidR="00586F30">
        <w:fldChar w:fldCharType="separate"/>
      </w:r>
      <w:r w:rsidR="001E5D7A">
        <w:t xml:space="preserve">Table </w:t>
      </w:r>
      <w:r w:rsidR="001E5D7A">
        <w:rPr>
          <w:noProof/>
        </w:rPr>
        <w:t>4</w:t>
      </w:r>
      <w:r w:rsidR="001E5D7A">
        <w:noBreakHyphen/>
      </w:r>
      <w:r w:rsidR="001E5D7A">
        <w:rPr>
          <w:noProof/>
        </w:rPr>
        <w:t>10</w:t>
      </w:r>
      <w:r w:rsidR="00586F30">
        <w:fldChar w:fldCharType="end"/>
      </w:r>
      <w:r w:rsidR="00993FC3">
        <w:t>.</w:t>
      </w:r>
      <w:r w:rsidR="00CD093A">
        <w:t xml:space="preserve"> Annual benefits are outlined in Appendix D. </w:t>
      </w:r>
    </w:p>
    <w:p w:rsidR="00BE4A7E" w:rsidRPr="00F63033" w:rsidRDefault="00BE4A7E" w:rsidP="00BE4A7E">
      <w:pPr>
        <w:pStyle w:val="Caption"/>
        <w:rPr>
          <w:vertAlign w:val="superscript"/>
        </w:rPr>
      </w:pPr>
      <w:bookmarkStart w:id="54" w:name="_Ref392855533"/>
      <w:bookmarkStart w:id="55" w:name="_Ref391387292"/>
      <w:r>
        <w:t xml:space="preserve">Table </w:t>
      </w:r>
      <w:r w:rsidR="00586F30">
        <w:fldChar w:fldCharType="begin"/>
      </w:r>
      <w:r w:rsidR="00C478AE">
        <w:instrText xml:space="preserve"> STYLEREF 1 \s </w:instrText>
      </w:r>
      <w:r w:rsidR="00586F30">
        <w:fldChar w:fldCharType="separate"/>
      </w:r>
      <w:r w:rsidR="001E5D7A">
        <w:rPr>
          <w:noProof/>
        </w:rPr>
        <w:t>4</w:t>
      </w:r>
      <w:r w:rsidR="00586F30">
        <w:rPr>
          <w:noProof/>
        </w:rPr>
        <w:fldChar w:fldCharType="end"/>
      </w:r>
      <w:r w:rsidR="00CE3BAC">
        <w:noBreakHyphen/>
      </w:r>
      <w:r w:rsidR="00586F30">
        <w:fldChar w:fldCharType="begin"/>
      </w:r>
      <w:r w:rsidR="00C478AE">
        <w:instrText xml:space="preserve"> SEQ Table \* ARABIC \s 1 </w:instrText>
      </w:r>
      <w:r w:rsidR="00586F30">
        <w:fldChar w:fldCharType="separate"/>
      </w:r>
      <w:r w:rsidR="001E5D7A">
        <w:rPr>
          <w:noProof/>
        </w:rPr>
        <w:t>10</w:t>
      </w:r>
      <w:r w:rsidR="00586F30">
        <w:rPr>
          <w:noProof/>
        </w:rPr>
        <w:fldChar w:fldCharType="end"/>
      </w:r>
      <w:bookmarkEnd w:id="54"/>
      <w:bookmarkEnd w:id="55"/>
      <w:r>
        <w:t>: Metal resource recovery benefits (PV @ 7% $ million)</w:t>
      </w:r>
      <w:r w:rsidR="00F63033">
        <w:t xml:space="preserve"> </w:t>
      </w:r>
      <w:r w:rsidR="00F63033">
        <w:rPr>
          <w:vertAlign w:val="superscript"/>
        </w:rPr>
        <w:t>a</w:t>
      </w:r>
    </w:p>
    <w:tbl>
      <w:tblPr>
        <w:tblStyle w:val="TableGrid"/>
        <w:tblW w:w="0" w:type="auto"/>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tblPr>
      <w:tblGrid>
        <w:gridCol w:w="3369"/>
        <w:gridCol w:w="5244"/>
      </w:tblGrid>
      <w:tr w:rsidR="00671CBE" w:rsidRPr="00C8251D" w:rsidTr="00E633FD">
        <w:trPr>
          <w:tblHeader/>
        </w:trPr>
        <w:tc>
          <w:tcPr>
            <w:tcW w:w="3369" w:type="dxa"/>
            <w:vMerge w:val="restart"/>
            <w:shd w:val="clear" w:color="auto" w:fill="1F497D" w:themeFill="text2"/>
            <w:vAlign w:val="center"/>
          </w:tcPr>
          <w:p w:rsidR="00671CBE" w:rsidRDefault="00671CBE" w:rsidP="006F3822">
            <w:pPr>
              <w:pStyle w:val="BodyText"/>
              <w:jc w:val="left"/>
              <w:rPr>
                <w:b/>
                <w:color w:val="FFFFFF" w:themeColor="background1"/>
                <w:sz w:val="20"/>
              </w:rPr>
            </w:pPr>
            <w:r>
              <w:rPr>
                <w:b/>
                <w:color w:val="FFFFFF" w:themeColor="background1"/>
                <w:sz w:val="20"/>
              </w:rPr>
              <w:t>Option</w:t>
            </w:r>
          </w:p>
        </w:tc>
        <w:tc>
          <w:tcPr>
            <w:tcW w:w="5244" w:type="dxa"/>
            <w:shd w:val="clear" w:color="auto" w:fill="1F497D" w:themeFill="text2"/>
            <w:vAlign w:val="center"/>
          </w:tcPr>
          <w:p w:rsidR="00671CBE" w:rsidRPr="00671CBE" w:rsidRDefault="004C7F41" w:rsidP="006F3822">
            <w:pPr>
              <w:pStyle w:val="BodyText"/>
              <w:jc w:val="right"/>
              <w:rPr>
                <w:b/>
                <w:color w:val="FFFFFF" w:themeColor="background1"/>
                <w:sz w:val="20"/>
              </w:rPr>
            </w:pPr>
            <w:r w:rsidRPr="004C7F41">
              <w:rPr>
                <w:b/>
                <w:color w:val="FFFFFF" w:themeColor="background1"/>
              </w:rPr>
              <w:t>PV @ 7% $ million</w:t>
            </w:r>
            <w:r w:rsidR="00CD093A">
              <w:rPr>
                <w:b/>
                <w:color w:val="FFFFFF" w:themeColor="background1"/>
              </w:rPr>
              <w:t xml:space="preserve"> (2014 to 2024)</w:t>
            </w:r>
          </w:p>
        </w:tc>
      </w:tr>
      <w:tr w:rsidR="00671CBE" w:rsidRPr="00C8251D" w:rsidTr="00E633FD">
        <w:trPr>
          <w:tblHeader/>
        </w:trPr>
        <w:tc>
          <w:tcPr>
            <w:tcW w:w="3369" w:type="dxa"/>
            <w:vMerge/>
            <w:shd w:val="clear" w:color="auto" w:fill="1F497D" w:themeFill="text2"/>
            <w:vAlign w:val="center"/>
          </w:tcPr>
          <w:p w:rsidR="00671CBE" w:rsidRPr="008610E0" w:rsidRDefault="00671CBE" w:rsidP="006F3822">
            <w:pPr>
              <w:pStyle w:val="BodyText"/>
              <w:jc w:val="left"/>
              <w:rPr>
                <w:b/>
                <w:color w:val="FFFFFF" w:themeColor="background1"/>
                <w:sz w:val="20"/>
              </w:rPr>
            </w:pPr>
          </w:p>
        </w:tc>
        <w:tc>
          <w:tcPr>
            <w:tcW w:w="5244" w:type="dxa"/>
            <w:shd w:val="clear" w:color="auto" w:fill="1F497D" w:themeFill="text2"/>
            <w:vAlign w:val="center"/>
          </w:tcPr>
          <w:p w:rsidR="00671CBE" w:rsidRPr="000847C7" w:rsidRDefault="00671CBE" w:rsidP="006F3822">
            <w:pPr>
              <w:pStyle w:val="BodyText"/>
              <w:jc w:val="right"/>
              <w:rPr>
                <w:b/>
                <w:color w:val="FFFFFF" w:themeColor="background1"/>
                <w:sz w:val="20"/>
              </w:rPr>
            </w:pPr>
            <w:r w:rsidRPr="00E10441">
              <w:rPr>
                <w:b/>
                <w:color w:val="FFFFFF" w:themeColor="background1"/>
                <w:sz w:val="20"/>
              </w:rPr>
              <w:t>Metal Resource Recovery Benefits</w:t>
            </w:r>
          </w:p>
        </w:tc>
      </w:tr>
      <w:tr w:rsidR="00FA6173" w:rsidRPr="00C8251D" w:rsidTr="00F63033">
        <w:trPr>
          <w:trHeight w:val="283"/>
        </w:trPr>
        <w:tc>
          <w:tcPr>
            <w:tcW w:w="3369" w:type="dxa"/>
            <w:shd w:val="clear" w:color="auto" w:fill="C6D9F1" w:themeFill="text2" w:themeFillTint="33"/>
          </w:tcPr>
          <w:p w:rsidR="00FA6173" w:rsidRPr="00C8251D" w:rsidRDefault="00FA6173" w:rsidP="00F63033">
            <w:pPr>
              <w:pStyle w:val="BodyText"/>
              <w:spacing w:before="100" w:after="100"/>
              <w:rPr>
                <w:sz w:val="20"/>
              </w:rPr>
            </w:pPr>
            <w:r w:rsidRPr="00C8251D">
              <w:rPr>
                <w:sz w:val="20"/>
              </w:rPr>
              <w:t>Option 1 – Voluntary Scheme</w:t>
            </w:r>
          </w:p>
        </w:tc>
        <w:tc>
          <w:tcPr>
            <w:tcW w:w="5244" w:type="dxa"/>
            <w:vAlign w:val="bottom"/>
          </w:tcPr>
          <w:p w:rsidR="00FA6173" w:rsidRPr="008610E0" w:rsidRDefault="00FA6173" w:rsidP="00F63033">
            <w:pPr>
              <w:pStyle w:val="BodyText"/>
              <w:spacing w:before="100" w:after="100"/>
              <w:jc w:val="right"/>
              <w:rPr>
                <w:sz w:val="20"/>
              </w:rPr>
            </w:pPr>
            <w:r>
              <w:rPr>
                <w:color w:val="000000"/>
                <w:sz w:val="20"/>
              </w:rPr>
              <w:t>$0.0</w:t>
            </w:r>
          </w:p>
        </w:tc>
      </w:tr>
      <w:tr w:rsidR="00FA6173" w:rsidRPr="00C8251D" w:rsidTr="00F63033">
        <w:trPr>
          <w:trHeight w:val="283"/>
        </w:trPr>
        <w:tc>
          <w:tcPr>
            <w:tcW w:w="3369" w:type="dxa"/>
            <w:shd w:val="clear" w:color="auto" w:fill="C6D9F1" w:themeFill="text2" w:themeFillTint="33"/>
          </w:tcPr>
          <w:p w:rsidR="00FA6173" w:rsidRPr="00C8251D" w:rsidRDefault="00FA6173" w:rsidP="00F63033">
            <w:pPr>
              <w:pStyle w:val="BodyText"/>
              <w:spacing w:before="100" w:after="100"/>
              <w:rPr>
                <w:sz w:val="20"/>
              </w:rPr>
            </w:pPr>
            <w:r w:rsidRPr="00C8251D">
              <w:rPr>
                <w:sz w:val="20"/>
              </w:rPr>
              <w:t>Option 2 – Co-Regulatory Approach</w:t>
            </w:r>
          </w:p>
        </w:tc>
        <w:tc>
          <w:tcPr>
            <w:tcW w:w="5244" w:type="dxa"/>
            <w:vAlign w:val="bottom"/>
          </w:tcPr>
          <w:p w:rsidR="00FA6173" w:rsidRPr="00C8251D" w:rsidRDefault="00FA6173" w:rsidP="00F63033">
            <w:pPr>
              <w:pStyle w:val="BodyText"/>
              <w:spacing w:before="100" w:after="100"/>
              <w:jc w:val="right"/>
              <w:rPr>
                <w:sz w:val="20"/>
              </w:rPr>
            </w:pPr>
            <w:r>
              <w:rPr>
                <w:color w:val="000000"/>
                <w:sz w:val="20"/>
              </w:rPr>
              <w:t>$0.0</w:t>
            </w:r>
          </w:p>
        </w:tc>
      </w:tr>
      <w:tr w:rsidR="00FA6173" w:rsidRPr="00C8251D" w:rsidTr="00F63033">
        <w:trPr>
          <w:trHeight w:val="283"/>
        </w:trPr>
        <w:tc>
          <w:tcPr>
            <w:tcW w:w="3369" w:type="dxa"/>
            <w:shd w:val="clear" w:color="auto" w:fill="C6D9F1" w:themeFill="text2" w:themeFillTint="33"/>
          </w:tcPr>
          <w:p w:rsidR="00FA6173" w:rsidRPr="00C8251D" w:rsidRDefault="00FA6173" w:rsidP="00F63033">
            <w:pPr>
              <w:pStyle w:val="BodyText"/>
              <w:spacing w:before="100" w:after="100"/>
              <w:rPr>
                <w:sz w:val="20"/>
              </w:rPr>
            </w:pPr>
            <w:r w:rsidRPr="00C8251D">
              <w:rPr>
                <w:sz w:val="20"/>
              </w:rPr>
              <w:t>Option 3 – Mandatory Scheme</w:t>
            </w:r>
          </w:p>
        </w:tc>
        <w:tc>
          <w:tcPr>
            <w:tcW w:w="5244" w:type="dxa"/>
            <w:vAlign w:val="bottom"/>
          </w:tcPr>
          <w:p w:rsidR="00FA6173" w:rsidRPr="00C8251D" w:rsidRDefault="00FA6173" w:rsidP="00671CBE">
            <w:pPr>
              <w:pStyle w:val="BodyText"/>
              <w:spacing w:before="100" w:after="100"/>
              <w:jc w:val="right"/>
              <w:rPr>
                <w:sz w:val="20"/>
              </w:rPr>
            </w:pPr>
            <w:r>
              <w:rPr>
                <w:color w:val="000000"/>
                <w:sz w:val="20"/>
              </w:rPr>
              <w:t>$</w:t>
            </w:r>
            <w:r w:rsidR="00671CBE">
              <w:rPr>
                <w:color w:val="000000"/>
                <w:sz w:val="20"/>
              </w:rPr>
              <w:t>30.6</w:t>
            </w:r>
          </w:p>
        </w:tc>
      </w:tr>
    </w:tbl>
    <w:p w:rsidR="00F63033" w:rsidRPr="00957A1E" w:rsidRDefault="00F63033" w:rsidP="00F63033">
      <w:pPr>
        <w:pStyle w:val="Source"/>
      </w:pPr>
      <w:proofErr w:type="spellStart"/>
      <w:proofErr w:type="gramStart"/>
      <w:r>
        <w:rPr>
          <w:vertAlign w:val="superscript"/>
        </w:rPr>
        <w:t>a</w:t>
      </w:r>
      <w:proofErr w:type="spellEnd"/>
      <w:proofErr w:type="gramEnd"/>
      <w:r>
        <w:rPr>
          <w:vertAlign w:val="superscript"/>
        </w:rPr>
        <w:tab/>
      </w:r>
      <w:r>
        <w:t>It is important to note that the value of metal resources is based on information provided through consultation with industry. Detailed testing of these costs has not being undertaken as a part of this analysis.</w:t>
      </w:r>
    </w:p>
    <w:p w:rsidR="00BE4A7E" w:rsidRDefault="00BE4A7E" w:rsidP="00BE4A7E">
      <w:pPr>
        <w:pStyle w:val="Source"/>
      </w:pPr>
      <w:r>
        <w:t xml:space="preserve">Source: </w:t>
      </w:r>
      <w:r>
        <w:tab/>
      </w:r>
      <w:r w:rsidR="005533BA">
        <w:t xml:space="preserve">Department of the Environment, industry consultation and </w:t>
      </w:r>
      <w:r>
        <w:t>KPMG analysis</w:t>
      </w:r>
    </w:p>
    <w:p w:rsidR="00193016" w:rsidRDefault="00193016" w:rsidP="00193016">
      <w:pPr>
        <w:pStyle w:val="BodyText"/>
      </w:pPr>
      <w:r>
        <w:t xml:space="preserve">As </w:t>
      </w:r>
      <w:r w:rsidR="00993FC3">
        <w:t xml:space="preserve">described </w:t>
      </w:r>
      <w:r>
        <w:t>in Section 2</w:t>
      </w:r>
      <w:r w:rsidR="00993FC3">
        <w:t xml:space="preserve"> and outlined in </w:t>
      </w:r>
      <w:r w:rsidR="00586F30">
        <w:fldChar w:fldCharType="begin"/>
      </w:r>
      <w:r w:rsidR="00993FC3">
        <w:instrText xml:space="preserve"> REF _Ref391319071 \h </w:instrText>
      </w:r>
      <w:r w:rsidR="00586F30">
        <w:fldChar w:fldCharType="separate"/>
      </w:r>
      <w:r w:rsidR="001E5D7A">
        <w:t xml:space="preserve">Table </w:t>
      </w:r>
      <w:r w:rsidR="001E5D7A">
        <w:rPr>
          <w:noProof/>
        </w:rPr>
        <w:t>4</w:t>
      </w:r>
      <w:r w:rsidR="001E5D7A">
        <w:noBreakHyphen/>
      </w:r>
      <w:r w:rsidR="001E5D7A">
        <w:rPr>
          <w:noProof/>
        </w:rPr>
        <w:t>9</w:t>
      </w:r>
      <w:r w:rsidR="00586F30">
        <w:fldChar w:fldCharType="end"/>
      </w:r>
      <w:r>
        <w:t>,</w:t>
      </w:r>
      <w:r w:rsidR="00993FC3">
        <w:t xml:space="preserve"> the metal recovery rate only increases under the mandatory scheme (</w:t>
      </w:r>
      <w:r w:rsidR="00D4784B">
        <w:t xml:space="preserve">option </w:t>
      </w:r>
      <w:r w:rsidR="00993FC3">
        <w:t>3). Accordingly, there are no incremental benefits</w:t>
      </w:r>
      <w:r>
        <w:t xml:space="preserve"> </w:t>
      </w:r>
      <w:r w:rsidR="00993FC3">
        <w:t xml:space="preserve">of metal resource recovery under </w:t>
      </w:r>
      <w:r w:rsidR="00D4784B">
        <w:t xml:space="preserve">options </w:t>
      </w:r>
      <w:r w:rsidR="00993FC3">
        <w:t>1 and 2. The incremental benefit of increasing metal recovery from RAC equipment at end-of-life from 90 per cent to 95 per cent is estimated to be $</w:t>
      </w:r>
      <w:r w:rsidR="00671CBE">
        <w:t>30.6</w:t>
      </w:r>
      <w:r w:rsidR="005533BA">
        <w:t xml:space="preserve"> million</w:t>
      </w:r>
      <w:r w:rsidR="00993FC3">
        <w:t xml:space="preserve"> (in present value terms). </w:t>
      </w:r>
      <w:r w:rsidR="00CD093A">
        <w:t xml:space="preserve">Consistent with the materials composition, the value of metals recovered is higher for air conditioners than for refrigerators and freezers. </w:t>
      </w:r>
    </w:p>
    <w:p w:rsidR="000847C7" w:rsidRDefault="000847C7" w:rsidP="00193016">
      <w:pPr>
        <w:pStyle w:val="BodyText"/>
      </w:pPr>
      <w:r>
        <w:lastRenderedPageBreak/>
        <w:t>Additional disassembly of RAC equipment under the options is also expected to result in an increase in recovery of other materials</w:t>
      </w:r>
      <w:r w:rsidR="00031E57">
        <w:t>,</w:t>
      </w:r>
      <w:r>
        <w:t xml:space="preserve"> including plastics. As outlined in </w:t>
      </w:r>
      <w:r w:rsidR="00586F30">
        <w:fldChar w:fldCharType="begin"/>
      </w:r>
      <w:r>
        <w:instrText xml:space="preserve"> REF _Ref392754552 \h </w:instrText>
      </w:r>
      <w:r w:rsidR="00586F30">
        <w:fldChar w:fldCharType="separate"/>
      </w:r>
      <w:r w:rsidR="001E5D7A">
        <w:t xml:space="preserve">Chart </w:t>
      </w:r>
      <w:r w:rsidR="001E5D7A">
        <w:rPr>
          <w:noProof/>
        </w:rPr>
        <w:t>4</w:t>
      </w:r>
      <w:r w:rsidR="001E5D7A">
        <w:noBreakHyphen/>
      </w:r>
      <w:r w:rsidR="001E5D7A">
        <w:rPr>
          <w:noProof/>
        </w:rPr>
        <w:t>1</w:t>
      </w:r>
      <w:r w:rsidR="00586F30">
        <w:fldChar w:fldCharType="end"/>
      </w:r>
      <w:r>
        <w:t xml:space="preserve">, plastics comprise 17 per cent of materials in refrigerators and 12 per cent of air conditioners. </w:t>
      </w:r>
      <w:r w:rsidR="00031E57">
        <w:t xml:space="preserve">Plastics recovered can potentially be reused to </w:t>
      </w:r>
      <w:r w:rsidR="00AB4B1A">
        <w:t>manufacture new products. The value of plastic recovered varies depending on the type of plastic, the degree of separation and the level of contamination. A recent analysis of plastic recycling indicates that the current international market price for sorted and bundled scrap plastic materials is between $500 and $1,000 per tonne</w:t>
      </w:r>
      <w:r w:rsidR="00AB4B1A">
        <w:rPr>
          <w:rStyle w:val="FootnoteReference"/>
        </w:rPr>
        <w:footnoteReference w:id="23"/>
      </w:r>
      <w:r w:rsidR="00AB4B1A">
        <w:t xml:space="preserve">. </w:t>
      </w:r>
      <w:r w:rsidR="003A6CDB">
        <w:t xml:space="preserve">Consultation with industry suggests that the average price received for recovered plastics is $550 per tonne. </w:t>
      </w:r>
      <w:r w:rsidR="00AB4B1A">
        <w:t>For the purpose of the CBA</w:t>
      </w:r>
      <w:r w:rsidR="003A6CDB">
        <w:t xml:space="preserve"> and consistent with industry consultation</w:t>
      </w:r>
      <w:r w:rsidR="00AB4B1A">
        <w:t>, the value of recovered plastics was assumed to be $</w:t>
      </w:r>
      <w:r w:rsidR="003A6CDB">
        <w:t>550</w:t>
      </w:r>
      <w:r w:rsidR="00AB4B1A">
        <w:t xml:space="preserve"> per tonne. </w:t>
      </w:r>
    </w:p>
    <w:p w:rsidR="00031E57" w:rsidRDefault="00031E57" w:rsidP="00031E57">
      <w:pPr>
        <w:pStyle w:val="BodyText"/>
      </w:pPr>
      <w:r>
        <w:t xml:space="preserve">The net benefits associated with plastic recovery </w:t>
      </w:r>
      <w:r w:rsidR="00F63033">
        <w:t>are</w:t>
      </w:r>
      <w:r>
        <w:t xml:space="preserve"> estimated based on the composition of RAC equipment, the proportion of material recovered (based on the rate of landfill disposal), the average value of recovered </w:t>
      </w:r>
      <w:r w:rsidR="00AB4B1A">
        <w:t>plastic</w:t>
      </w:r>
      <w:r>
        <w:t xml:space="preserve"> resources and the volume of disposals each year (outlined in Appendix A). The net benefit </w:t>
      </w:r>
      <w:r w:rsidR="00CD093A">
        <w:t xml:space="preserve">over the 10 years of the analysis </w:t>
      </w:r>
      <w:r>
        <w:t>under each option is outlined in</w:t>
      </w:r>
      <w:r w:rsidR="00F63033">
        <w:t xml:space="preserve"> </w:t>
      </w:r>
      <w:r w:rsidR="00586F30">
        <w:fldChar w:fldCharType="begin"/>
      </w:r>
      <w:r w:rsidR="00F63033">
        <w:instrText xml:space="preserve"> REF _Ref393048459 \h </w:instrText>
      </w:r>
      <w:r w:rsidR="00586F30">
        <w:fldChar w:fldCharType="separate"/>
      </w:r>
      <w:r w:rsidR="001E5D7A">
        <w:t xml:space="preserve">Table </w:t>
      </w:r>
      <w:r w:rsidR="001E5D7A">
        <w:rPr>
          <w:noProof/>
        </w:rPr>
        <w:t>4</w:t>
      </w:r>
      <w:r w:rsidR="001E5D7A">
        <w:noBreakHyphen/>
      </w:r>
      <w:r w:rsidR="001E5D7A">
        <w:rPr>
          <w:noProof/>
        </w:rPr>
        <w:t>11</w:t>
      </w:r>
      <w:r w:rsidR="00586F30">
        <w:fldChar w:fldCharType="end"/>
      </w:r>
      <w:r w:rsidR="00AB4B1A">
        <w:t>.</w:t>
      </w:r>
      <w:r w:rsidR="00CD093A">
        <w:t xml:space="preserve"> Annual benefits are outlined in Appendix D.</w:t>
      </w:r>
    </w:p>
    <w:p w:rsidR="00031E57" w:rsidRPr="00F63033" w:rsidRDefault="00031E57" w:rsidP="00CE3BAC">
      <w:pPr>
        <w:pStyle w:val="Caption"/>
        <w:rPr>
          <w:vertAlign w:val="superscript"/>
        </w:rPr>
      </w:pPr>
      <w:bookmarkStart w:id="56" w:name="_Ref393048459"/>
      <w:r>
        <w:t xml:space="preserve">Table </w:t>
      </w:r>
      <w:r w:rsidR="00586F30">
        <w:fldChar w:fldCharType="begin"/>
      </w:r>
      <w:r w:rsidR="00C478AE">
        <w:instrText xml:space="preserve"> STYLEREF 1 \s </w:instrText>
      </w:r>
      <w:r w:rsidR="00586F30">
        <w:fldChar w:fldCharType="separate"/>
      </w:r>
      <w:r w:rsidR="001E5D7A">
        <w:rPr>
          <w:noProof/>
        </w:rPr>
        <w:t>4</w:t>
      </w:r>
      <w:r w:rsidR="00586F30">
        <w:rPr>
          <w:noProof/>
        </w:rPr>
        <w:fldChar w:fldCharType="end"/>
      </w:r>
      <w:r w:rsidR="00CE3BAC">
        <w:noBreakHyphen/>
      </w:r>
      <w:r w:rsidR="00586F30">
        <w:fldChar w:fldCharType="begin"/>
      </w:r>
      <w:r w:rsidR="00C478AE">
        <w:instrText xml:space="preserve"> SEQ Table \* ARABIC \s 1 </w:instrText>
      </w:r>
      <w:r w:rsidR="00586F30">
        <w:fldChar w:fldCharType="separate"/>
      </w:r>
      <w:r w:rsidR="001E5D7A">
        <w:rPr>
          <w:noProof/>
        </w:rPr>
        <w:t>11</w:t>
      </w:r>
      <w:r w:rsidR="00586F30">
        <w:rPr>
          <w:noProof/>
        </w:rPr>
        <w:fldChar w:fldCharType="end"/>
      </w:r>
      <w:bookmarkEnd w:id="56"/>
      <w:r>
        <w:t>: Plastic resource recovery benefits (PV @ 7% $ million</w:t>
      </w:r>
      <w:r w:rsidR="00455CB0">
        <w:t>)</w:t>
      </w:r>
      <w:r w:rsidR="00455CB0">
        <w:rPr>
          <w:vertAlign w:val="superscript"/>
        </w:rPr>
        <w:t xml:space="preserve"> a</w:t>
      </w:r>
    </w:p>
    <w:tbl>
      <w:tblPr>
        <w:tblStyle w:val="TableGrid"/>
        <w:tblW w:w="0" w:type="auto"/>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tblPr>
      <w:tblGrid>
        <w:gridCol w:w="3369"/>
        <w:gridCol w:w="5244"/>
      </w:tblGrid>
      <w:tr w:rsidR="00671CBE" w:rsidRPr="00C8251D" w:rsidTr="00E94FE0">
        <w:trPr>
          <w:tblHeader/>
        </w:trPr>
        <w:tc>
          <w:tcPr>
            <w:tcW w:w="3369" w:type="dxa"/>
            <w:vMerge w:val="restart"/>
            <w:shd w:val="clear" w:color="auto" w:fill="1F497D" w:themeFill="text2"/>
            <w:vAlign w:val="center"/>
          </w:tcPr>
          <w:p w:rsidR="00671CBE" w:rsidRDefault="00671CBE" w:rsidP="00CE3BAC">
            <w:pPr>
              <w:pStyle w:val="BodyText"/>
              <w:keepNext/>
              <w:jc w:val="left"/>
              <w:rPr>
                <w:b/>
                <w:color w:val="FFFFFF" w:themeColor="background1"/>
                <w:sz w:val="20"/>
              </w:rPr>
            </w:pPr>
            <w:r>
              <w:rPr>
                <w:b/>
                <w:color w:val="FFFFFF" w:themeColor="background1"/>
                <w:sz w:val="20"/>
              </w:rPr>
              <w:t>Option</w:t>
            </w:r>
          </w:p>
        </w:tc>
        <w:tc>
          <w:tcPr>
            <w:tcW w:w="5244" w:type="dxa"/>
            <w:shd w:val="clear" w:color="auto" w:fill="1F497D" w:themeFill="text2"/>
            <w:vAlign w:val="center"/>
          </w:tcPr>
          <w:p w:rsidR="00671CBE" w:rsidRDefault="00671CBE" w:rsidP="00CE3BAC">
            <w:pPr>
              <w:pStyle w:val="BodyText"/>
              <w:keepNext/>
              <w:jc w:val="right"/>
              <w:rPr>
                <w:b/>
                <w:color w:val="FFFFFF" w:themeColor="background1"/>
                <w:sz w:val="20"/>
              </w:rPr>
            </w:pPr>
            <w:r w:rsidRPr="00671CBE">
              <w:rPr>
                <w:b/>
                <w:color w:val="FFFFFF" w:themeColor="background1"/>
              </w:rPr>
              <w:t>PV @ 7% $ million</w:t>
            </w:r>
            <w:r w:rsidR="00CD093A">
              <w:rPr>
                <w:b/>
                <w:color w:val="FFFFFF" w:themeColor="background1"/>
              </w:rPr>
              <w:t xml:space="preserve"> (2014 to 2024)</w:t>
            </w:r>
          </w:p>
        </w:tc>
      </w:tr>
      <w:tr w:rsidR="00671CBE" w:rsidRPr="00C8251D" w:rsidTr="00E94FE0">
        <w:trPr>
          <w:tblHeader/>
        </w:trPr>
        <w:tc>
          <w:tcPr>
            <w:tcW w:w="3369" w:type="dxa"/>
            <w:vMerge/>
            <w:shd w:val="clear" w:color="auto" w:fill="1F497D" w:themeFill="text2"/>
            <w:vAlign w:val="center"/>
          </w:tcPr>
          <w:p w:rsidR="00671CBE" w:rsidRPr="008610E0" w:rsidRDefault="00671CBE" w:rsidP="00CE3BAC">
            <w:pPr>
              <w:pStyle w:val="BodyText"/>
              <w:keepNext/>
              <w:jc w:val="left"/>
              <w:rPr>
                <w:b/>
                <w:color w:val="FFFFFF" w:themeColor="background1"/>
                <w:sz w:val="20"/>
              </w:rPr>
            </w:pPr>
          </w:p>
        </w:tc>
        <w:tc>
          <w:tcPr>
            <w:tcW w:w="5244" w:type="dxa"/>
            <w:shd w:val="clear" w:color="auto" w:fill="1F497D" w:themeFill="text2"/>
            <w:vAlign w:val="center"/>
          </w:tcPr>
          <w:p w:rsidR="00671CBE" w:rsidRPr="000847C7" w:rsidRDefault="00671CBE" w:rsidP="00CE3BAC">
            <w:pPr>
              <w:pStyle w:val="BodyText"/>
              <w:keepNext/>
              <w:jc w:val="right"/>
              <w:rPr>
                <w:b/>
                <w:color w:val="FFFFFF" w:themeColor="background1"/>
                <w:sz w:val="20"/>
              </w:rPr>
            </w:pPr>
            <w:r>
              <w:rPr>
                <w:b/>
                <w:color w:val="FFFFFF" w:themeColor="background1"/>
                <w:sz w:val="20"/>
              </w:rPr>
              <w:t>Plastic</w:t>
            </w:r>
            <w:r w:rsidRPr="000847C7">
              <w:rPr>
                <w:b/>
                <w:color w:val="FFFFFF" w:themeColor="background1"/>
                <w:sz w:val="20"/>
              </w:rPr>
              <w:t xml:space="preserve"> Resource Recovery Benefits</w:t>
            </w:r>
          </w:p>
        </w:tc>
      </w:tr>
      <w:tr w:rsidR="003A6CDB" w:rsidRPr="00C8251D" w:rsidTr="00E94FE0">
        <w:tc>
          <w:tcPr>
            <w:tcW w:w="3369" w:type="dxa"/>
            <w:shd w:val="clear" w:color="auto" w:fill="C6D9F1" w:themeFill="text2" w:themeFillTint="33"/>
          </w:tcPr>
          <w:p w:rsidR="003A6CDB" w:rsidRPr="00C8251D" w:rsidRDefault="003A6CDB" w:rsidP="00CE3BAC">
            <w:pPr>
              <w:pStyle w:val="BodyText"/>
              <w:keepNext/>
              <w:spacing w:before="100" w:after="100"/>
              <w:rPr>
                <w:sz w:val="20"/>
              </w:rPr>
            </w:pPr>
            <w:r w:rsidRPr="00C8251D">
              <w:rPr>
                <w:sz w:val="20"/>
              </w:rPr>
              <w:t>Option 1 – Voluntary Scheme</w:t>
            </w:r>
          </w:p>
        </w:tc>
        <w:tc>
          <w:tcPr>
            <w:tcW w:w="5244" w:type="dxa"/>
            <w:vAlign w:val="center"/>
          </w:tcPr>
          <w:p w:rsidR="003A6CDB" w:rsidRPr="008610E0" w:rsidRDefault="003A6CDB" w:rsidP="00CE3BAC">
            <w:pPr>
              <w:pStyle w:val="BodyText"/>
              <w:keepNext/>
              <w:spacing w:before="100" w:after="100"/>
              <w:jc w:val="right"/>
              <w:rPr>
                <w:sz w:val="20"/>
              </w:rPr>
            </w:pPr>
            <w:r>
              <w:rPr>
                <w:color w:val="000000"/>
                <w:sz w:val="20"/>
              </w:rPr>
              <w:t>$7.5</w:t>
            </w:r>
          </w:p>
        </w:tc>
      </w:tr>
      <w:tr w:rsidR="003A6CDB" w:rsidRPr="00C8251D" w:rsidTr="00E94FE0">
        <w:tc>
          <w:tcPr>
            <w:tcW w:w="3369" w:type="dxa"/>
            <w:shd w:val="clear" w:color="auto" w:fill="C6D9F1" w:themeFill="text2" w:themeFillTint="33"/>
          </w:tcPr>
          <w:p w:rsidR="003A6CDB" w:rsidRPr="00C8251D" w:rsidRDefault="003A6CDB" w:rsidP="00CE3BAC">
            <w:pPr>
              <w:pStyle w:val="BodyText"/>
              <w:keepNext/>
              <w:spacing w:before="100" w:after="100"/>
              <w:rPr>
                <w:sz w:val="20"/>
              </w:rPr>
            </w:pPr>
            <w:r w:rsidRPr="00C8251D">
              <w:rPr>
                <w:sz w:val="20"/>
              </w:rPr>
              <w:t>Option 2 – Co-Regulatory Approach</w:t>
            </w:r>
          </w:p>
        </w:tc>
        <w:tc>
          <w:tcPr>
            <w:tcW w:w="5244" w:type="dxa"/>
            <w:vAlign w:val="center"/>
          </w:tcPr>
          <w:p w:rsidR="003A6CDB" w:rsidRPr="00C8251D" w:rsidRDefault="003A6CDB" w:rsidP="00CE3BAC">
            <w:pPr>
              <w:pStyle w:val="BodyText"/>
              <w:keepNext/>
              <w:spacing w:before="100" w:after="100"/>
              <w:jc w:val="right"/>
              <w:rPr>
                <w:sz w:val="20"/>
              </w:rPr>
            </w:pPr>
            <w:r>
              <w:rPr>
                <w:color w:val="000000"/>
                <w:sz w:val="20"/>
              </w:rPr>
              <w:t>$22.6</w:t>
            </w:r>
          </w:p>
        </w:tc>
      </w:tr>
      <w:tr w:rsidR="003A6CDB" w:rsidRPr="00C8251D" w:rsidTr="00E94FE0">
        <w:tc>
          <w:tcPr>
            <w:tcW w:w="3369" w:type="dxa"/>
            <w:shd w:val="clear" w:color="auto" w:fill="C6D9F1" w:themeFill="text2" w:themeFillTint="33"/>
          </w:tcPr>
          <w:p w:rsidR="003A6CDB" w:rsidRPr="00C8251D" w:rsidRDefault="003A6CDB" w:rsidP="00CE3BAC">
            <w:pPr>
              <w:pStyle w:val="BodyText"/>
              <w:keepNext/>
              <w:spacing w:before="100" w:after="100"/>
              <w:rPr>
                <w:sz w:val="20"/>
              </w:rPr>
            </w:pPr>
            <w:r w:rsidRPr="00C8251D">
              <w:rPr>
                <w:sz w:val="20"/>
              </w:rPr>
              <w:t>Option 3 – Mandatory Scheme</w:t>
            </w:r>
          </w:p>
        </w:tc>
        <w:tc>
          <w:tcPr>
            <w:tcW w:w="5244" w:type="dxa"/>
            <w:vAlign w:val="center"/>
          </w:tcPr>
          <w:p w:rsidR="003A6CDB" w:rsidRPr="00C8251D" w:rsidRDefault="003A6CDB" w:rsidP="00CE3BAC">
            <w:pPr>
              <w:pStyle w:val="BodyText"/>
              <w:keepNext/>
              <w:spacing w:before="100" w:after="100"/>
              <w:jc w:val="right"/>
              <w:rPr>
                <w:sz w:val="20"/>
              </w:rPr>
            </w:pPr>
            <w:r>
              <w:rPr>
                <w:color w:val="000000"/>
                <w:sz w:val="20"/>
              </w:rPr>
              <w:t>$61.2</w:t>
            </w:r>
          </w:p>
        </w:tc>
      </w:tr>
    </w:tbl>
    <w:p w:rsidR="00F63033" w:rsidRPr="00957A1E" w:rsidRDefault="00F63033" w:rsidP="00F63033">
      <w:pPr>
        <w:pStyle w:val="Source"/>
      </w:pPr>
      <w:proofErr w:type="spellStart"/>
      <w:proofErr w:type="gramStart"/>
      <w:r>
        <w:rPr>
          <w:vertAlign w:val="superscript"/>
        </w:rPr>
        <w:t>a</w:t>
      </w:r>
      <w:proofErr w:type="spellEnd"/>
      <w:proofErr w:type="gramEnd"/>
      <w:r>
        <w:rPr>
          <w:vertAlign w:val="superscript"/>
        </w:rPr>
        <w:tab/>
      </w:r>
      <w:r>
        <w:t xml:space="preserve">It is important to note that the value of </w:t>
      </w:r>
      <w:r w:rsidR="00D054BD">
        <w:t xml:space="preserve">plastic recovered </w:t>
      </w:r>
      <w:r>
        <w:t>is based on information provided through consultation with industry. Detailed testing of these costs has not being undertaken as a part of this analysis.</w:t>
      </w:r>
    </w:p>
    <w:p w:rsidR="00031E57" w:rsidRDefault="00031E57" w:rsidP="00031E57">
      <w:pPr>
        <w:pStyle w:val="Source"/>
      </w:pPr>
      <w:r>
        <w:t xml:space="preserve">Source: </w:t>
      </w:r>
      <w:r>
        <w:tab/>
        <w:t>Department of the Environment, industry consultation</w:t>
      </w:r>
      <w:r w:rsidR="00AB4B1A">
        <w:t xml:space="preserve">, </w:t>
      </w:r>
      <w:proofErr w:type="spellStart"/>
      <w:r w:rsidR="00AB4B1A">
        <w:t>Rawtec</w:t>
      </w:r>
      <w:proofErr w:type="spellEnd"/>
      <w:r w:rsidR="00AB4B1A">
        <w:t xml:space="preserve"> (2012)</w:t>
      </w:r>
      <w:r>
        <w:t xml:space="preserve"> and KPMG analysis</w:t>
      </w:r>
    </w:p>
    <w:p w:rsidR="005201D9" w:rsidRDefault="00CD093A" w:rsidP="007748FF">
      <w:pPr>
        <w:pStyle w:val="BodyText"/>
      </w:pPr>
      <w:r>
        <w:t xml:space="preserve">Consistent with the level of recovery of materials, the benefits associated with recovery of plastics is highest under </w:t>
      </w:r>
      <w:r w:rsidR="00455CB0">
        <w:t>the mandatory scheme (option 3).</w:t>
      </w:r>
      <w:r>
        <w:t xml:space="preserve"> As expected, given the materials composition, the value of plastic recovered is higher for refrigerators and freezers than for air conditioners. </w:t>
      </w:r>
    </w:p>
    <w:p w:rsidR="007A7415" w:rsidRDefault="007A7415" w:rsidP="007A7415">
      <w:pPr>
        <w:pStyle w:val="Heading3"/>
      </w:pPr>
      <w:r>
        <w:t>Increase in refrigerant recovery</w:t>
      </w:r>
    </w:p>
    <w:p w:rsidR="001921E5" w:rsidRDefault="001921E5" w:rsidP="004A1526">
      <w:pPr>
        <w:pStyle w:val="BodyText"/>
      </w:pPr>
      <w:r>
        <w:t>The rate of recovery of refrigerant gas under each of the product stewardship options is outlined in</w:t>
      </w:r>
      <w:r w:rsidR="007E33A4">
        <w:t xml:space="preserve"> </w:t>
      </w:r>
      <w:r w:rsidR="00586F30">
        <w:fldChar w:fldCharType="begin"/>
      </w:r>
      <w:r w:rsidR="007E33A4">
        <w:instrText xml:space="preserve"> REF _Ref391317487 \h </w:instrText>
      </w:r>
      <w:r w:rsidR="00586F30">
        <w:fldChar w:fldCharType="separate"/>
      </w:r>
      <w:r w:rsidR="001E5D7A">
        <w:t xml:space="preserve">Table </w:t>
      </w:r>
      <w:r w:rsidR="001E5D7A">
        <w:rPr>
          <w:noProof/>
        </w:rPr>
        <w:t>4</w:t>
      </w:r>
      <w:r w:rsidR="001E5D7A">
        <w:noBreakHyphen/>
      </w:r>
      <w:r w:rsidR="001E5D7A">
        <w:rPr>
          <w:noProof/>
        </w:rPr>
        <w:t>12</w:t>
      </w:r>
      <w:r w:rsidR="00586F30">
        <w:fldChar w:fldCharType="end"/>
      </w:r>
      <w:r w:rsidR="00F268D2">
        <w:t xml:space="preserve"> and outlined in further detail in Appendix B.</w:t>
      </w:r>
    </w:p>
    <w:p w:rsidR="00CD093A" w:rsidRDefault="00CD093A" w:rsidP="004A1526">
      <w:pPr>
        <w:pStyle w:val="BodyText"/>
      </w:pPr>
      <w:r>
        <w:t xml:space="preserve">There is a legal requirement that gas used for servicing new or existing equipment must meet the specifications for new refrigerant set out by ARI 700-2004 </w:t>
      </w:r>
      <w:r w:rsidRPr="007E222E">
        <w:rPr>
          <w:i/>
        </w:rPr>
        <w:t>Specification for Fluorocarbon Refrigerants</w:t>
      </w:r>
      <w:r>
        <w:t xml:space="preserve">. Consultation with industry suggests that the current level of refrigerant gas reuse is uncertain. Additionally, the product stewardship options do not include specific incentives to </w:t>
      </w:r>
      <w:r>
        <w:lastRenderedPageBreak/>
        <w:t xml:space="preserve">influence the levels of refrigerant gas reuse. Accordingly, the benefit associated with refrigerant gas reuse is not quantified in the analysis. </w:t>
      </w:r>
    </w:p>
    <w:p w:rsidR="007D4DF2" w:rsidRDefault="007D4DF2" w:rsidP="00CD093A">
      <w:pPr>
        <w:pStyle w:val="Caption"/>
      </w:pPr>
      <w:bookmarkStart w:id="57" w:name="_Ref391317487"/>
      <w:r>
        <w:t xml:space="preserve">Table </w:t>
      </w:r>
      <w:r w:rsidR="00586F30">
        <w:fldChar w:fldCharType="begin"/>
      </w:r>
      <w:r w:rsidR="00C478AE">
        <w:instrText xml:space="preserve"> STYLEREF 1 \s </w:instrText>
      </w:r>
      <w:r w:rsidR="00586F30">
        <w:fldChar w:fldCharType="separate"/>
      </w:r>
      <w:r w:rsidR="001E5D7A">
        <w:rPr>
          <w:noProof/>
        </w:rPr>
        <w:t>4</w:t>
      </w:r>
      <w:r w:rsidR="00586F30">
        <w:rPr>
          <w:noProof/>
        </w:rPr>
        <w:fldChar w:fldCharType="end"/>
      </w:r>
      <w:r w:rsidR="00CE3BAC">
        <w:noBreakHyphen/>
      </w:r>
      <w:r w:rsidR="00586F30">
        <w:fldChar w:fldCharType="begin"/>
      </w:r>
      <w:r w:rsidR="00C478AE">
        <w:instrText xml:space="preserve"> SEQ Table \* ARABIC \s 1 </w:instrText>
      </w:r>
      <w:r w:rsidR="00586F30">
        <w:fldChar w:fldCharType="separate"/>
      </w:r>
      <w:r w:rsidR="001E5D7A">
        <w:rPr>
          <w:noProof/>
        </w:rPr>
        <w:t>12</w:t>
      </w:r>
      <w:r w:rsidR="00586F30">
        <w:rPr>
          <w:noProof/>
        </w:rPr>
        <w:fldChar w:fldCharType="end"/>
      </w:r>
      <w:bookmarkEnd w:id="57"/>
      <w:r>
        <w:t xml:space="preserve">: </w:t>
      </w:r>
      <w:r w:rsidR="007E33A4">
        <w:t>Refrigerant gas recovery rates</w:t>
      </w:r>
    </w:p>
    <w:tbl>
      <w:tblPr>
        <w:tblStyle w:val="TableGrid"/>
        <w:tblW w:w="0" w:type="auto"/>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tblPr>
      <w:tblGrid>
        <w:gridCol w:w="3369"/>
        <w:gridCol w:w="2676"/>
        <w:gridCol w:w="2676"/>
      </w:tblGrid>
      <w:tr w:rsidR="00DE2ECB" w:rsidRPr="00C8251D" w:rsidTr="00993FC3">
        <w:tc>
          <w:tcPr>
            <w:tcW w:w="3369" w:type="dxa"/>
            <w:vMerge w:val="restart"/>
            <w:shd w:val="clear" w:color="auto" w:fill="1F497D" w:themeFill="text2"/>
            <w:vAlign w:val="center"/>
          </w:tcPr>
          <w:p w:rsidR="005201D9" w:rsidRDefault="00E10441" w:rsidP="007748FF">
            <w:pPr>
              <w:pStyle w:val="BodyText"/>
              <w:keepNext/>
              <w:jc w:val="left"/>
              <w:rPr>
                <w:b/>
                <w:color w:val="FFFFFF" w:themeColor="background1"/>
                <w:sz w:val="20"/>
              </w:rPr>
            </w:pPr>
            <w:r w:rsidRPr="00F63033">
              <w:rPr>
                <w:b/>
                <w:color w:val="FFFFFF" w:themeColor="background1"/>
                <w:sz w:val="20"/>
              </w:rPr>
              <w:t>Option</w:t>
            </w:r>
          </w:p>
        </w:tc>
        <w:tc>
          <w:tcPr>
            <w:tcW w:w="5352" w:type="dxa"/>
            <w:gridSpan w:val="2"/>
            <w:shd w:val="clear" w:color="auto" w:fill="1F497D" w:themeFill="text2"/>
            <w:vAlign w:val="center"/>
          </w:tcPr>
          <w:p w:rsidR="005201D9" w:rsidRDefault="00E10441" w:rsidP="007748FF">
            <w:pPr>
              <w:pStyle w:val="BodyText"/>
              <w:keepNext/>
              <w:jc w:val="center"/>
              <w:rPr>
                <w:b/>
                <w:color w:val="FFFFFF" w:themeColor="background1"/>
                <w:sz w:val="20"/>
              </w:rPr>
            </w:pPr>
            <w:r w:rsidRPr="00F63033">
              <w:rPr>
                <w:b/>
                <w:color w:val="FFFFFF" w:themeColor="background1"/>
                <w:sz w:val="20"/>
              </w:rPr>
              <w:t>Refrigerant Gas Recovery Rate</w:t>
            </w:r>
          </w:p>
        </w:tc>
      </w:tr>
      <w:tr w:rsidR="00DE2ECB" w:rsidRPr="00C8251D" w:rsidTr="00993FC3">
        <w:tc>
          <w:tcPr>
            <w:tcW w:w="3369" w:type="dxa"/>
            <w:vMerge/>
            <w:shd w:val="clear" w:color="auto" w:fill="1F497D" w:themeFill="text2"/>
            <w:vAlign w:val="center"/>
          </w:tcPr>
          <w:p w:rsidR="005201D9" w:rsidRDefault="005201D9" w:rsidP="007748FF">
            <w:pPr>
              <w:pStyle w:val="BodyText"/>
              <w:keepNext/>
              <w:jc w:val="left"/>
              <w:rPr>
                <w:b/>
                <w:color w:val="FFFFFF" w:themeColor="background1"/>
                <w:sz w:val="20"/>
              </w:rPr>
            </w:pPr>
          </w:p>
        </w:tc>
        <w:tc>
          <w:tcPr>
            <w:tcW w:w="2676" w:type="dxa"/>
            <w:shd w:val="clear" w:color="auto" w:fill="1F497D" w:themeFill="text2"/>
            <w:vAlign w:val="center"/>
          </w:tcPr>
          <w:p w:rsidR="005201D9" w:rsidRDefault="00E10441" w:rsidP="007748FF">
            <w:pPr>
              <w:pStyle w:val="BodyText"/>
              <w:keepNext/>
              <w:jc w:val="right"/>
              <w:rPr>
                <w:b/>
                <w:color w:val="FFFFFF" w:themeColor="background1"/>
                <w:sz w:val="20"/>
              </w:rPr>
            </w:pPr>
            <w:r w:rsidRPr="00F63033">
              <w:rPr>
                <w:b/>
                <w:color w:val="FFFFFF" w:themeColor="background1"/>
                <w:sz w:val="20"/>
              </w:rPr>
              <w:t>Refrigerators</w:t>
            </w:r>
          </w:p>
        </w:tc>
        <w:tc>
          <w:tcPr>
            <w:tcW w:w="2676" w:type="dxa"/>
            <w:shd w:val="clear" w:color="auto" w:fill="1F497D" w:themeFill="text2"/>
          </w:tcPr>
          <w:p w:rsidR="005201D9" w:rsidRDefault="00E10441" w:rsidP="007748FF">
            <w:pPr>
              <w:pStyle w:val="BodyText"/>
              <w:keepNext/>
              <w:jc w:val="right"/>
              <w:rPr>
                <w:b/>
                <w:color w:val="FFFFFF" w:themeColor="background1"/>
                <w:sz w:val="20"/>
              </w:rPr>
            </w:pPr>
            <w:r w:rsidRPr="00F63033">
              <w:rPr>
                <w:b/>
                <w:color w:val="FFFFFF" w:themeColor="background1"/>
                <w:sz w:val="20"/>
              </w:rPr>
              <w:t>Air Conditioners</w:t>
            </w:r>
          </w:p>
        </w:tc>
      </w:tr>
      <w:tr w:rsidR="00993FC3" w:rsidRPr="00C8251D" w:rsidTr="00993FC3">
        <w:tc>
          <w:tcPr>
            <w:tcW w:w="3369" w:type="dxa"/>
            <w:shd w:val="clear" w:color="auto" w:fill="C6D9F1" w:themeFill="text2" w:themeFillTint="33"/>
          </w:tcPr>
          <w:p w:rsidR="005201D9" w:rsidRDefault="00993FC3" w:rsidP="007748FF">
            <w:pPr>
              <w:pStyle w:val="BodyText"/>
              <w:keepNext/>
              <w:rPr>
                <w:sz w:val="20"/>
              </w:rPr>
            </w:pPr>
            <w:r>
              <w:rPr>
                <w:sz w:val="20"/>
              </w:rPr>
              <w:t>Base Case (Status Quo)</w:t>
            </w:r>
          </w:p>
        </w:tc>
        <w:tc>
          <w:tcPr>
            <w:tcW w:w="2676" w:type="dxa"/>
            <w:vAlign w:val="center"/>
          </w:tcPr>
          <w:p w:rsidR="005201D9" w:rsidRDefault="00993FC3" w:rsidP="007748FF">
            <w:pPr>
              <w:pStyle w:val="BodyText"/>
              <w:keepNext/>
              <w:jc w:val="right"/>
              <w:rPr>
                <w:sz w:val="20"/>
              </w:rPr>
            </w:pPr>
            <w:r>
              <w:rPr>
                <w:sz w:val="20"/>
              </w:rPr>
              <w:t>30-40 per cent</w:t>
            </w:r>
          </w:p>
        </w:tc>
        <w:tc>
          <w:tcPr>
            <w:tcW w:w="2676" w:type="dxa"/>
          </w:tcPr>
          <w:p w:rsidR="005201D9" w:rsidRDefault="00DE2ECB" w:rsidP="007748FF">
            <w:pPr>
              <w:pStyle w:val="BodyText"/>
              <w:keepNext/>
              <w:jc w:val="right"/>
              <w:rPr>
                <w:sz w:val="20"/>
              </w:rPr>
            </w:pPr>
            <w:r>
              <w:rPr>
                <w:sz w:val="20"/>
              </w:rPr>
              <w:t>80 per cent</w:t>
            </w:r>
          </w:p>
        </w:tc>
      </w:tr>
      <w:tr w:rsidR="00DE2ECB" w:rsidRPr="00C8251D" w:rsidTr="00993FC3">
        <w:tc>
          <w:tcPr>
            <w:tcW w:w="3369" w:type="dxa"/>
            <w:shd w:val="clear" w:color="auto" w:fill="C6D9F1" w:themeFill="text2" w:themeFillTint="33"/>
          </w:tcPr>
          <w:p w:rsidR="00DE2ECB" w:rsidRPr="00C8251D" w:rsidRDefault="00DE2ECB" w:rsidP="006F3822">
            <w:pPr>
              <w:pStyle w:val="BodyText"/>
              <w:rPr>
                <w:sz w:val="20"/>
              </w:rPr>
            </w:pPr>
            <w:r w:rsidRPr="00C8251D">
              <w:rPr>
                <w:sz w:val="20"/>
              </w:rPr>
              <w:t>Option 1 – Voluntary Scheme</w:t>
            </w:r>
          </w:p>
        </w:tc>
        <w:tc>
          <w:tcPr>
            <w:tcW w:w="2676" w:type="dxa"/>
            <w:vAlign w:val="center"/>
          </w:tcPr>
          <w:p w:rsidR="00DE2ECB" w:rsidRPr="008610E0" w:rsidRDefault="00DE2ECB" w:rsidP="006F3822">
            <w:pPr>
              <w:pStyle w:val="BodyText"/>
              <w:jc w:val="right"/>
              <w:rPr>
                <w:sz w:val="20"/>
              </w:rPr>
            </w:pPr>
            <w:r>
              <w:rPr>
                <w:sz w:val="20"/>
              </w:rPr>
              <w:t>35-45 per cent</w:t>
            </w:r>
          </w:p>
        </w:tc>
        <w:tc>
          <w:tcPr>
            <w:tcW w:w="2676" w:type="dxa"/>
          </w:tcPr>
          <w:p w:rsidR="00DE2ECB" w:rsidRDefault="00DE2ECB" w:rsidP="00AB5CD9">
            <w:pPr>
              <w:pStyle w:val="BodyText"/>
              <w:jc w:val="right"/>
              <w:rPr>
                <w:sz w:val="20"/>
              </w:rPr>
            </w:pPr>
            <w:r>
              <w:rPr>
                <w:sz w:val="20"/>
              </w:rPr>
              <w:t>80 per cent</w:t>
            </w:r>
          </w:p>
        </w:tc>
      </w:tr>
      <w:tr w:rsidR="00DE2ECB" w:rsidRPr="00C8251D" w:rsidTr="00993FC3">
        <w:tc>
          <w:tcPr>
            <w:tcW w:w="3369" w:type="dxa"/>
            <w:shd w:val="clear" w:color="auto" w:fill="C6D9F1" w:themeFill="text2" w:themeFillTint="33"/>
          </w:tcPr>
          <w:p w:rsidR="00DE2ECB" w:rsidRPr="00C8251D" w:rsidRDefault="00DE2ECB" w:rsidP="006F3822">
            <w:pPr>
              <w:pStyle w:val="BodyText"/>
              <w:rPr>
                <w:sz w:val="20"/>
              </w:rPr>
            </w:pPr>
            <w:r w:rsidRPr="00C8251D">
              <w:rPr>
                <w:sz w:val="20"/>
              </w:rPr>
              <w:t>Option 2 – Co-Regulatory Approach</w:t>
            </w:r>
          </w:p>
        </w:tc>
        <w:tc>
          <w:tcPr>
            <w:tcW w:w="2676" w:type="dxa"/>
            <w:vAlign w:val="center"/>
          </w:tcPr>
          <w:p w:rsidR="00DE2ECB" w:rsidRPr="00C8251D" w:rsidRDefault="00DE2ECB" w:rsidP="006F3822">
            <w:pPr>
              <w:pStyle w:val="BodyText"/>
              <w:jc w:val="right"/>
              <w:rPr>
                <w:sz w:val="20"/>
              </w:rPr>
            </w:pPr>
            <w:r>
              <w:rPr>
                <w:sz w:val="20"/>
              </w:rPr>
              <w:t>35-45 per cent</w:t>
            </w:r>
          </w:p>
        </w:tc>
        <w:tc>
          <w:tcPr>
            <w:tcW w:w="2676" w:type="dxa"/>
          </w:tcPr>
          <w:p w:rsidR="00DE2ECB" w:rsidRDefault="00DE2ECB" w:rsidP="00AB5CD9">
            <w:pPr>
              <w:pStyle w:val="BodyText"/>
              <w:jc w:val="right"/>
              <w:rPr>
                <w:sz w:val="20"/>
              </w:rPr>
            </w:pPr>
            <w:r>
              <w:rPr>
                <w:sz w:val="20"/>
              </w:rPr>
              <w:t>80 per cent</w:t>
            </w:r>
          </w:p>
        </w:tc>
      </w:tr>
      <w:tr w:rsidR="00DE2ECB" w:rsidRPr="00C8251D" w:rsidTr="00993FC3">
        <w:tc>
          <w:tcPr>
            <w:tcW w:w="3369" w:type="dxa"/>
            <w:shd w:val="clear" w:color="auto" w:fill="C6D9F1" w:themeFill="text2" w:themeFillTint="33"/>
          </w:tcPr>
          <w:p w:rsidR="00DE2ECB" w:rsidRPr="00C8251D" w:rsidRDefault="00DE2ECB" w:rsidP="006F3822">
            <w:pPr>
              <w:pStyle w:val="BodyText"/>
              <w:rPr>
                <w:sz w:val="20"/>
              </w:rPr>
            </w:pPr>
            <w:r w:rsidRPr="00C8251D">
              <w:rPr>
                <w:sz w:val="20"/>
              </w:rPr>
              <w:t>Option 3 – Mandatory Scheme</w:t>
            </w:r>
          </w:p>
        </w:tc>
        <w:tc>
          <w:tcPr>
            <w:tcW w:w="2676" w:type="dxa"/>
            <w:vAlign w:val="center"/>
          </w:tcPr>
          <w:p w:rsidR="00DE2ECB" w:rsidRPr="00C8251D" w:rsidRDefault="00DE2ECB" w:rsidP="006F3822">
            <w:pPr>
              <w:pStyle w:val="BodyText"/>
              <w:jc w:val="right"/>
              <w:rPr>
                <w:sz w:val="20"/>
              </w:rPr>
            </w:pPr>
            <w:r>
              <w:rPr>
                <w:sz w:val="20"/>
              </w:rPr>
              <w:t>70 per cent</w:t>
            </w:r>
          </w:p>
        </w:tc>
        <w:tc>
          <w:tcPr>
            <w:tcW w:w="2676" w:type="dxa"/>
          </w:tcPr>
          <w:p w:rsidR="00DE2ECB" w:rsidRDefault="00DE2ECB" w:rsidP="00AB5CD9">
            <w:pPr>
              <w:pStyle w:val="BodyText"/>
              <w:jc w:val="right"/>
              <w:rPr>
                <w:sz w:val="20"/>
              </w:rPr>
            </w:pPr>
            <w:r>
              <w:rPr>
                <w:sz w:val="20"/>
              </w:rPr>
              <w:t>80 per cent</w:t>
            </w:r>
          </w:p>
        </w:tc>
      </w:tr>
    </w:tbl>
    <w:p w:rsidR="007D4DF2" w:rsidRDefault="007D4DF2" w:rsidP="007D4DF2">
      <w:pPr>
        <w:pStyle w:val="Source"/>
      </w:pPr>
      <w:r>
        <w:t xml:space="preserve">NOTE: </w:t>
      </w:r>
      <w:r>
        <w:tab/>
        <w:t>Where ranges are reported the mid-point was used for the analysis and high and low ranges were included in sensitivity analysis.</w:t>
      </w:r>
    </w:p>
    <w:p w:rsidR="007D4DF2" w:rsidRPr="00452343" w:rsidRDefault="007D4DF2" w:rsidP="007D4DF2">
      <w:pPr>
        <w:pStyle w:val="Source"/>
      </w:pPr>
      <w:r>
        <w:t xml:space="preserve">Source: </w:t>
      </w:r>
      <w:r>
        <w:tab/>
        <w:t>Department of the Environment</w:t>
      </w:r>
    </w:p>
    <w:p w:rsidR="007A7415" w:rsidRDefault="001921E5" w:rsidP="004A1526">
      <w:pPr>
        <w:pStyle w:val="BodyText"/>
      </w:pPr>
      <w:r>
        <w:t>There are two primary</w:t>
      </w:r>
      <w:r w:rsidR="00205FF9">
        <w:t xml:space="preserve"> benefits associated with refrigerant </w:t>
      </w:r>
      <w:r>
        <w:t xml:space="preserve">gas </w:t>
      </w:r>
      <w:r w:rsidR="00205FF9">
        <w:t>recovery</w:t>
      </w:r>
      <w:r>
        <w:t>:</w:t>
      </w:r>
    </w:p>
    <w:p w:rsidR="001921E5" w:rsidRDefault="001921E5" w:rsidP="001921E5">
      <w:pPr>
        <w:pStyle w:val="BulletText"/>
      </w:pPr>
      <w:r>
        <w:t>a reduction in refrigerant gas related environmental emissions; and</w:t>
      </w:r>
    </w:p>
    <w:p w:rsidR="001921E5" w:rsidRDefault="001921E5" w:rsidP="001921E5">
      <w:pPr>
        <w:pStyle w:val="BulletText"/>
      </w:pPr>
      <w:proofErr w:type="gramStart"/>
      <w:r>
        <w:t>reuse</w:t>
      </w:r>
      <w:proofErr w:type="gramEnd"/>
      <w:r>
        <w:t xml:space="preserve"> of refrigerant gas in </w:t>
      </w:r>
      <w:r w:rsidR="00671CBE">
        <w:t xml:space="preserve">existing </w:t>
      </w:r>
      <w:r>
        <w:t xml:space="preserve">RAC equipment. </w:t>
      </w:r>
    </w:p>
    <w:p w:rsidR="00F268D2" w:rsidRDefault="00F268D2" w:rsidP="00F268D2">
      <w:pPr>
        <w:pStyle w:val="BodyText"/>
      </w:pPr>
      <w:r>
        <w:t>The benefit of a reduction in refrigerant gas related emissions was quantified based on the international price place</w:t>
      </w:r>
      <w:r w:rsidR="000E62FA">
        <w:t>d</w:t>
      </w:r>
      <w:r>
        <w:t xml:space="preserve"> on environmental emissions. Quantifying the benefit of reduced environmental emissions is based on the following:</w:t>
      </w:r>
    </w:p>
    <w:p w:rsidR="00F268D2" w:rsidRDefault="00F268D2" w:rsidP="00F268D2">
      <w:pPr>
        <w:pStyle w:val="BulletText"/>
      </w:pPr>
      <w:r>
        <w:t>assumptions regarding the type of refrigerant gases that will be released over the period of analysis;</w:t>
      </w:r>
    </w:p>
    <w:p w:rsidR="00F268D2" w:rsidRDefault="00F268D2" w:rsidP="00F268D2">
      <w:pPr>
        <w:pStyle w:val="BulletText"/>
      </w:pPr>
      <w:r>
        <w:t>application of the appropriate global warming potential measure; and</w:t>
      </w:r>
    </w:p>
    <w:p w:rsidR="00F268D2" w:rsidRDefault="00F268D2" w:rsidP="00F268D2">
      <w:pPr>
        <w:pStyle w:val="BulletText"/>
      </w:pPr>
      <w:proofErr w:type="gramStart"/>
      <w:r>
        <w:t>application</w:t>
      </w:r>
      <w:proofErr w:type="gramEnd"/>
      <w:r>
        <w:t xml:space="preserve"> of a value of the GHG emissions to the atmosphere.</w:t>
      </w:r>
    </w:p>
    <w:p w:rsidR="000E62FA" w:rsidRDefault="000E62FA" w:rsidP="00F268D2">
      <w:pPr>
        <w:pStyle w:val="BodyText"/>
      </w:pPr>
      <w:r>
        <w:t>The most common refrigerant gas types have been used to calculate the environmental impact. For refrigerators, R134a has been used as it is the most common refrigerant used in domestic refrigerators during the period of analysis, accounting for 93 per cent of all stock. For air conditioners, R22 has been used as it is the most common refrigerant in domestic air conditioners during the period of analysis. Other refrigerant gases will also be found in end-of-life domestic RAC, during the period 2014-2024, however, they have been excluded from analysis</w:t>
      </w:r>
      <w:r w:rsidR="00127A5E">
        <w:rPr>
          <w:rStyle w:val="FootnoteReference"/>
        </w:rPr>
        <w:footnoteReference w:id="24"/>
      </w:r>
      <w:r>
        <w:t>.</w:t>
      </w:r>
    </w:p>
    <w:p w:rsidR="00127A5E" w:rsidRDefault="00127A5E" w:rsidP="00127A5E">
      <w:pPr>
        <w:pStyle w:val="BodyText"/>
      </w:pPr>
      <w:r>
        <w:t>Both R22 and R134a have high global warming</w:t>
      </w:r>
      <w:r w:rsidRPr="006531F0">
        <w:t xml:space="preserve"> </w:t>
      </w:r>
      <w:r>
        <w:t>potentials (</w:t>
      </w:r>
      <w:r w:rsidRPr="006531F0">
        <w:t>GWP</w:t>
      </w:r>
      <w:r>
        <w:t>)</w:t>
      </w:r>
      <w:r w:rsidRPr="006531F0">
        <w:t xml:space="preserve"> </w:t>
      </w:r>
      <w:r>
        <w:t xml:space="preserve">which represents their </w:t>
      </w:r>
      <w:r w:rsidRPr="006531F0">
        <w:t>global warming impact relative to carbon dioxide (CO</w:t>
      </w:r>
      <w:r w:rsidRPr="007E222E">
        <w:rPr>
          <w:vertAlign w:val="subscript"/>
        </w:rPr>
        <w:t>2</w:t>
      </w:r>
      <w:r w:rsidRPr="006531F0">
        <w:t xml:space="preserve">). </w:t>
      </w:r>
      <w:r>
        <w:t>The GWP of the refrigerant gases are assumed to be:</w:t>
      </w:r>
    </w:p>
    <w:p w:rsidR="0081406E" w:rsidRDefault="00A877EF">
      <w:pPr>
        <w:pStyle w:val="BulletText"/>
      </w:pPr>
      <w:r>
        <w:lastRenderedPageBreak/>
        <w:t>1,810 for R22; and</w:t>
      </w:r>
    </w:p>
    <w:p w:rsidR="0081406E" w:rsidRDefault="00A877EF">
      <w:pPr>
        <w:pStyle w:val="BulletText"/>
      </w:pPr>
      <w:r>
        <w:t>1,430 for R134a.</w:t>
      </w:r>
      <w:r>
        <w:rPr>
          <w:rStyle w:val="FootnoteReference"/>
        </w:rPr>
        <w:footnoteReference w:id="25"/>
      </w:r>
    </w:p>
    <w:p w:rsidR="00586D48" w:rsidRDefault="00127A5E">
      <w:pPr>
        <w:pStyle w:val="BodyText"/>
      </w:pPr>
      <w:r>
        <w:t xml:space="preserve">The GWP values are </w:t>
      </w:r>
      <w:r w:rsidRPr="00BB58E8">
        <w:t>calculated using the Intergovernmental Panel on Climate Change (IPCC) Fourth Ass</w:t>
      </w:r>
      <w:r>
        <w:t>essment Report (AR4) GWP values</w:t>
      </w:r>
      <w:r w:rsidRPr="00BB58E8">
        <w:t xml:space="preserve"> which </w:t>
      </w:r>
      <w:r>
        <w:t xml:space="preserve">Australia currently uses to report its </w:t>
      </w:r>
      <w:r w:rsidRPr="00FD4C5E">
        <w:t>United Nations Framework Convention on Climate Change</w:t>
      </w:r>
      <w:r>
        <w:t xml:space="preserve"> (UNFCCC) commitments. </w:t>
      </w:r>
    </w:p>
    <w:p w:rsidR="007E3ABF" w:rsidRDefault="007E3ABF" w:rsidP="00F268D2">
      <w:pPr>
        <w:pStyle w:val="BodyText"/>
      </w:pPr>
      <w:r>
        <w:t xml:space="preserve">Global warming caused by substances such as refrigerants potentially has a number of </w:t>
      </w:r>
      <w:r w:rsidR="004071E5">
        <w:t xml:space="preserve">global </w:t>
      </w:r>
      <w:r>
        <w:t>environmental consequences, including:</w:t>
      </w:r>
    </w:p>
    <w:p w:rsidR="0081406E" w:rsidRDefault="007E3ABF">
      <w:pPr>
        <w:pStyle w:val="BulletText"/>
      </w:pPr>
      <w:r>
        <w:t>sea-level rises;</w:t>
      </w:r>
    </w:p>
    <w:p w:rsidR="0081406E" w:rsidRDefault="007E3ABF">
      <w:pPr>
        <w:pStyle w:val="BulletText"/>
      </w:pPr>
      <w:r>
        <w:t>ocean acidification;</w:t>
      </w:r>
    </w:p>
    <w:p w:rsidR="0081406E" w:rsidRDefault="007E3ABF">
      <w:pPr>
        <w:pStyle w:val="BulletText"/>
      </w:pPr>
      <w:r>
        <w:t>change in rainfall patterns; and</w:t>
      </w:r>
    </w:p>
    <w:p w:rsidR="0081406E" w:rsidRDefault="007E3ABF">
      <w:pPr>
        <w:pStyle w:val="BulletText"/>
      </w:pPr>
      <w:proofErr w:type="gramStart"/>
      <w:r>
        <w:t>increased</w:t>
      </w:r>
      <w:proofErr w:type="gramEnd"/>
      <w:r>
        <w:t xml:space="preserve"> risk of natural disaster (including storms and droughts).</w:t>
      </w:r>
      <w:r>
        <w:rPr>
          <w:rStyle w:val="FootnoteReference"/>
        </w:rPr>
        <w:footnoteReference w:id="26"/>
      </w:r>
    </w:p>
    <w:p w:rsidR="004071E5" w:rsidRDefault="004071E5" w:rsidP="004071E5">
      <w:pPr>
        <w:pStyle w:val="BodyText"/>
        <w:rPr>
          <w:color w:val="000000"/>
        </w:rPr>
      </w:pPr>
      <w:r>
        <w:rPr>
          <w:color w:val="000000"/>
        </w:rPr>
        <w:t>In Australia, potential consequences of climate change include:</w:t>
      </w:r>
    </w:p>
    <w:p w:rsidR="0081406E" w:rsidRDefault="004071E5">
      <w:pPr>
        <w:pStyle w:val="BulletText"/>
      </w:pPr>
      <w:r>
        <w:t xml:space="preserve">temperature increases with more </w:t>
      </w:r>
      <w:r w:rsidR="00AD4813">
        <w:t>hot days and less cool days;</w:t>
      </w:r>
    </w:p>
    <w:p w:rsidR="0081406E" w:rsidRDefault="00AD4813">
      <w:pPr>
        <w:pStyle w:val="BulletText"/>
      </w:pPr>
      <w:r>
        <w:t>an increase in the number of extreme fire weather days in southern Australia;</w:t>
      </w:r>
    </w:p>
    <w:p w:rsidR="0081406E" w:rsidRDefault="00AD4813">
      <w:pPr>
        <w:pStyle w:val="BulletText"/>
      </w:pPr>
      <w:r>
        <w:t>higher incidence of drought in southern Australia;</w:t>
      </w:r>
    </w:p>
    <w:p w:rsidR="0081406E" w:rsidRDefault="00AD4813">
      <w:pPr>
        <w:pStyle w:val="BulletText"/>
      </w:pPr>
      <w:r>
        <w:t>sea-level rise;</w:t>
      </w:r>
    </w:p>
    <w:p w:rsidR="0081406E" w:rsidRDefault="00AD4813">
      <w:pPr>
        <w:pStyle w:val="BulletText"/>
      </w:pPr>
      <w:r>
        <w:t>higher intensity of tropical cyclones; and</w:t>
      </w:r>
    </w:p>
    <w:p w:rsidR="0081406E" w:rsidRDefault="00AD4813">
      <w:pPr>
        <w:pStyle w:val="BulletText"/>
      </w:pPr>
      <w:proofErr w:type="gramStart"/>
      <w:r>
        <w:t>greater</w:t>
      </w:r>
      <w:proofErr w:type="gramEnd"/>
      <w:r>
        <w:t xml:space="preserve"> intensity and frequency of extreme rainfall days</w:t>
      </w:r>
      <w:r>
        <w:rPr>
          <w:rStyle w:val="FootnoteReference"/>
        </w:rPr>
        <w:footnoteReference w:id="27"/>
      </w:r>
      <w:r>
        <w:t xml:space="preserve">. </w:t>
      </w:r>
    </w:p>
    <w:p w:rsidR="00997552" w:rsidRDefault="00090B6E" w:rsidP="00F268D2">
      <w:pPr>
        <w:pStyle w:val="BodyText"/>
      </w:pPr>
      <w:r>
        <w:t xml:space="preserve">As outlined in </w:t>
      </w:r>
      <w:r w:rsidR="00586F30">
        <w:fldChar w:fldCharType="begin"/>
      </w:r>
      <w:r>
        <w:instrText xml:space="preserve"> REF _Ref393088298 \h </w:instrText>
      </w:r>
      <w:r w:rsidR="00586F30">
        <w:fldChar w:fldCharType="separate"/>
      </w:r>
      <w:r w:rsidR="001E5D7A">
        <w:t xml:space="preserve">Table </w:t>
      </w:r>
      <w:r w:rsidR="001E5D7A">
        <w:rPr>
          <w:noProof/>
        </w:rPr>
        <w:t>4</w:t>
      </w:r>
      <w:r w:rsidR="001E5D7A">
        <w:noBreakHyphen/>
      </w:r>
      <w:r w:rsidR="001E5D7A">
        <w:rPr>
          <w:noProof/>
        </w:rPr>
        <w:t>13</w:t>
      </w:r>
      <w:r w:rsidR="00586F30">
        <w:fldChar w:fldCharType="end"/>
      </w:r>
      <w:r>
        <w:t>, t</w:t>
      </w:r>
      <w:r w:rsidR="00997552">
        <w:t>here are a number of approaches to quantifyi</w:t>
      </w:r>
      <w:r>
        <w:t>ng the cost of carbon emissions.</w:t>
      </w:r>
    </w:p>
    <w:p w:rsidR="0081406E" w:rsidRDefault="00997552">
      <w:pPr>
        <w:pStyle w:val="Caption"/>
      </w:pPr>
      <w:bookmarkStart w:id="58" w:name="_Ref393088298"/>
      <w:r>
        <w:t xml:space="preserve">Table </w:t>
      </w:r>
      <w:r w:rsidR="00586F30">
        <w:fldChar w:fldCharType="begin"/>
      </w:r>
      <w:r w:rsidR="00C478AE">
        <w:instrText xml:space="preserve"> STYLEREF 1 \s </w:instrText>
      </w:r>
      <w:r w:rsidR="00586F30">
        <w:fldChar w:fldCharType="separate"/>
      </w:r>
      <w:r w:rsidR="001E5D7A">
        <w:rPr>
          <w:noProof/>
        </w:rPr>
        <w:t>4</w:t>
      </w:r>
      <w:r w:rsidR="00586F30">
        <w:rPr>
          <w:noProof/>
        </w:rPr>
        <w:fldChar w:fldCharType="end"/>
      </w:r>
      <w:r w:rsidR="00CE3BAC">
        <w:noBreakHyphen/>
      </w:r>
      <w:r w:rsidR="00586F30">
        <w:fldChar w:fldCharType="begin"/>
      </w:r>
      <w:r w:rsidR="00C478AE">
        <w:instrText xml:space="preserve"> SEQ Table \* ARABIC \s 1 </w:instrText>
      </w:r>
      <w:r w:rsidR="00586F30">
        <w:fldChar w:fldCharType="separate"/>
      </w:r>
      <w:r w:rsidR="001E5D7A">
        <w:rPr>
          <w:noProof/>
        </w:rPr>
        <w:t>13</w:t>
      </w:r>
      <w:r w:rsidR="00586F30">
        <w:rPr>
          <w:noProof/>
        </w:rPr>
        <w:fldChar w:fldCharType="end"/>
      </w:r>
      <w:bookmarkEnd w:id="58"/>
      <w:r>
        <w:t xml:space="preserve">: </w:t>
      </w:r>
      <w:r w:rsidR="00BB6CB1">
        <w:t>Approaches to quantifying the cost of carbon emissions</w:t>
      </w:r>
    </w:p>
    <w:tbl>
      <w:tblPr>
        <w:tblStyle w:val="TableGrid"/>
        <w:tblW w:w="0" w:type="auto"/>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tblPr>
      <w:tblGrid>
        <w:gridCol w:w="1809"/>
        <w:gridCol w:w="6804"/>
      </w:tblGrid>
      <w:tr w:rsidR="00997552" w:rsidRPr="00127A5E" w:rsidTr="00090B6E">
        <w:trPr>
          <w:tblHeader/>
        </w:trPr>
        <w:tc>
          <w:tcPr>
            <w:tcW w:w="1809" w:type="dxa"/>
            <w:shd w:val="clear" w:color="auto" w:fill="1F497D" w:themeFill="text2"/>
            <w:vAlign w:val="center"/>
          </w:tcPr>
          <w:p w:rsidR="00997552" w:rsidRPr="00127A5E" w:rsidRDefault="00997552" w:rsidP="00C23FCB">
            <w:pPr>
              <w:pStyle w:val="BodyText"/>
              <w:jc w:val="left"/>
              <w:rPr>
                <w:b/>
                <w:color w:val="FFFFFF" w:themeColor="background1"/>
                <w:sz w:val="20"/>
              </w:rPr>
            </w:pPr>
            <w:r w:rsidRPr="00127A5E">
              <w:rPr>
                <w:b/>
                <w:color w:val="FFFFFF" w:themeColor="background1"/>
                <w:sz w:val="20"/>
              </w:rPr>
              <w:t>Approach</w:t>
            </w:r>
          </w:p>
        </w:tc>
        <w:tc>
          <w:tcPr>
            <w:tcW w:w="6804" w:type="dxa"/>
            <w:shd w:val="clear" w:color="auto" w:fill="1F497D" w:themeFill="text2"/>
            <w:vAlign w:val="center"/>
          </w:tcPr>
          <w:p w:rsidR="00997552" w:rsidRPr="00127A5E" w:rsidRDefault="00997552" w:rsidP="00C23FCB">
            <w:pPr>
              <w:pStyle w:val="BodyText"/>
              <w:jc w:val="right"/>
              <w:rPr>
                <w:b/>
                <w:color w:val="FFFFFF" w:themeColor="background1"/>
                <w:sz w:val="20"/>
              </w:rPr>
            </w:pPr>
            <w:r w:rsidRPr="00127A5E">
              <w:rPr>
                <w:b/>
                <w:color w:val="FFFFFF" w:themeColor="background1"/>
                <w:sz w:val="20"/>
              </w:rPr>
              <w:t>Description</w:t>
            </w:r>
          </w:p>
        </w:tc>
      </w:tr>
      <w:tr w:rsidR="00997552" w:rsidRPr="00127A5E" w:rsidTr="00090B6E">
        <w:tc>
          <w:tcPr>
            <w:tcW w:w="1809" w:type="dxa"/>
            <w:shd w:val="clear" w:color="auto" w:fill="C6D9F1" w:themeFill="text2" w:themeFillTint="33"/>
          </w:tcPr>
          <w:p w:rsidR="00997552" w:rsidRPr="00127A5E" w:rsidRDefault="00997552" w:rsidP="00090B6E">
            <w:pPr>
              <w:pStyle w:val="BodyText"/>
              <w:jc w:val="left"/>
              <w:rPr>
                <w:sz w:val="20"/>
              </w:rPr>
            </w:pPr>
            <w:r w:rsidRPr="00127A5E">
              <w:rPr>
                <w:sz w:val="20"/>
              </w:rPr>
              <w:t>Social Cost of Carbon</w:t>
            </w:r>
          </w:p>
        </w:tc>
        <w:tc>
          <w:tcPr>
            <w:tcW w:w="6804" w:type="dxa"/>
            <w:vAlign w:val="center"/>
          </w:tcPr>
          <w:p w:rsidR="00997552" w:rsidRPr="00127A5E" w:rsidRDefault="004C7F41" w:rsidP="00127A5E">
            <w:pPr>
              <w:pStyle w:val="BodyText"/>
              <w:jc w:val="right"/>
              <w:rPr>
                <w:sz w:val="20"/>
              </w:rPr>
            </w:pPr>
            <w:r w:rsidRPr="004C7F41">
              <w:rPr>
                <w:sz w:val="20"/>
              </w:rPr>
              <w:t>The full global cost of an incremental unit of carbon (or equivalent amount of other greenhouse gases) summing to the full global cost of the damages imposed over the whole of its time in the atmosphere. The social cost of carbon provides an indication of the amount society should be willing to pay now to avoid future damage caused by carbon emission.</w:t>
            </w:r>
          </w:p>
        </w:tc>
      </w:tr>
      <w:tr w:rsidR="00997552" w:rsidRPr="00127A5E" w:rsidTr="00090B6E">
        <w:tc>
          <w:tcPr>
            <w:tcW w:w="1809" w:type="dxa"/>
            <w:shd w:val="clear" w:color="auto" w:fill="C6D9F1" w:themeFill="text2" w:themeFillTint="33"/>
          </w:tcPr>
          <w:p w:rsidR="00997552" w:rsidRPr="00127A5E" w:rsidRDefault="00997552" w:rsidP="00090B6E">
            <w:pPr>
              <w:pStyle w:val="BodyText"/>
              <w:jc w:val="left"/>
              <w:rPr>
                <w:sz w:val="20"/>
              </w:rPr>
            </w:pPr>
            <w:r w:rsidRPr="00127A5E">
              <w:rPr>
                <w:sz w:val="20"/>
              </w:rPr>
              <w:t>Market Price of Carbon</w:t>
            </w:r>
          </w:p>
        </w:tc>
        <w:tc>
          <w:tcPr>
            <w:tcW w:w="6804" w:type="dxa"/>
            <w:vAlign w:val="center"/>
          </w:tcPr>
          <w:p w:rsidR="00997552" w:rsidRPr="00127A5E" w:rsidRDefault="00BB6CB1" w:rsidP="00C23FCB">
            <w:pPr>
              <w:pStyle w:val="BodyText"/>
              <w:jc w:val="right"/>
              <w:rPr>
                <w:sz w:val="20"/>
              </w:rPr>
            </w:pPr>
            <w:r w:rsidRPr="00127A5E">
              <w:rPr>
                <w:sz w:val="20"/>
              </w:rPr>
              <w:t>The value of carbon emission rights to those in the market given the constraints on supply of these rights to emit imposed by current policy.</w:t>
            </w:r>
          </w:p>
        </w:tc>
      </w:tr>
      <w:tr w:rsidR="00997552" w:rsidRPr="00127A5E" w:rsidTr="00090B6E">
        <w:tc>
          <w:tcPr>
            <w:tcW w:w="1809" w:type="dxa"/>
            <w:shd w:val="clear" w:color="auto" w:fill="C6D9F1" w:themeFill="text2" w:themeFillTint="33"/>
          </w:tcPr>
          <w:p w:rsidR="00997552" w:rsidRPr="00127A5E" w:rsidRDefault="00997552" w:rsidP="00090B6E">
            <w:pPr>
              <w:pStyle w:val="BodyText"/>
              <w:jc w:val="left"/>
              <w:rPr>
                <w:sz w:val="20"/>
              </w:rPr>
            </w:pPr>
            <w:r w:rsidRPr="00127A5E">
              <w:rPr>
                <w:sz w:val="20"/>
              </w:rPr>
              <w:t xml:space="preserve">Marginal </w:t>
            </w:r>
            <w:r w:rsidRPr="00127A5E">
              <w:rPr>
                <w:sz w:val="20"/>
              </w:rPr>
              <w:lastRenderedPageBreak/>
              <w:t>Abatement Cost</w:t>
            </w:r>
          </w:p>
        </w:tc>
        <w:tc>
          <w:tcPr>
            <w:tcW w:w="6804" w:type="dxa"/>
          </w:tcPr>
          <w:p w:rsidR="003F75B8" w:rsidRPr="00127A5E" w:rsidRDefault="00BB6CB1" w:rsidP="00090B6E">
            <w:pPr>
              <w:pStyle w:val="BodyText"/>
              <w:jc w:val="right"/>
              <w:rPr>
                <w:sz w:val="20"/>
              </w:rPr>
            </w:pPr>
            <w:r w:rsidRPr="00127A5E">
              <w:rPr>
                <w:sz w:val="20"/>
              </w:rPr>
              <w:lastRenderedPageBreak/>
              <w:t xml:space="preserve">The cost of reducing emissions (rather than the damage imposed by creating </w:t>
            </w:r>
            <w:r w:rsidRPr="00127A5E">
              <w:rPr>
                <w:sz w:val="20"/>
              </w:rPr>
              <w:lastRenderedPageBreak/>
              <w:t>emissions).</w:t>
            </w:r>
          </w:p>
        </w:tc>
      </w:tr>
    </w:tbl>
    <w:p w:rsidR="00B40723" w:rsidRDefault="00B40723" w:rsidP="00F268D2">
      <w:pPr>
        <w:pStyle w:val="BodyText"/>
      </w:pPr>
      <w:r>
        <w:lastRenderedPageBreak/>
        <w:t xml:space="preserve">Under certain assumptions, the three measures of the cost of carbon are consistent at the margin. The market price and marginal abatement cost would be expected to be broadly equal if the carbon market covers all emissions and is competitive. </w:t>
      </w:r>
      <w:r w:rsidR="00481D60">
        <w:t>From an economic optimisation perspective, the optimal carbon concentration level is where the social cost of carbon is equal</w:t>
      </w:r>
      <w:r w:rsidR="00FA7B8C">
        <w:t xml:space="preserve"> to the marginal abatement cost required to achieve this level. If the marginal abatement cost is below the social cost of carbon, it is cost effective to abate further. If the marginal abatement cost is above the social cost of carbon, lower abatement targets could be considered. </w:t>
      </w:r>
    </w:p>
    <w:p w:rsidR="00F268D2" w:rsidRDefault="00AB4B1A" w:rsidP="00F268D2">
      <w:pPr>
        <w:pStyle w:val="BodyText"/>
      </w:pPr>
      <w:r>
        <w:t>Based on advice from the Department of the Environment, t</w:t>
      </w:r>
      <w:r w:rsidR="00F268D2">
        <w:t xml:space="preserve">he value of GHG emissions assumed for the analysis is equivalent to the shadow carbon price </w:t>
      </w:r>
      <w:r w:rsidR="00127A5E">
        <w:t>modelled for the Independent Expert Panel reviewing the RET scheme</w:t>
      </w:r>
      <w:r w:rsidR="00127A5E" w:rsidDel="00127A5E">
        <w:t xml:space="preserve"> </w:t>
      </w:r>
      <w:r w:rsidR="00F268D2">
        <w:rPr>
          <w:rStyle w:val="FootnoteReference"/>
        </w:rPr>
        <w:footnoteReference w:id="28"/>
      </w:r>
      <w:r w:rsidR="00F268D2">
        <w:t xml:space="preserve">. </w:t>
      </w:r>
      <w:r w:rsidR="00674B58">
        <w:t>The shadow carbon price</w:t>
      </w:r>
      <w:r w:rsidR="00127A5E">
        <w:t xml:space="preserve"> </w:t>
      </w:r>
      <w:r w:rsidR="00674B58">
        <w:t xml:space="preserve">is </w:t>
      </w:r>
      <w:r w:rsidR="00D413E9">
        <w:t>based on the spot market price for</w:t>
      </w:r>
      <w:r w:rsidR="00674B58">
        <w:t xml:space="preserve"> European permits and is approximately $9.50 per tonne of </w:t>
      </w:r>
      <w:r w:rsidR="00090B6E">
        <w:t>carbon</w:t>
      </w:r>
      <w:r w:rsidR="00674B58">
        <w:t>, escalating at 3 per cent in real terms</w:t>
      </w:r>
      <w:r w:rsidR="00C23FCB">
        <w:rPr>
          <w:rStyle w:val="FootnoteReference"/>
        </w:rPr>
        <w:footnoteReference w:id="29"/>
      </w:r>
      <w:r w:rsidR="00674B58">
        <w:t xml:space="preserve">. </w:t>
      </w:r>
      <w:r w:rsidR="00D413E9">
        <w:t xml:space="preserve">The shadow carbon price was applied to the expected refrigerant gas recovery rates under each option and the assumed global warming potential outlined above. </w:t>
      </w:r>
    </w:p>
    <w:p w:rsidR="007D4DF2" w:rsidRDefault="007D4DF2" w:rsidP="001921E5">
      <w:pPr>
        <w:pStyle w:val="BodyText"/>
      </w:pPr>
      <w:r>
        <w:t xml:space="preserve">The benefits of </w:t>
      </w:r>
      <w:r w:rsidR="007E33A4">
        <w:t xml:space="preserve">reduced environmental emissions from refrigerant gases </w:t>
      </w:r>
      <w:r w:rsidR="00CD093A">
        <w:t xml:space="preserve">over the 10 years of the analysis </w:t>
      </w:r>
      <w:r w:rsidR="007E33A4">
        <w:t xml:space="preserve">are outlined in </w:t>
      </w:r>
      <w:r w:rsidR="00586F30">
        <w:fldChar w:fldCharType="begin"/>
      </w:r>
      <w:r w:rsidR="007E33A4">
        <w:instrText xml:space="preserve"> REF _Ref391317943 \h </w:instrText>
      </w:r>
      <w:r w:rsidR="00586F30">
        <w:fldChar w:fldCharType="separate"/>
      </w:r>
      <w:r w:rsidR="001E5D7A">
        <w:t xml:space="preserve">Table </w:t>
      </w:r>
      <w:r w:rsidR="001E5D7A">
        <w:rPr>
          <w:noProof/>
        </w:rPr>
        <w:t>4</w:t>
      </w:r>
      <w:r w:rsidR="001E5D7A">
        <w:noBreakHyphen/>
      </w:r>
      <w:r w:rsidR="001E5D7A">
        <w:rPr>
          <w:noProof/>
        </w:rPr>
        <w:t>14</w:t>
      </w:r>
      <w:r w:rsidR="00586F30">
        <w:fldChar w:fldCharType="end"/>
      </w:r>
      <w:r w:rsidR="006F155E">
        <w:t>.</w:t>
      </w:r>
      <w:r w:rsidR="00CD093A">
        <w:t xml:space="preserve"> Annual benefit estimates are outlined in Appendix D. </w:t>
      </w:r>
    </w:p>
    <w:p w:rsidR="007E33A4" w:rsidRDefault="007E33A4" w:rsidP="007E33A4">
      <w:pPr>
        <w:pStyle w:val="Caption"/>
      </w:pPr>
      <w:bookmarkStart w:id="59" w:name="_Ref392673732"/>
      <w:bookmarkStart w:id="60" w:name="_Ref391317943"/>
      <w:r>
        <w:t xml:space="preserve">Table </w:t>
      </w:r>
      <w:r w:rsidR="00586F30">
        <w:fldChar w:fldCharType="begin"/>
      </w:r>
      <w:r w:rsidR="00C478AE">
        <w:instrText xml:space="preserve"> STYLEREF 1 \s </w:instrText>
      </w:r>
      <w:r w:rsidR="00586F30">
        <w:fldChar w:fldCharType="separate"/>
      </w:r>
      <w:r w:rsidR="001E5D7A">
        <w:rPr>
          <w:noProof/>
        </w:rPr>
        <w:t>4</w:t>
      </w:r>
      <w:r w:rsidR="00586F30">
        <w:rPr>
          <w:noProof/>
        </w:rPr>
        <w:fldChar w:fldCharType="end"/>
      </w:r>
      <w:r w:rsidR="00CE3BAC">
        <w:noBreakHyphen/>
      </w:r>
      <w:r w:rsidR="00586F30">
        <w:fldChar w:fldCharType="begin"/>
      </w:r>
      <w:r w:rsidR="00C478AE">
        <w:instrText xml:space="preserve"> SEQ Table \* ARABIC \s 1 </w:instrText>
      </w:r>
      <w:r w:rsidR="00586F30">
        <w:fldChar w:fldCharType="separate"/>
      </w:r>
      <w:r w:rsidR="001E5D7A">
        <w:rPr>
          <w:noProof/>
        </w:rPr>
        <w:t>14</w:t>
      </w:r>
      <w:r w:rsidR="00586F30">
        <w:rPr>
          <w:noProof/>
        </w:rPr>
        <w:fldChar w:fldCharType="end"/>
      </w:r>
      <w:bookmarkEnd w:id="59"/>
      <w:bookmarkEnd w:id="60"/>
      <w:r>
        <w:t xml:space="preserve">: Refrigerant gas recovery </w:t>
      </w:r>
      <w:r w:rsidR="004F52DD">
        <w:t xml:space="preserve">emission reduction </w:t>
      </w:r>
      <w:r>
        <w:t>benefits (PV @ 7% $ million)</w:t>
      </w:r>
    </w:p>
    <w:tbl>
      <w:tblPr>
        <w:tblStyle w:val="TableGrid"/>
        <w:tblW w:w="0" w:type="auto"/>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tblPr>
      <w:tblGrid>
        <w:gridCol w:w="3227"/>
        <w:gridCol w:w="5386"/>
      </w:tblGrid>
      <w:tr w:rsidR="00A45495" w:rsidRPr="00C8251D" w:rsidTr="00A45495">
        <w:trPr>
          <w:trHeight w:val="361"/>
        </w:trPr>
        <w:tc>
          <w:tcPr>
            <w:tcW w:w="3227" w:type="dxa"/>
            <w:vMerge w:val="restart"/>
            <w:shd w:val="clear" w:color="auto" w:fill="1F497D" w:themeFill="text2"/>
            <w:vAlign w:val="center"/>
          </w:tcPr>
          <w:p w:rsidR="00A45495" w:rsidRDefault="00A45495" w:rsidP="006F3822">
            <w:pPr>
              <w:pStyle w:val="BodyText"/>
              <w:jc w:val="left"/>
              <w:rPr>
                <w:b/>
                <w:color w:val="FFFFFF" w:themeColor="background1"/>
                <w:sz w:val="20"/>
              </w:rPr>
            </w:pPr>
            <w:r>
              <w:rPr>
                <w:b/>
                <w:color w:val="FFFFFF" w:themeColor="background1"/>
                <w:sz w:val="20"/>
              </w:rPr>
              <w:t>Option</w:t>
            </w:r>
          </w:p>
        </w:tc>
        <w:tc>
          <w:tcPr>
            <w:tcW w:w="5386" w:type="dxa"/>
            <w:shd w:val="clear" w:color="auto" w:fill="1F497D" w:themeFill="text2"/>
            <w:vAlign w:val="center"/>
          </w:tcPr>
          <w:p w:rsidR="00A45495" w:rsidRPr="00A45495" w:rsidRDefault="004C7F41" w:rsidP="006F3822">
            <w:pPr>
              <w:pStyle w:val="BodyText"/>
              <w:jc w:val="right"/>
              <w:rPr>
                <w:b/>
                <w:color w:val="FFFFFF" w:themeColor="background1"/>
                <w:sz w:val="20"/>
              </w:rPr>
            </w:pPr>
            <w:r w:rsidRPr="004C7F41">
              <w:rPr>
                <w:b/>
                <w:color w:val="FFFFFF" w:themeColor="background1"/>
              </w:rPr>
              <w:t>PV @ 7% $ million</w:t>
            </w:r>
            <w:r w:rsidR="00CD093A">
              <w:rPr>
                <w:b/>
                <w:color w:val="FFFFFF" w:themeColor="background1"/>
              </w:rPr>
              <w:t xml:space="preserve"> (2014-2024)</w:t>
            </w:r>
          </w:p>
        </w:tc>
      </w:tr>
      <w:tr w:rsidR="00A45495" w:rsidRPr="00C8251D" w:rsidTr="006F3822">
        <w:tc>
          <w:tcPr>
            <w:tcW w:w="3227" w:type="dxa"/>
            <w:vMerge/>
            <w:shd w:val="clear" w:color="auto" w:fill="1F497D" w:themeFill="text2"/>
            <w:vAlign w:val="center"/>
          </w:tcPr>
          <w:p w:rsidR="00A45495" w:rsidRPr="008610E0" w:rsidRDefault="00A45495" w:rsidP="006F3822">
            <w:pPr>
              <w:pStyle w:val="BodyText"/>
              <w:jc w:val="left"/>
              <w:rPr>
                <w:b/>
                <w:color w:val="FFFFFF" w:themeColor="background1"/>
                <w:sz w:val="20"/>
              </w:rPr>
            </w:pPr>
          </w:p>
        </w:tc>
        <w:tc>
          <w:tcPr>
            <w:tcW w:w="5386" w:type="dxa"/>
            <w:shd w:val="clear" w:color="auto" w:fill="1F497D" w:themeFill="text2"/>
            <w:vAlign w:val="center"/>
          </w:tcPr>
          <w:p w:rsidR="00A45495" w:rsidRPr="008610E0" w:rsidRDefault="00A45495" w:rsidP="006F3822">
            <w:pPr>
              <w:pStyle w:val="BodyText"/>
              <w:jc w:val="right"/>
              <w:rPr>
                <w:b/>
                <w:color w:val="FFFFFF" w:themeColor="background1"/>
                <w:sz w:val="20"/>
              </w:rPr>
            </w:pPr>
            <w:r>
              <w:rPr>
                <w:b/>
                <w:color w:val="FFFFFF" w:themeColor="background1"/>
                <w:sz w:val="20"/>
              </w:rPr>
              <w:t>Reduced environmental emissions</w:t>
            </w:r>
          </w:p>
        </w:tc>
      </w:tr>
      <w:tr w:rsidR="00A877EF" w:rsidRPr="00C8251D" w:rsidTr="00580CBD">
        <w:tc>
          <w:tcPr>
            <w:tcW w:w="3227" w:type="dxa"/>
            <w:shd w:val="clear" w:color="auto" w:fill="C6D9F1" w:themeFill="text2" w:themeFillTint="33"/>
          </w:tcPr>
          <w:p w:rsidR="00A877EF" w:rsidRPr="00C8251D" w:rsidRDefault="00A877EF" w:rsidP="006F3822">
            <w:pPr>
              <w:pStyle w:val="BodyText"/>
              <w:rPr>
                <w:sz w:val="20"/>
              </w:rPr>
            </w:pPr>
            <w:r w:rsidRPr="00C8251D">
              <w:rPr>
                <w:sz w:val="20"/>
              </w:rPr>
              <w:t>Option 1 – Voluntary Scheme</w:t>
            </w:r>
          </w:p>
        </w:tc>
        <w:tc>
          <w:tcPr>
            <w:tcW w:w="5386" w:type="dxa"/>
            <w:vAlign w:val="bottom"/>
          </w:tcPr>
          <w:p w:rsidR="00A877EF" w:rsidRPr="008610E0" w:rsidRDefault="00A877EF" w:rsidP="006F3822">
            <w:pPr>
              <w:pStyle w:val="BodyText"/>
              <w:jc w:val="right"/>
              <w:rPr>
                <w:sz w:val="20"/>
              </w:rPr>
            </w:pPr>
            <w:r>
              <w:rPr>
                <w:color w:val="000000"/>
                <w:sz w:val="20"/>
              </w:rPr>
              <w:t>$1.3</w:t>
            </w:r>
          </w:p>
        </w:tc>
      </w:tr>
      <w:tr w:rsidR="00A877EF" w:rsidRPr="00C8251D" w:rsidTr="00580CBD">
        <w:tc>
          <w:tcPr>
            <w:tcW w:w="3227" w:type="dxa"/>
            <w:shd w:val="clear" w:color="auto" w:fill="C6D9F1" w:themeFill="text2" w:themeFillTint="33"/>
          </w:tcPr>
          <w:p w:rsidR="00A877EF" w:rsidRPr="00C8251D" w:rsidRDefault="00A877EF" w:rsidP="006F3822">
            <w:pPr>
              <w:pStyle w:val="BodyText"/>
              <w:rPr>
                <w:sz w:val="20"/>
              </w:rPr>
            </w:pPr>
            <w:r w:rsidRPr="00C8251D">
              <w:rPr>
                <w:sz w:val="20"/>
              </w:rPr>
              <w:t>Option 2 – Co-Regulatory Approach</w:t>
            </w:r>
          </w:p>
        </w:tc>
        <w:tc>
          <w:tcPr>
            <w:tcW w:w="5386" w:type="dxa"/>
            <w:vAlign w:val="bottom"/>
          </w:tcPr>
          <w:p w:rsidR="00A877EF" w:rsidRPr="00C8251D" w:rsidRDefault="00A877EF" w:rsidP="006F3822">
            <w:pPr>
              <w:pStyle w:val="BodyText"/>
              <w:jc w:val="right"/>
              <w:rPr>
                <w:sz w:val="20"/>
              </w:rPr>
            </w:pPr>
            <w:r>
              <w:rPr>
                <w:color w:val="000000"/>
                <w:sz w:val="20"/>
              </w:rPr>
              <w:t>$1.3</w:t>
            </w:r>
          </w:p>
        </w:tc>
      </w:tr>
      <w:tr w:rsidR="00A877EF" w:rsidRPr="00C8251D" w:rsidTr="00580CBD">
        <w:tc>
          <w:tcPr>
            <w:tcW w:w="3227" w:type="dxa"/>
            <w:shd w:val="clear" w:color="auto" w:fill="C6D9F1" w:themeFill="text2" w:themeFillTint="33"/>
          </w:tcPr>
          <w:p w:rsidR="00A877EF" w:rsidRPr="00C8251D" w:rsidRDefault="00A877EF" w:rsidP="006F3822">
            <w:pPr>
              <w:pStyle w:val="BodyText"/>
              <w:rPr>
                <w:sz w:val="20"/>
              </w:rPr>
            </w:pPr>
            <w:r w:rsidRPr="00C8251D">
              <w:rPr>
                <w:sz w:val="20"/>
              </w:rPr>
              <w:t>Option 3 – Mandatory Scheme</w:t>
            </w:r>
          </w:p>
        </w:tc>
        <w:tc>
          <w:tcPr>
            <w:tcW w:w="5386" w:type="dxa"/>
            <w:vAlign w:val="bottom"/>
          </w:tcPr>
          <w:p w:rsidR="00A877EF" w:rsidRPr="00C8251D" w:rsidRDefault="00A877EF" w:rsidP="006F3822">
            <w:pPr>
              <w:pStyle w:val="BodyText"/>
              <w:jc w:val="right"/>
              <w:rPr>
                <w:sz w:val="20"/>
              </w:rPr>
            </w:pPr>
            <w:r>
              <w:rPr>
                <w:color w:val="000000"/>
                <w:sz w:val="20"/>
              </w:rPr>
              <w:t>$9.1</w:t>
            </w:r>
          </w:p>
        </w:tc>
      </w:tr>
    </w:tbl>
    <w:p w:rsidR="007E33A4" w:rsidRDefault="007E33A4" w:rsidP="00DE2ECB">
      <w:pPr>
        <w:pStyle w:val="Source"/>
      </w:pPr>
      <w:r>
        <w:t xml:space="preserve">Source: </w:t>
      </w:r>
      <w:r>
        <w:tab/>
      </w:r>
      <w:r w:rsidR="00C23FCB">
        <w:t>Department of the Environment, industry consultation,</w:t>
      </w:r>
      <w:r w:rsidR="00090B6E">
        <w:t xml:space="preserve"> </w:t>
      </w:r>
      <w:proofErr w:type="spellStart"/>
      <w:r w:rsidR="00090B6E">
        <w:t>Acil</w:t>
      </w:r>
      <w:proofErr w:type="spellEnd"/>
      <w:r w:rsidR="00090B6E">
        <w:t xml:space="preserve"> Allen 2014, </w:t>
      </w:r>
      <w:r w:rsidR="00090B6E">
        <w:rPr>
          <w:i/>
        </w:rPr>
        <w:t xml:space="preserve">RET Review Workshop Preliminary Modelling Results, </w:t>
      </w:r>
      <w:r w:rsidR="00090B6E">
        <w:t>prepared for the RET Review Panel</w:t>
      </w:r>
      <w:r w:rsidR="00C23FCB">
        <w:t xml:space="preserve"> and </w:t>
      </w:r>
      <w:r>
        <w:t>KPMG analysis</w:t>
      </w:r>
      <w:r w:rsidR="00C23FCB">
        <w:t>.</w:t>
      </w:r>
    </w:p>
    <w:p w:rsidR="00D4784B" w:rsidRDefault="00D4784B" w:rsidP="00BE694F">
      <w:pPr>
        <w:pStyle w:val="BodyText"/>
      </w:pPr>
      <w:r>
        <w:t xml:space="preserve">Consistent with the higher level of refrigerant gas recovery, the emission reduction benefits are highest under the mandatory scheme (option 3). </w:t>
      </w:r>
      <w:r w:rsidR="00CD093A">
        <w:t xml:space="preserve">There is no change in the level of recovery from air conditioners, accordingly, all emission reduction benefits relate to an increase in recovery of refrigerant from freezers and refrigerators. </w:t>
      </w:r>
    </w:p>
    <w:p w:rsidR="00127A5E" w:rsidRDefault="00127A5E" w:rsidP="00127A5E">
      <w:pPr>
        <w:pStyle w:val="BodyText"/>
      </w:pPr>
      <w:r>
        <w:t xml:space="preserve">ODS including </w:t>
      </w:r>
      <w:r w:rsidRPr="004032AB">
        <w:t>H</w:t>
      </w:r>
      <w:r>
        <w:t>CFCs</w:t>
      </w:r>
      <w:r w:rsidRPr="004032AB">
        <w:t xml:space="preserve"> are directly implicated in the depletion of the ozone layer. These gases deplete the ozone layer by releasing chlorine and bromine atoms into the </w:t>
      </w:r>
      <w:r w:rsidR="00E47C36" w:rsidRPr="004032AB">
        <w:t>stratosphere</w:t>
      </w:r>
      <w:r w:rsidRPr="004032AB">
        <w:t xml:space="preserve">, which destroy ozone molecules. </w:t>
      </w:r>
      <w:r>
        <w:t>ODS</w:t>
      </w:r>
      <w:r w:rsidRPr="004032AB">
        <w:t xml:space="preserve"> also contribute to varying extents to the enhanced greenhouse effect</w:t>
      </w:r>
      <w:r>
        <w:t xml:space="preserve"> and global warming</w:t>
      </w:r>
      <w:r w:rsidRPr="004032AB">
        <w:t>.</w:t>
      </w:r>
      <w:r w:rsidRPr="004032AB" w:rsidDel="00EC0ED9">
        <w:t xml:space="preserve"> </w:t>
      </w:r>
    </w:p>
    <w:p w:rsidR="00BE694F" w:rsidRDefault="00BE694F" w:rsidP="00BE694F">
      <w:pPr>
        <w:pStyle w:val="BodyText"/>
      </w:pPr>
      <w:r>
        <w:t>Refrigerant gases containing ODS, deplet</w:t>
      </w:r>
      <w:r w:rsidR="00127A5E">
        <w:t>e</w:t>
      </w:r>
      <w:r>
        <w:t xml:space="preserve"> the ozone layer and increas</w:t>
      </w:r>
      <w:r w:rsidR="00EB3021">
        <w:t>e</w:t>
      </w:r>
      <w:r>
        <w:t xml:space="preserve"> the level of ultraviolet (UV) </w:t>
      </w:r>
      <w:r>
        <w:rPr>
          <w:color w:val="000000"/>
        </w:rPr>
        <w:t xml:space="preserve">radiation </w:t>
      </w:r>
      <w:r>
        <w:t xml:space="preserve">at the surface of the Earth. The increased level of UV radiation can damage </w:t>
      </w:r>
      <w:r>
        <w:lastRenderedPageBreak/>
        <w:t>ecosystems and increase human diseases, with the extent of the impact d</w:t>
      </w:r>
      <w:r>
        <w:rPr>
          <w:color w:val="000000"/>
        </w:rPr>
        <w:t>ependant on the level of UV exposure, resulting in:</w:t>
      </w:r>
      <w:r>
        <w:t xml:space="preserve"> </w:t>
      </w:r>
    </w:p>
    <w:p w:rsidR="00BE694F" w:rsidRDefault="00BE694F" w:rsidP="00090B6E">
      <w:pPr>
        <w:pStyle w:val="BulletText"/>
      </w:pPr>
      <w:r>
        <w:t>skin cancers;</w:t>
      </w:r>
    </w:p>
    <w:p w:rsidR="00BE694F" w:rsidRDefault="00BE694F" w:rsidP="00090B6E">
      <w:pPr>
        <w:pStyle w:val="BulletText"/>
        <w:rPr>
          <w:color w:val="000000"/>
        </w:rPr>
      </w:pPr>
      <w:r>
        <w:t>cataracts;</w:t>
      </w:r>
    </w:p>
    <w:p w:rsidR="00BE694F" w:rsidRDefault="00BE694F" w:rsidP="00090B6E">
      <w:pPr>
        <w:pStyle w:val="BulletText"/>
        <w:rPr>
          <w:color w:val="000000"/>
        </w:rPr>
      </w:pPr>
      <w:r>
        <w:t>a weakening of the immune system; and</w:t>
      </w:r>
    </w:p>
    <w:p w:rsidR="00BE694F" w:rsidRDefault="00BE694F" w:rsidP="00090B6E">
      <w:pPr>
        <w:pStyle w:val="BulletText"/>
        <w:rPr>
          <w:rFonts w:cs="Times New Roman"/>
          <w:color w:val="auto"/>
        </w:rPr>
      </w:pPr>
      <w:proofErr w:type="gramStart"/>
      <w:r w:rsidRPr="00090B6E">
        <w:t>detrimental</w:t>
      </w:r>
      <w:proofErr w:type="gramEnd"/>
      <w:r>
        <w:rPr>
          <w:rFonts w:cs="Times New Roman"/>
          <w:color w:val="auto"/>
        </w:rPr>
        <w:t xml:space="preserve"> </w:t>
      </w:r>
      <w:r w:rsidRPr="00090B6E">
        <w:t>effects</w:t>
      </w:r>
      <w:r>
        <w:rPr>
          <w:rFonts w:cs="Times New Roman"/>
          <w:color w:val="auto"/>
        </w:rPr>
        <w:t xml:space="preserve"> to crops, wild plants and aquatic life</w:t>
      </w:r>
      <w:r>
        <w:rPr>
          <w:rStyle w:val="FootnoteReference"/>
          <w:rFonts w:cs="Times New Roman"/>
          <w:color w:val="auto"/>
        </w:rPr>
        <w:footnoteReference w:id="30"/>
      </w:r>
      <w:r>
        <w:rPr>
          <w:rFonts w:cs="Times New Roman"/>
          <w:color w:val="auto"/>
        </w:rPr>
        <w:t>.</w:t>
      </w:r>
    </w:p>
    <w:p w:rsidR="0081406E" w:rsidRDefault="00BE694F">
      <w:pPr>
        <w:pStyle w:val="BodyText"/>
      </w:pPr>
      <w:r>
        <w:t xml:space="preserve">All ODS produced are assumed to be released under the Montreal Protocol and the </w:t>
      </w:r>
      <w:r w:rsidR="00313E24">
        <w:t>environmental</w:t>
      </w:r>
      <w:r>
        <w:t xml:space="preserve"> and health impacts managed globally through the phase down of ODS manufacture and use</w:t>
      </w:r>
      <w:r w:rsidR="00EB3021">
        <w:t>,</w:t>
      </w:r>
      <w:r>
        <w:t xml:space="preserve"> and</w:t>
      </w:r>
      <w:r w:rsidR="00EB3021">
        <w:t xml:space="preserve"> the</w:t>
      </w:r>
      <w:r>
        <w:t xml:space="preserve"> eventual phase out of ODS. </w:t>
      </w:r>
      <w:r w:rsidR="0026531A" w:rsidRPr="00A6218E">
        <w:t xml:space="preserve">The Montreal Protocol sets binding progressive phase out obligations for all the major ozone depleting substances, including CFCs, </w:t>
      </w:r>
      <w:proofErr w:type="spellStart"/>
      <w:r w:rsidR="0026531A" w:rsidRPr="00A6218E">
        <w:t>halons</w:t>
      </w:r>
      <w:proofErr w:type="spellEnd"/>
      <w:r w:rsidR="0026531A" w:rsidRPr="00A6218E">
        <w:t xml:space="preserve"> and less damaging transitional chemicals such as HCFCs. ODS are widely used in refrigerators, air conditioners, fire extinguishers, in dry cleaning, as solvents for cleaning, electronic equipment and as agricultural fumigants. Domestic RAC equipment currently sold in Australia no longer contain ODS, however ODS remains in the current stock of RAC equipment reaching end-of-life over the period of analysis (i.e. 2014 to 2024).</w:t>
      </w:r>
      <w:r w:rsidR="00127A5E">
        <w:t xml:space="preserve"> As a result, </w:t>
      </w:r>
      <w:r w:rsidR="0099511A">
        <w:t>ODS</w:t>
      </w:r>
      <w:r w:rsidR="00127A5E">
        <w:t xml:space="preserve"> </w:t>
      </w:r>
      <w:r w:rsidR="00EB3021">
        <w:t xml:space="preserve">are </w:t>
      </w:r>
      <w:r w:rsidR="00127A5E">
        <w:t xml:space="preserve">not included in the CBA. </w:t>
      </w:r>
    </w:p>
    <w:p w:rsidR="0028139C" w:rsidRDefault="0028139C" w:rsidP="003369BF">
      <w:pPr>
        <w:pStyle w:val="Heading4"/>
      </w:pPr>
      <w:r>
        <w:t>Health benefits of reduction in emissions</w:t>
      </w:r>
    </w:p>
    <w:p w:rsidR="0081406E" w:rsidRDefault="0028139C">
      <w:pPr>
        <w:pStyle w:val="BodyText"/>
      </w:pPr>
      <w:r>
        <w:t>There are a number of potential health benefits and associated economic savings that may be achieved as a result of reduction in refrigerant gas emissions. These benefits include:</w:t>
      </w:r>
    </w:p>
    <w:p w:rsidR="0081406E" w:rsidRDefault="0028139C">
      <w:pPr>
        <w:pStyle w:val="BulletText"/>
      </w:pPr>
      <w:r>
        <w:t>improvements in health and life expectancy;</w:t>
      </w:r>
    </w:p>
    <w:p w:rsidR="0081406E" w:rsidRDefault="0028139C">
      <w:pPr>
        <w:pStyle w:val="BulletText"/>
      </w:pPr>
      <w:r>
        <w:t>fewer days away from work or with restricted activity;</w:t>
      </w:r>
    </w:p>
    <w:p w:rsidR="0081406E" w:rsidRDefault="00F24E50">
      <w:pPr>
        <w:pStyle w:val="BulletText"/>
      </w:pPr>
      <w:r>
        <w:t>fewer medical consultations;</w:t>
      </w:r>
    </w:p>
    <w:p w:rsidR="0081406E" w:rsidRDefault="0028139C">
      <w:pPr>
        <w:pStyle w:val="BulletText"/>
      </w:pPr>
      <w:r>
        <w:t>fewer hospital admissions;</w:t>
      </w:r>
    </w:p>
    <w:p w:rsidR="0081406E" w:rsidRDefault="0028139C">
      <w:pPr>
        <w:pStyle w:val="BulletText"/>
      </w:pPr>
      <w:r>
        <w:t xml:space="preserve">reduced use of medication; and </w:t>
      </w:r>
    </w:p>
    <w:p w:rsidR="0081406E" w:rsidRDefault="0028139C">
      <w:pPr>
        <w:pStyle w:val="BulletText"/>
      </w:pPr>
      <w:proofErr w:type="gramStart"/>
      <w:r>
        <w:t>increased</w:t>
      </w:r>
      <w:proofErr w:type="gramEnd"/>
      <w:r>
        <w:t xml:space="preserve"> productivity.</w:t>
      </w:r>
    </w:p>
    <w:p w:rsidR="0081406E" w:rsidRDefault="00AB4B1A">
      <w:pPr>
        <w:pStyle w:val="BodyText"/>
      </w:pPr>
      <w:r>
        <w:t xml:space="preserve">Based on advice from the Department of the Environment, health benefits were assumed to be captured in the shadow </w:t>
      </w:r>
      <w:r w:rsidR="00EB3021">
        <w:t xml:space="preserve">price of </w:t>
      </w:r>
      <w:r>
        <w:t>carbon and are included in the benefits outlined in</w:t>
      </w:r>
      <w:r w:rsidR="00090B6E">
        <w:t xml:space="preserve"> </w:t>
      </w:r>
      <w:r w:rsidR="00586F30">
        <w:fldChar w:fldCharType="begin"/>
      </w:r>
      <w:r w:rsidR="00090B6E">
        <w:instrText xml:space="preserve"> REF _Ref392673732 \h </w:instrText>
      </w:r>
      <w:r w:rsidR="00586F30">
        <w:fldChar w:fldCharType="separate"/>
      </w:r>
      <w:r w:rsidR="001E5D7A">
        <w:t xml:space="preserve">Table </w:t>
      </w:r>
      <w:r w:rsidR="001E5D7A">
        <w:rPr>
          <w:noProof/>
        </w:rPr>
        <w:t>4</w:t>
      </w:r>
      <w:r w:rsidR="001E5D7A">
        <w:noBreakHyphen/>
      </w:r>
      <w:r w:rsidR="001E5D7A">
        <w:rPr>
          <w:noProof/>
        </w:rPr>
        <w:t>14</w:t>
      </w:r>
      <w:r w:rsidR="00586F30">
        <w:fldChar w:fldCharType="end"/>
      </w:r>
      <w:r w:rsidR="00A67941">
        <w:t>.</w:t>
      </w:r>
    </w:p>
    <w:p w:rsidR="00C65A17" w:rsidRDefault="00C65A17" w:rsidP="003369BF">
      <w:pPr>
        <w:pStyle w:val="Heading4"/>
      </w:pPr>
      <w:r>
        <w:t>Willingness to pay</w:t>
      </w:r>
    </w:p>
    <w:p w:rsidR="00586D48" w:rsidRDefault="00C65A17">
      <w:pPr>
        <w:pStyle w:val="BodyText"/>
      </w:pPr>
      <w:r>
        <w:t xml:space="preserve">Willingness to pay captures </w:t>
      </w:r>
      <w:r w:rsidR="000C57AE">
        <w:t>society’s</w:t>
      </w:r>
      <w:r>
        <w:t xml:space="preserve"> value of increasing recycling activity</w:t>
      </w:r>
      <w:r w:rsidR="000C57AE">
        <w:t xml:space="preserve"> and the resulting recovery of non-renewable resources and other non-market benefits from increasing recycling levels (e.g. consumer surplus from increased recycling). There is limited information available </w:t>
      </w:r>
      <w:r w:rsidR="000C57AE">
        <w:lastRenderedPageBreak/>
        <w:t xml:space="preserve">on the consumers’ willingness to pay to recycle RAC equipment or refrigerant. There are, however, a number of studies that suggest that people are willing to pay </w:t>
      </w:r>
      <w:r w:rsidR="00127A5E">
        <w:t>for an increase in recycling activity</w:t>
      </w:r>
      <w:r w:rsidR="00FC67A7">
        <w:t>.</w:t>
      </w:r>
      <w:r w:rsidR="000C57AE">
        <w:t xml:space="preserve"> </w:t>
      </w:r>
      <w:r w:rsidR="00127A5E">
        <w:t>A recent analysis of the merit of a television and computer national recycling scheme included a willingness to pay benefit of $0.50 per unit per percentage</w:t>
      </w:r>
      <w:r w:rsidR="002744CB">
        <w:t xml:space="preserve"> point</w:t>
      </w:r>
      <w:r w:rsidR="00127A5E">
        <w:t xml:space="preserve"> increase in recycling activity. This assumption was adopted for the purpose of this analysis</w:t>
      </w:r>
      <w:r w:rsidR="00A45495">
        <w:rPr>
          <w:rStyle w:val="FootnoteReference"/>
        </w:rPr>
        <w:footnoteReference w:id="31"/>
      </w:r>
      <w:r w:rsidR="00127A5E">
        <w:t xml:space="preserve">.  </w:t>
      </w:r>
      <w:bookmarkStart w:id="61" w:name="_Toc392681080"/>
    </w:p>
    <w:p w:rsidR="0081406E" w:rsidRDefault="00A45495">
      <w:pPr>
        <w:pStyle w:val="BodyText"/>
      </w:pPr>
      <w:r>
        <w:t>The willingness to pay benefits associated with the increase in recycling under each option is outlined</w:t>
      </w:r>
      <w:r w:rsidR="00CE3BAC">
        <w:t xml:space="preserve"> in </w:t>
      </w:r>
      <w:r w:rsidR="00586F30">
        <w:fldChar w:fldCharType="begin"/>
      </w:r>
      <w:r w:rsidR="00CE3BAC">
        <w:instrText xml:space="preserve"> REF _Ref396766053 \h </w:instrText>
      </w:r>
      <w:r w:rsidR="00586F30">
        <w:fldChar w:fldCharType="separate"/>
      </w:r>
      <w:r w:rsidR="001E5D7A">
        <w:t xml:space="preserve">Table </w:t>
      </w:r>
      <w:r w:rsidR="001E5D7A">
        <w:rPr>
          <w:noProof/>
        </w:rPr>
        <w:t>4</w:t>
      </w:r>
      <w:r w:rsidR="001E5D7A">
        <w:noBreakHyphen/>
      </w:r>
      <w:r w:rsidR="001E5D7A">
        <w:rPr>
          <w:noProof/>
        </w:rPr>
        <w:t>15</w:t>
      </w:r>
      <w:r w:rsidR="00586F30">
        <w:fldChar w:fldCharType="end"/>
      </w:r>
      <w:r w:rsidR="00387640">
        <w:t>.</w:t>
      </w:r>
      <w:r w:rsidR="00CD093A">
        <w:t xml:space="preserve"> Annual willingness to pay benefits </w:t>
      </w:r>
      <w:proofErr w:type="gramStart"/>
      <w:r w:rsidR="00CD093A">
        <w:t>are</w:t>
      </w:r>
      <w:proofErr w:type="gramEnd"/>
      <w:r w:rsidR="00CD093A">
        <w:t xml:space="preserve"> outlined in Appendix D. </w:t>
      </w:r>
    </w:p>
    <w:p w:rsidR="00586D48" w:rsidRDefault="00A45495">
      <w:pPr>
        <w:pStyle w:val="Caption"/>
      </w:pPr>
      <w:bookmarkStart w:id="62" w:name="_Ref396766053"/>
      <w:r>
        <w:t xml:space="preserve">Table </w:t>
      </w:r>
      <w:r w:rsidR="00586F30">
        <w:fldChar w:fldCharType="begin"/>
      </w:r>
      <w:r w:rsidR="00C478AE">
        <w:instrText xml:space="preserve"> STYLEREF 1 \s </w:instrText>
      </w:r>
      <w:r w:rsidR="00586F30">
        <w:fldChar w:fldCharType="separate"/>
      </w:r>
      <w:r w:rsidR="001E5D7A">
        <w:rPr>
          <w:noProof/>
        </w:rPr>
        <w:t>4</w:t>
      </w:r>
      <w:r w:rsidR="00586F30">
        <w:rPr>
          <w:noProof/>
        </w:rPr>
        <w:fldChar w:fldCharType="end"/>
      </w:r>
      <w:r w:rsidR="00CE3BAC">
        <w:noBreakHyphen/>
      </w:r>
      <w:r w:rsidR="00586F30">
        <w:fldChar w:fldCharType="begin"/>
      </w:r>
      <w:r w:rsidR="00C478AE">
        <w:instrText xml:space="preserve"> SEQ Table \* ARABIC \s 1 </w:instrText>
      </w:r>
      <w:r w:rsidR="00586F30">
        <w:fldChar w:fldCharType="separate"/>
      </w:r>
      <w:r w:rsidR="001E5D7A">
        <w:rPr>
          <w:noProof/>
        </w:rPr>
        <w:t>15</w:t>
      </w:r>
      <w:r w:rsidR="00586F30">
        <w:rPr>
          <w:noProof/>
        </w:rPr>
        <w:fldChar w:fldCharType="end"/>
      </w:r>
      <w:bookmarkEnd w:id="62"/>
      <w:r>
        <w:t>: Willingness to pay benefits (PV @ 7% $million)</w:t>
      </w:r>
    </w:p>
    <w:tbl>
      <w:tblPr>
        <w:tblStyle w:val="TableGrid"/>
        <w:tblW w:w="0" w:type="auto"/>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tblPr>
      <w:tblGrid>
        <w:gridCol w:w="3227"/>
        <w:gridCol w:w="5386"/>
      </w:tblGrid>
      <w:tr w:rsidR="00A45495" w:rsidRPr="00C8251D" w:rsidTr="00387640">
        <w:trPr>
          <w:trHeight w:val="361"/>
        </w:trPr>
        <w:tc>
          <w:tcPr>
            <w:tcW w:w="3227" w:type="dxa"/>
            <w:vMerge w:val="restart"/>
            <w:shd w:val="clear" w:color="auto" w:fill="1F497D" w:themeFill="text2"/>
            <w:vAlign w:val="center"/>
          </w:tcPr>
          <w:p w:rsidR="00A45495" w:rsidRDefault="00A45495" w:rsidP="00387640">
            <w:pPr>
              <w:pStyle w:val="BodyText"/>
              <w:jc w:val="left"/>
              <w:rPr>
                <w:b/>
                <w:color w:val="FFFFFF" w:themeColor="background1"/>
                <w:sz w:val="20"/>
              </w:rPr>
            </w:pPr>
            <w:r>
              <w:rPr>
                <w:b/>
                <w:color w:val="FFFFFF" w:themeColor="background1"/>
                <w:sz w:val="20"/>
              </w:rPr>
              <w:t>Option</w:t>
            </w:r>
          </w:p>
        </w:tc>
        <w:tc>
          <w:tcPr>
            <w:tcW w:w="5386" w:type="dxa"/>
            <w:shd w:val="clear" w:color="auto" w:fill="1F497D" w:themeFill="text2"/>
            <w:vAlign w:val="center"/>
          </w:tcPr>
          <w:p w:rsidR="00A45495" w:rsidRPr="00A45495" w:rsidRDefault="00A45495" w:rsidP="00387640">
            <w:pPr>
              <w:pStyle w:val="BodyText"/>
              <w:jc w:val="right"/>
              <w:rPr>
                <w:b/>
                <w:color w:val="FFFFFF" w:themeColor="background1"/>
                <w:sz w:val="20"/>
              </w:rPr>
            </w:pPr>
            <w:r w:rsidRPr="00A45495">
              <w:rPr>
                <w:b/>
                <w:color w:val="FFFFFF" w:themeColor="background1"/>
              </w:rPr>
              <w:t>PV @ 7% $ million</w:t>
            </w:r>
            <w:r w:rsidR="00CD093A">
              <w:rPr>
                <w:b/>
                <w:color w:val="FFFFFF" w:themeColor="background1"/>
              </w:rPr>
              <w:t xml:space="preserve"> (2014-2024)</w:t>
            </w:r>
          </w:p>
        </w:tc>
      </w:tr>
      <w:tr w:rsidR="00A45495" w:rsidRPr="00C8251D" w:rsidTr="00387640">
        <w:tc>
          <w:tcPr>
            <w:tcW w:w="3227" w:type="dxa"/>
            <w:vMerge/>
            <w:shd w:val="clear" w:color="auto" w:fill="1F497D" w:themeFill="text2"/>
            <w:vAlign w:val="center"/>
          </w:tcPr>
          <w:p w:rsidR="00A45495" w:rsidRPr="008610E0" w:rsidRDefault="00A45495" w:rsidP="00387640">
            <w:pPr>
              <w:pStyle w:val="BodyText"/>
              <w:jc w:val="left"/>
              <w:rPr>
                <w:b/>
                <w:color w:val="FFFFFF" w:themeColor="background1"/>
                <w:sz w:val="20"/>
              </w:rPr>
            </w:pPr>
          </w:p>
        </w:tc>
        <w:tc>
          <w:tcPr>
            <w:tcW w:w="5386" w:type="dxa"/>
            <w:shd w:val="clear" w:color="auto" w:fill="1F497D" w:themeFill="text2"/>
            <w:vAlign w:val="center"/>
          </w:tcPr>
          <w:p w:rsidR="00A45495" w:rsidRPr="008610E0" w:rsidRDefault="00A45495" w:rsidP="00387640">
            <w:pPr>
              <w:pStyle w:val="BodyText"/>
              <w:jc w:val="right"/>
              <w:rPr>
                <w:b/>
                <w:color w:val="FFFFFF" w:themeColor="background1"/>
                <w:sz w:val="20"/>
              </w:rPr>
            </w:pPr>
            <w:r>
              <w:rPr>
                <w:b/>
                <w:color w:val="FFFFFF" w:themeColor="background1"/>
                <w:sz w:val="20"/>
              </w:rPr>
              <w:t>Willingness to pay for recycling</w:t>
            </w:r>
          </w:p>
        </w:tc>
      </w:tr>
      <w:tr w:rsidR="00A45495" w:rsidRPr="00C8251D" w:rsidTr="00387640">
        <w:tc>
          <w:tcPr>
            <w:tcW w:w="3227" w:type="dxa"/>
            <w:shd w:val="clear" w:color="auto" w:fill="C6D9F1" w:themeFill="text2" w:themeFillTint="33"/>
          </w:tcPr>
          <w:p w:rsidR="00A45495" w:rsidRPr="00C8251D" w:rsidRDefault="00A45495" w:rsidP="00387640">
            <w:pPr>
              <w:pStyle w:val="BodyText"/>
              <w:rPr>
                <w:sz w:val="20"/>
              </w:rPr>
            </w:pPr>
            <w:r w:rsidRPr="00C8251D">
              <w:rPr>
                <w:sz w:val="20"/>
              </w:rPr>
              <w:t>Option 1 – Voluntary Scheme</w:t>
            </w:r>
          </w:p>
        </w:tc>
        <w:tc>
          <w:tcPr>
            <w:tcW w:w="5386" w:type="dxa"/>
            <w:vAlign w:val="bottom"/>
          </w:tcPr>
          <w:p w:rsidR="00A45495" w:rsidRPr="008610E0" w:rsidRDefault="00387640" w:rsidP="00387640">
            <w:pPr>
              <w:pStyle w:val="BodyText"/>
              <w:jc w:val="right"/>
              <w:rPr>
                <w:sz w:val="20"/>
              </w:rPr>
            </w:pPr>
            <w:r>
              <w:rPr>
                <w:sz w:val="20"/>
              </w:rPr>
              <w:t>$0.6</w:t>
            </w:r>
          </w:p>
        </w:tc>
      </w:tr>
      <w:tr w:rsidR="00A45495" w:rsidRPr="00C8251D" w:rsidTr="00387640">
        <w:tc>
          <w:tcPr>
            <w:tcW w:w="3227" w:type="dxa"/>
            <w:shd w:val="clear" w:color="auto" w:fill="C6D9F1" w:themeFill="text2" w:themeFillTint="33"/>
          </w:tcPr>
          <w:p w:rsidR="00A45495" w:rsidRPr="00C8251D" w:rsidRDefault="00A45495" w:rsidP="00387640">
            <w:pPr>
              <w:pStyle w:val="BodyText"/>
              <w:rPr>
                <w:sz w:val="20"/>
              </w:rPr>
            </w:pPr>
            <w:r w:rsidRPr="00C8251D">
              <w:rPr>
                <w:sz w:val="20"/>
              </w:rPr>
              <w:t>Option 2 – Co-Regulatory Approach</w:t>
            </w:r>
          </w:p>
        </w:tc>
        <w:tc>
          <w:tcPr>
            <w:tcW w:w="5386" w:type="dxa"/>
            <w:vAlign w:val="bottom"/>
          </w:tcPr>
          <w:p w:rsidR="00A45495" w:rsidRPr="00C8251D" w:rsidRDefault="00387640" w:rsidP="00387640">
            <w:pPr>
              <w:pStyle w:val="BodyText"/>
              <w:jc w:val="right"/>
              <w:rPr>
                <w:sz w:val="20"/>
              </w:rPr>
            </w:pPr>
            <w:r>
              <w:rPr>
                <w:sz w:val="20"/>
              </w:rPr>
              <w:t>$5.3</w:t>
            </w:r>
          </w:p>
        </w:tc>
      </w:tr>
      <w:tr w:rsidR="00A45495" w:rsidRPr="00C8251D" w:rsidTr="00387640">
        <w:tc>
          <w:tcPr>
            <w:tcW w:w="3227" w:type="dxa"/>
            <w:shd w:val="clear" w:color="auto" w:fill="C6D9F1" w:themeFill="text2" w:themeFillTint="33"/>
          </w:tcPr>
          <w:p w:rsidR="00A45495" w:rsidRPr="00C8251D" w:rsidRDefault="00A45495" w:rsidP="00387640">
            <w:pPr>
              <w:pStyle w:val="BodyText"/>
              <w:rPr>
                <w:sz w:val="20"/>
              </w:rPr>
            </w:pPr>
            <w:r w:rsidRPr="00C8251D">
              <w:rPr>
                <w:sz w:val="20"/>
              </w:rPr>
              <w:t>Option 3 – Mandatory Scheme</w:t>
            </w:r>
          </w:p>
        </w:tc>
        <w:tc>
          <w:tcPr>
            <w:tcW w:w="5386" w:type="dxa"/>
            <w:vAlign w:val="bottom"/>
          </w:tcPr>
          <w:p w:rsidR="00A45495" w:rsidRPr="00C8251D" w:rsidRDefault="00387640" w:rsidP="00387640">
            <w:pPr>
              <w:pStyle w:val="BodyText"/>
              <w:jc w:val="right"/>
              <w:rPr>
                <w:sz w:val="20"/>
              </w:rPr>
            </w:pPr>
            <w:r>
              <w:rPr>
                <w:sz w:val="20"/>
              </w:rPr>
              <w:t>$52.0</w:t>
            </w:r>
          </w:p>
        </w:tc>
      </w:tr>
    </w:tbl>
    <w:p w:rsidR="00586D48" w:rsidRDefault="00387640">
      <w:pPr>
        <w:pStyle w:val="Source"/>
      </w:pPr>
      <w:r>
        <w:t xml:space="preserve">Source: </w:t>
      </w:r>
      <w:r>
        <w:tab/>
      </w:r>
      <w:r>
        <w:rPr>
          <w:sz w:val="20"/>
        </w:rPr>
        <w:t xml:space="preserve">PricewaterhouseCoopers and </w:t>
      </w:r>
      <w:proofErr w:type="spellStart"/>
      <w:r>
        <w:rPr>
          <w:sz w:val="20"/>
        </w:rPr>
        <w:t>Hyder</w:t>
      </w:r>
      <w:proofErr w:type="spellEnd"/>
      <w:r>
        <w:rPr>
          <w:sz w:val="20"/>
        </w:rPr>
        <w:t xml:space="preserve"> Consulting (2009), </w:t>
      </w:r>
      <w:r>
        <w:rPr>
          <w:i/>
          <w:sz w:val="20"/>
        </w:rPr>
        <w:t xml:space="preserve">Decision Regulatory Impact Statement: Televisions and Computers, </w:t>
      </w:r>
      <w:r>
        <w:rPr>
          <w:sz w:val="20"/>
        </w:rPr>
        <w:t xml:space="preserve">report prepared for Environment Protection and Heritage Council </w:t>
      </w:r>
      <w:r w:rsidR="00455CB0">
        <w:rPr>
          <w:sz w:val="20"/>
        </w:rPr>
        <w:t>and</w:t>
      </w:r>
      <w:r>
        <w:rPr>
          <w:sz w:val="20"/>
        </w:rPr>
        <w:t xml:space="preserve"> KPMG analysis.</w:t>
      </w:r>
    </w:p>
    <w:p w:rsidR="00A45495" w:rsidRDefault="00387640">
      <w:pPr>
        <w:pStyle w:val="BodyText"/>
      </w:pPr>
      <w:r>
        <w:t xml:space="preserve">Consistent with the higher level of recycling, the willingness to pay benefit </w:t>
      </w:r>
      <w:r w:rsidR="00EB3021">
        <w:t>is</w:t>
      </w:r>
      <w:r>
        <w:t xml:space="preserve"> highest under the mandatory option (option 3).</w:t>
      </w:r>
      <w:r w:rsidR="00CD093A">
        <w:t xml:space="preserve"> Consistent with the larger volume of equipment reaching end of life over the period of analysis (2014 to 2024), the willingness to pay benefit is larger for refrigerators and freezers than for air conditioners. </w:t>
      </w:r>
    </w:p>
    <w:p w:rsidR="0014680E" w:rsidRDefault="0014680E" w:rsidP="00E91C08">
      <w:pPr>
        <w:pStyle w:val="Heading2"/>
        <w:rPr>
          <w:sz w:val="32"/>
        </w:rPr>
      </w:pPr>
      <w:bookmarkStart w:id="63" w:name="_Toc392772633"/>
      <w:bookmarkStart w:id="64" w:name="_Toc392773781"/>
      <w:bookmarkStart w:id="65" w:name="_Toc392772634"/>
      <w:bookmarkStart w:id="66" w:name="_Toc392773782"/>
      <w:bookmarkStart w:id="67" w:name="_Toc392772635"/>
      <w:bookmarkStart w:id="68" w:name="_Toc392773783"/>
      <w:bookmarkStart w:id="69" w:name="_Toc392772636"/>
      <w:bookmarkStart w:id="70" w:name="_Toc392773784"/>
      <w:bookmarkStart w:id="71" w:name="_Toc392772637"/>
      <w:bookmarkStart w:id="72" w:name="_Toc392773785"/>
      <w:bookmarkStart w:id="73" w:name="_Toc392772638"/>
      <w:bookmarkStart w:id="74" w:name="_Toc392773786"/>
      <w:bookmarkStart w:id="75" w:name="_Toc392772639"/>
      <w:bookmarkStart w:id="76" w:name="_Toc392773787"/>
      <w:bookmarkStart w:id="77" w:name="_Toc392772640"/>
      <w:bookmarkStart w:id="78" w:name="_Toc392773788"/>
      <w:bookmarkEnd w:id="61"/>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r>
        <w:br w:type="page"/>
      </w:r>
    </w:p>
    <w:p w:rsidR="0014680E" w:rsidRDefault="00AD54B5" w:rsidP="00DF2C71">
      <w:pPr>
        <w:pStyle w:val="Heading1"/>
      </w:pPr>
      <w:bookmarkStart w:id="79" w:name="_Toc403647589"/>
      <w:r>
        <w:lastRenderedPageBreak/>
        <w:t>Assessment of Net Benefit and Sensitivity Analysis</w:t>
      </w:r>
      <w:bookmarkEnd w:id="79"/>
    </w:p>
    <w:p w:rsidR="00781317" w:rsidRDefault="00196713" w:rsidP="00AD54B5">
      <w:pPr>
        <w:pStyle w:val="BodyText"/>
      </w:pPr>
      <w:r>
        <w:t>The following section outlines the results of the analysis</w:t>
      </w:r>
      <w:r w:rsidR="00781317">
        <w:t>, including:</w:t>
      </w:r>
    </w:p>
    <w:p w:rsidR="0081406E" w:rsidRDefault="00781317">
      <w:pPr>
        <w:pStyle w:val="BulletText"/>
      </w:pPr>
      <w:r>
        <w:t>an assessment of net benefits;</w:t>
      </w:r>
    </w:p>
    <w:p w:rsidR="0081406E" w:rsidRDefault="00781317">
      <w:pPr>
        <w:pStyle w:val="BulletText"/>
      </w:pPr>
      <w:r>
        <w:t>an analysis of the distribution of the costs and benefits under each option;</w:t>
      </w:r>
      <w:r w:rsidR="00196713">
        <w:t xml:space="preserve"> and </w:t>
      </w:r>
    </w:p>
    <w:p w:rsidR="0081406E" w:rsidRDefault="00EB3021">
      <w:pPr>
        <w:pStyle w:val="BulletText"/>
      </w:pPr>
      <w:proofErr w:type="gramStart"/>
      <w:r>
        <w:t>a</w:t>
      </w:r>
      <w:proofErr w:type="gramEnd"/>
      <w:r>
        <w:t xml:space="preserve"> </w:t>
      </w:r>
      <w:r w:rsidR="00196713">
        <w:t xml:space="preserve">sensitivity analysis of key assumptions. </w:t>
      </w:r>
    </w:p>
    <w:p w:rsidR="00196713" w:rsidRDefault="00196713" w:rsidP="00196713">
      <w:pPr>
        <w:pStyle w:val="Heading2"/>
      </w:pPr>
      <w:bookmarkStart w:id="80" w:name="_Toc403647590"/>
      <w:r>
        <w:t>Assessment of Net Benefit</w:t>
      </w:r>
      <w:bookmarkEnd w:id="80"/>
    </w:p>
    <w:p w:rsidR="00AD54B5" w:rsidRDefault="00196713" w:rsidP="00AD54B5">
      <w:pPr>
        <w:pStyle w:val="BodyText"/>
      </w:pPr>
      <w:r>
        <w:t>The product stewardship options were compare</w:t>
      </w:r>
      <w:r w:rsidR="000E62FA">
        <w:t>d</w:t>
      </w:r>
      <w:r>
        <w:t xml:space="preserve"> with the base case using a discounted cash flow technique </w:t>
      </w:r>
      <w:r w:rsidR="00EB3021">
        <w:t>with</w:t>
      </w:r>
      <w:r>
        <w:t xml:space="preserve"> a real discount rate of 7 per cent in accordance with relevant guidelines. The results of the economic</w:t>
      </w:r>
      <w:r w:rsidR="00BF642D">
        <w:t xml:space="preserve"> </w:t>
      </w:r>
      <w:r>
        <w:t>evaluation are summarised in</w:t>
      </w:r>
      <w:r w:rsidR="008370C7">
        <w:t xml:space="preserve"> Table 5-1. </w:t>
      </w:r>
      <w:r w:rsidR="00387640">
        <w:t xml:space="preserve">Reflecting the uncertainty regarding the </w:t>
      </w:r>
      <w:r w:rsidR="00425F2D">
        <w:t>WTP</w:t>
      </w:r>
      <w:r w:rsidR="00387640">
        <w:t xml:space="preserve"> approach, overall results are presented with and without WTP benefits included. </w:t>
      </w:r>
    </w:p>
    <w:p w:rsidR="002744CB" w:rsidRDefault="002744CB" w:rsidP="00AD54B5">
      <w:pPr>
        <w:pStyle w:val="BodyText"/>
      </w:pPr>
      <w:r>
        <w:t xml:space="preserve">The NPV provides an indication of the option that provides the greatest net benefit for the whole of society. The BCR is a useful measure when faced with budget constraints as it provides an indication of efficiency of expenditure. </w:t>
      </w:r>
    </w:p>
    <w:p w:rsidR="003F75B8" w:rsidRDefault="00781317">
      <w:pPr>
        <w:pStyle w:val="Caption"/>
      </w:pPr>
      <w:r>
        <w:t xml:space="preserve">Table </w:t>
      </w:r>
      <w:r w:rsidR="00586F30">
        <w:fldChar w:fldCharType="begin"/>
      </w:r>
      <w:r w:rsidR="00C478AE">
        <w:instrText xml:space="preserve"> STYLEREF 1 \s </w:instrText>
      </w:r>
      <w:r w:rsidR="00586F30">
        <w:fldChar w:fldCharType="separate"/>
      </w:r>
      <w:r w:rsidR="001E5D7A">
        <w:rPr>
          <w:noProof/>
        </w:rPr>
        <w:t>5</w:t>
      </w:r>
      <w:r w:rsidR="00586F30">
        <w:rPr>
          <w:noProof/>
        </w:rPr>
        <w:fldChar w:fldCharType="end"/>
      </w:r>
      <w:r w:rsidR="00CE3BAC">
        <w:noBreakHyphen/>
      </w:r>
      <w:r w:rsidR="00586F30">
        <w:fldChar w:fldCharType="begin"/>
      </w:r>
      <w:r w:rsidR="00C478AE">
        <w:instrText xml:space="preserve"> SEQ Table \* ARABIC \s 1 </w:instrText>
      </w:r>
      <w:r w:rsidR="00586F30">
        <w:fldChar w:fldCharType="separate"/>
      </w:r>
      <w:r w:rsidR="001E5D7A">
        <w:rPr>
          <w:noProof/>
        </w:rPr>
        <w:t>1</w:t>
      </w:r>
      <w:r w:rsidR="00586F30">
        <w:rPr>
          <w:noProof/>
        </w:rPr>
        <w:fldChar w:fldCharType="end"/>
      </w:r>
      <w:r>
        <w:t xml:space="preserve">: </w:t>
      </w:r>
      <w:r w:rsidR="000E144F">
        <w:t>Economic evaluation results (PV @ 7% $million 2014)</w:t>
      </w:r>
    </w:p>
    <w:tbl>
      <w:tblPr>
        <w:tblStyle w:val="TableGrid"/>
        <w:tblW w:w="0" w:type="auto"/>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tblPr>
      <w:tblGrid>
        <w:gridCol w:w="3936"/>
        <w:gridCol w:w="1595"/>
        <w:gridCol w:w="1595"/>
        <w:gridCol w:w="1595"/>
      </w:tblGrid>
      <w:tr w:rsidR="000E144F" w:rsidRPr="00C463F5" w:rsidTr="002744CB">
        <w:trPr>
          <w:tblHeader/>
        </w:trPr>
        <w:tc>
          <w:tcPr>
            <w:tcW w:w="3936" w:type="dxa"/>
            <w:shd w:val="clear" w:color="auto" w:fill="1F497D" w:themeFill="text2"/>
          </w:tcPr>
          <w:p w:rsidR="000E144F" w:rsidRPr="00C463F5" w:rsidRDefault="000E144F" w:rsidP="00F268D2">
            <w:pPr>
              <w:pStyle w:val="BodyText"/>
              <w:spacing w:before="60" w:after="60"/>
              <w:rPr>
                <w:sz w:val="20"/>
              </w:rPr>
            </w:pPr>
          </w:p>
        </w:tc>
        <w:tc>
          <w:tcPr>
            <w:tcW w:w="1595" w:type="dxa"/>
            <w:shd w:val="clear" w:color="auto" w:fill="1F497D" w:themeFill="text2"/>
          </w:tcPr>
          <w:p w:rsidR="000E144F" w:rsidRPr="00C463F5" w:rsidRDefault="000E144F" w:rsidP="00F268D2">
            <w:pPr>
              <w:pStyle w:val="BodyText"/>
              <w:spacing w:before="60" w:after="60"/>
              <w:jc w:val="right"/>
              <w:rPr>
                <w:b/>
                <w:color w:val="FFFFFF" w:themeColor="background1"/>
                <w:sz w:val="20"/>
              </w:rPr>
            </w:pPr>
            <w:r w:rsidRPr="00C463F5">
              <w:rPr>
                <w:b/>
                <w:color w:val="FFFFFF" w:themeColor="background1"/>
                <w:sz w:val="20"/>
              </w:rPr>
              <w:t xml:space="preserve">Option 1 – Voluntary </w:t>
            </w:r>
            <w:r w:rsidR="00C463F5" w:rsidRPr="00C463F5">
              <w:rPr>
                <w:b/>
                <w:color w:val="FFFFFF" w:themeColor="background1"/>
                <w:sz w:val="20"/>
              </w:rPr>
              <w:br/>
            </w:r>
            <w:r w:rsidRPr="00C463F5">
              <w:rPr>
                <w:b/>
                <w:color w:val="FFFFFF" w:themeColor="background1"/>
                <w:sz w:val="20"/>
              </w:rPr>
              <w:t>Scheme</w:t>
            </w:r>
          </w:p>
        </w:tc>
        <w:tc>
          <w:tcPr>
            <w:tcW w:w="1595" w:type="dxa"/>
            <w:shd w:val="clear" w:color="auto" w:fill="1F497D" w:themeFill="text2"/>
          </w:tcPr>
          <w:p w:rsidR="000E144F" w:rsidRPr="00C463F5" w:rsidRDefault="000E144F" w:rsidP="00F268D2">
            <w:pPr>
              <w:pStyle w:val="BodyText"/>
              <w:spacing w:before="60" w:after="60"/>
              <w:jc w:val="right"/>
              <w:rPr>
                <w:b/>
                <w:color w:val="FFFFFF" w:themeColor="background1"/>
                <w:sz w:val="20"/>
              </w:rPr>
            </w:pPr>
            <w:r w:rsidRPr="00C463F5">
              <w:rPr>
                <w:b/>
                <w:color w:val="FFFFFF" w:themeColor="background1"/>
                <w:sz w:val="20"/>
              </w:rPr>
              <w:t xml:space="preserve">Option 2 – </w:t>
            </w:r>
            <w:r w:rsidR="00C463F5" w:rsidRPr="00C463F5">
              <w:rPr>
                <w:b/>
                <w:color w:val="FFFFFF" w:themeColor="background1"/>
                <w:sz w:val="20"/>
              </w:rPr>
              <w:br/>
            </w:r>
            <w:r w:rsidRPr="00C463F5">
              <w:rPr>
                <w:b/>
                <w:color w:val="FFFFFF" w:themeColor="background1"/>
                <w:sz w:val="20"/>
              </w:rPr>
              <w:t>Co-Regulatory Approach</w:t>
            </w:r>
          </w:p>
        </w:tc>
        <w:tc>
          <w:tcPr>
            <w:tcW w:w="1595" w:type="dxa"/>
            <w:shd w:val="clear" w:color="auto" w:fill="1F497D" w:themeFill="text2"/>
          </w:tcPr>
          <w:p w:rsidR="000E144F" w:rsidRPr="00C463F5" w:rsidRDefault="000E144F" w:rsidP="00F268D2">
            <w:pPr>
              <w:pStyle w:val="BodyText"/>
              <w:spacing w:before="60" w:after="60"/>
              <w:jc w:val="right"/>
              <w:rPr>
                <w:b/>
                <w:color w:val="FFFFFF" w:themeColor="background1"/>
                <w:sz w:val="20"/>
              </w:rPr>
            </w:pPr>
            <w:r w:rsidRPr="00C463F5">
              <w:rPr>
                <w:b/>
                <w:color w:val="FFFFFF" w:themeColor="background1"/>
                <w:sz w:val="20"/>
              </w:rPr>
              <w:t xml:space="preserve">Option 3 – Mandatory </w:t>
            </w:r>
            <w:r w:rsidR="00C463F5" w:rsidRPr="00C463F5">
              <w:rPr>
                <w:b/>
                <w:color w:val="FFFFFF" w:themeColor="background1"/>
                <w:sz w:val="20"/>
              </w:rPr>
              <w:br/>
            </w:r>
            <w:r w:rsidRPr="00C463F5">
              <w:rPr>
                <w:b/>
                <w:color w:val="FFFFFF" w:themeColor="background1"/>
                <w:sz w:val="20"/>
              </w:rPr>
              <w:t>Scheme</w:t>
            </w:r>
          </w:p>
        </w:tc>
      </w:tr>
      <w:tr w:rsidR="000E144F" w:rsidRPr="00C463F5" w:rsidTr="00AB5CD9">
        <w:tc>
          <w:tcPr>
            <w:tcW w:w="8721" w:type="dxa"/>
            <w:gridSpan w:val="4"/>
            <w:shd w:val="clear" w:color="auto" w:fill="C6D9F1" w:themeFill="text2" w:themeFillTint="33"/>
          </w:tcPr>
          <w:p w:rsidR="000E144F" w:rsidRPr="00C463F5" w:rsidRDefault="000E144F" w:rsidP="00F268D2">
            <w:pPr>
              <w:pStyle w:val="BodyText"/>
              <w:spacing w:before="60" w:after="60"/>
              <w:rPr>
                <w:sz w:val="20"/>
              </w:rPr>
            </w:pPr>
            <w:r w:rsidRPr="00C463F5">
              <w:rPr>
                <w:b/>
                <w:sz w:val="20"/>
              </w:rPr>
              <w:t>Costs</w:t>
            </w:r>
          </w:p>
        </w:tc>
      </w:tr>
      <w:tr w:rsidR="00671098" w:rsidRPr="00C463F5" w:rsidTr="001A6453">
        <w:tc>
          <w:tcPr>
            <w:tcW w:w="3936" w:type="dxa"/>
          </w:tcPr>
          <w:p w:rsidR="00671098" w:rsidRPr="00C463F5" w:rsidRDefault="00671098" w:rsidP="00F268D2">
            <w:pPr>
              <w:pStyle w:val="BodyText"/>
              <w:spacing w:before="60" w:after="60"/>
              <w:jc w:val="left"/>
              <w:rPr>
                <w:sz w:val="20"/>
              </w:rPr>
            </w:pPr>
            <w:r w:rsidRPr="00C463F5">
              <w:rPr>
                <w:color w:val="000000"/>
                <w:sz w:val="20"/>
              </w:rPr>
              <w:t>Cost of regulatory compliance – government</w:t>
            </w:r>
          </w:p>
        </w:tc>
        <w:tc>
          <w:tcPr>
            <w:tcW w:w="1595" w:type="dxa"/>
            <w:vAlign w:val="center"/>
          </w:tcPr>
          <w:p w:rsidR="00671098" w:rsidRDefault="00671098" w:rsidP="001A6453">
            <w:pPr>
              <w:jc w:val="right"/>
              <w:rPr>
                <w:color w:val="000000"/>
                <w:sz w:val="20"/>
              </w:rPr>
            </w:pPr>
            <w:r>
              <w:rPr>
                <w:color w:val="000000"/>
                <w:sz w:val="20"/>
              </w:rPr>
              <w:t>$1.0</w:t>
            </w:r>
          </w:p>
        </w:tc>
        <w:tc>
          <w:tcPr>
            <w:tcW w:w="1595" w:type="dxa"/>
            <w:vAlign w:val="center"/>
          </w:tcPr>
          <w:p w:rsidR="00671098" w:rsidRDefault="00671098" w:rsidP="001A6453">
            <w:pPr>
              <w:jc w:val="right"/>
              <w:rPr>
                <w:color w:val="000000"/>
                <w:sz w:val="20"/>
              </w:rPr>
            </w:pPr>
            <w:r>
              <w:rPr>
                <w:color w:val="000000"/>
                <w:sz w:val="20"/>
              </w:rPr>
              <w:t>$14.9</w:t>
            </w:r>
          </w:p>
        </w:tc>
        <w:tc>
          <w:tcPr>
            <w:tcW w:w="1595" w:type="dxa"/>
            <w:vAlign w:val="center"/>
          </w:tcPr>
          <w:p w:rsidR="00671098" w:rsidRDefault="00671098" w:rsidP="001A6453">
            <w:pPr>
              <w:jc w:val="right"/>
              <w:rPr>
                <w:color w:val="000000"/>
                <w:sz w:val="20"/>
              </w:rPr>
            </w:pPr>
            <w:r>
              <w:rPr>
                <w:color w:val="000000"/>
                <w:sz w:val="20"/>
              </w:rPr>
              <w:t>$22.7</w:t>
            </w:r>
          </w:p>
        </w:tc>
      </w:tr>
      <w:tr w:rsidR="00671098" w:rsidRPr="00C463F5" w:rsidTr="001A6453">
        <w:tc>
          <w:tcPr>
            <w:tcW w:w="3936" w:type="dxa"/>
          </w:tcPr>
          <w:p w:rsidR="00671098" w:rsidRPr="00C463F5" w:rsidRDefault="00671098" w:rsidP="00F268D2">
            <w:pPr>
              <w:pStyle w:val="BodyText"/>
              <w:spacing w:before="60" w:after="60"/>
              <w:jc w:val="left"/>
              <w:rPr>
                <w:sz w:val="20"/>
              </w:rPr>
            </w:pPr>
            <w:r w:rsidRPr="00C463F5">
              <w:rPr>
                <w:color w:val="000000"/>
                <w:sz w:val="20"/>
              </w:rPr>
              <w:t>Cost of regulatory compliance – industry</w:t>
            </w:r>
          </w:p>
        </w:tc>
        <w:tc>
          <w:tcPr>
            <w:tcW w:w="1595" w:type="dxa"/>
            <w:vAlign w:val="center"/>
          </w:tcPr>
          <w:p w:rsidR="00671098" w:rsidRDefault="00671098" w:rsidP="001A6453">
            <w:pPr>
              <w:jc w:val="right"/>
              <w:rPr>
                <w:color w:val="000000"/>
                <w:sz w:val="20"/>
              </w:rPr>
            </w:pPr>
            <w:r>
              <w:rPr>
                <w:color w:val="000000"/>
                <w:sz w:val="20"/>
              </w:rPr>
              <w:t>$2.0</w:t>
            </w:r>
          </w:p>
        </w:tc>
        <w:tc>
          <w:tcPr>
            <w:tcW w:w="1595" w:type="dxa"/>
            <w:vAlign w:val="center"/>
          </w:tcPr>
          <w:p w:rsidR="00671098" w:rsidRDefault="00671098" w:rsidP="001A6453">
            <w:pPr>
              <w:jc w:val="right"/>
              <w:rPr>
                <w:color w:val="000000"/>
                <w:sz w:val="20"/>
              </w:rPr>
            </w:pPr>
            <w:r>
              <w:rPr>
                <w:color w:val="000000"/>
                <w:sz w:val="20"/>
              </w:rPr>
              <w:t>$4.4</w:t>
            </w:r>
          </w:p>
        </w:tc>
        <w:tc>
          <w:tcPr>
            <w:tcW w:w="1595" w:type="dxa"/>
            <w:vAlign w:val="center"/>
          </w:tcPr>
          <w:p w:rsidR="00671098" w:rsidRDefault="00671098" w:rsidP="001A6453">
            <w:pPr>
              <w:jc w:val="right"/>
              <w:rPr>
                <w:color w:val="000000"/>
                <w:sz w:val="20"/>
              </w:rPr>
            </w:pPr>
            <w:r>
              <w:rPr>
                <w:color w:val="000000"/>
                <w:sz w:val="20"/>
              </w:rPr>
              <w:t>$14.3</w:t>
            </w:r>
          </w:p>
        </w:tc>
      </w:tr>
      <w:tr w:rsidR="00387640" w:rsidRPr="00C463F5" w:rsidTr="001A6453">
        <w:tc>
          <w:tcPr>
            <w:tcW w:w="3936" w:type="dxa"/>
          </w:tcPr>
          <w:p w:rsidR="00387640" w:rsidRPr="00C463F5" w:rsidRDefault="00387640" w:rsidP="00F268D2">
            <w:pPr>
              <w:pStyle w:val="BodyText"/>
              <w:spacing w:before="60" w:after="60"/>
              <w:jc w:val="left"/>
              <w:rPr>
                <w:sz w:val="20"/>
              </w:rPr>
            </w:pPr>
            <w:r w:rsidRPr="00C463F5">
              <w:rPr>
                <w:color w:val="000000"/>
                <w:sz w:val="20"/>
              </w:rPr>
              <w:t>Retailer take back scheme</w:t>
            </w:r>
          </w:p>
        </w:tc>
        <w:tc>
          <w:tcPr>
            <w:tcW w:w="1595" w:type="dxa"/>
            <w:vAlign w:val="center"/>
          </w:tcPr>
          <w:p w:rsidR="00387640" w:rsidRDefault="00387640" w:rsidP="001A6453">
            <w:pPr>
              <w:jc w:val="right"/>
              <w:rPr>
                <w:color w:val="000000"/>
                <w:sz w:val="20"/>
              </w:rPr>
            </w:pPr>
            <w:r>
              <w:rPr>
                <w:color w:val="000000"/>
                <w:sz w:val="20"/>
              </w:rPr>
              <w:t>$14.8</w:t>
            </w:r>
          </w:p>
        </w:tc>
        <w:tc>
          <w:tcPr>
            <w:tcW w:w="1595" w:type="dxa"/>
            <w:vAlign w:val="center"/>
          </w:tcPr>
          <w:p w:rsidR="00387640" w:rsidRDefault="00387640" w:rsidP="001A6453">
            <w:pPr>
              <w:jc w:val="right"/>
              <w:rPr>
                <w:color w:val="000000"/>
                <w:sz w:val="20"/>
              </w:rPr>
            </w:pPr>
            <w:r>
              <w:rPr>
                <w:color w:val="000000"/>
                <w:sz w:val="20"/>
              </w:rPr>
              <w:t>$14.8</w:t>
            </w:r>
          </w:p>
        </w:tc>
        <w:tc>
          <w:tcPr>
            <w:tcW w:w="1595" w:type="dxa"/>
            <w:vAlign w:val="center"/>
          </w:tcPr>
          <w:p w:rsidR="00387640" w:rsidRDefault="00387640" w:rsidP="001A6453">
            <w:pPr>
              <w:jc w:val="right"/>
              <w:rPr>
                <w:color w:val="000000"/>
                <w:sz w:val="20"/>
              </w:rPr>
            </w:pPr>
            <w:r>
              <w:rPr>
                <w:color w:val="000000"/>
                <w:sz w:val="20"/>
              </w:rPr>
              <w:t>$118.3</w:t>
            </w:r>
          </w:p>
        </w:tc>
      </w:tr>
      <w:tr w:rsidR="00387640" w:rsidRPr="00C463F5" w:rsidTr="001A6453">
        <w:tc>
          <w:tcPr>
            <w:tcW w:w="3936" w:type="dxa"/>
          </w:tcPr>
          <w:p w:rsidR="00387640" w:rsidRPr="00C463F5" w:rsidRDefault="00387640" w:rsidP="00F268D2">
            <w:pPr>
              <w:pStyle w:val="BodyText"/>
              <w:spacing w:before="60" w:after="60"/>
              <w:jc w:val="left"/>
              <w:rPr>
                <w:sz w:val="20"/>
              </w:rPr>
            </w:pPr>
            <w:r w:rsidRPr="00C463F5">
              <w:rPr>
                <w:color w:val="000000"/>
                <w:sz w:val="20"/>
              </w:rPr>
              <w:t>Cost of disassembly</w:t>
            </w:r>
          </w:p>
        </w:tc>
        <w:tc>
          <w:tcPr>
            <w:tcW w:w="1595" w:type="dxa"/>
            <w:vAlign w:val="center"/>
          </w:tcPr>
          <w:p w:rsidR="00387640" w:rsidRDefault="00387640" w:rsidP="001A6453">
            <w:pPr>
              <w:jc w:val="right"/>
              <w:rPr>
                <w:color w:val="000000"/>
                <w:sz w:val="20"/>
              </w:rPr>
            </w:pPr>
            <w:r>
              <w:rPr>
                <w:color w:val="000000"/>
                <w:sz w:val="20"/>
              </w:rPr>
              <w:t>$21.1</w:t>
            </w:r>
          </w:p>
        </w:tc>
        <w:tc>
          <w:tcPr>
            <w:tcW w:w="1595" w:type="dxa"/>
            <w:vAlign w:val="center"/>
          </w:tcPr>
          <w:p w:rsidR="00387640" w:rsidRDefault="00387640" w:rsidP="001A6453">
            <w:pPr>
              <w:jc w:val="right"/>
              <w:rPr>
                <w:color w:val="000000"/>
                <w:sz w:val="20"/>
              </w:rPr>
            </w:pPr>
            <w:r>
              <w:rPr>
                <w:color w:val="000000"/>
                <w:sz w:val="20"/>
              </w:rPr>
              <w:t>$63.4</w:t>
            </w:r>
          </w:p>
        </w:tc>
        <w:tc>
          <w:tcPr>
            <w:tcW w:w="1595" w:type="dxa"/>
            <w:vAlign w:val="center"/>
          </w:tcPr>
          <w:p w:rsidR="00387640" w:rsidRDefault="00387640" w:rsidP="001A6453">
            <w:pPr>
              <w:jc w:val="right"/>
              <w:rPr>
                <w:color w:val="000000"/>
                <w:sz w:val="20"/>
              </w:rPr>
            </w:pPr>
            <w:r>
              <w:rPr>
                <w:color w:val="000000"/>
                <w:sz w:val="20"/>
              </w:rPr>
              <w:t>$170.5</w:t>
            </w:r>
          </w:p>
        </w:tc>
      </w:tr>
      <w:tr w:rsidR="00387640" w:rsidRPr="00C463F5" w:rsidTr="001A6453">
        <w:tc>
          <w:tcPr>
            <w:tcW w:w="3936" w:type="dxa"/>
          </w:tcPr>
          <w:p w:rsidR="00387640" w:rsidRPr="00C463F5" w:rsidRDefault="00387640" w:rsidP="00F268D2">
            <w:pPr>
              <w:pStyle w:val="BodyText"/>
              <w:spacing w:before="60" w:after="60"/>
              <w:jc w:val="left"/>
              <w:rPr>
                <w:b/>
                <w:sz w:val="20"/>
              </w:rPr>
            </w:pPr>
            <w:r w:rsidRPr="00C463F5">
              <w:rPr>
                <w:b/>
                <w:bCs/>
                <w:color w:val="000000"/>
                <w:sz w:val="20"/>
              </w:rPr>
              <w:t>Total Costs</w:t>
            </w:r>
          </w:p>
        </w:tc>
        <w:tc>
          <w:tcPr>
            <w:tcW w:w="1595" w:type="dxa"/>
            <w:vAlign w:val="center"/>
          </w:tcPr>
          <w:p w:rsidR="00387640" w:rsidRDefault="00387640" w:rsidP="001A6453">
            <w:pPr>
              <w:jc w:val="right"/>
              <w:rPr>
                <w:b/>
                <w:bCs/>
                <w:color w:val="000000"/>
                <w:sz w:val="20"/>
              </w:rPr>
            </w:pPr>
            <w:r>
              <w:rPr>
                <w:b/>
                <w:bCs/>
                <w:color w:val="000000"/>
                <w:sz w:val="20"/>
              </w:rPr>
              <w:t>$39.0</w:t>
            </w:r>
          </w:p>
        </w:tc>
        <w:tc>
          <w:tcPr>
            <w:tcW w:w="1595" w:type="dxa"/>
            <w:vAlign w:val="center"/>
          </w:tcPr>
          <w:p w:rsidR="00387640" w:rsidRDefault="00387640" w:rsidP="001A6453">
            <w:pPr>
              <w:jc w:val="right"/>
              <w:rPr>
                <w:b/>
                <w:bCs/>
                <w:color w:val="000000"/>
                <w:sz w:val="20"/>
              </w:rPr>
            </w:pPr>
            <w:r>
              <w:rPr>
                <w:b/>
                <w:bCs/>
                <w:color w:val="000000"/>
                <w:sz w:val="20"/>
              </w:rPr>
              <w:t>$97.6</w:t>
            </w:r>
          </w:p>
        </w:tc>
        <w:tc>
          <w:tcPr>
            <w:tcW w:w="1595" w:type="dxa"/>
            <w:vAlign w:val="center"/>
          </w:tcPr>
          <w:p w:rsidR="00387640" w:rsidRDefault="00387640" w:rsidP="001A6453">
            <w:pPr>
              <w:jc w:val="right"/>
              <w:rPr>
                <w:b/>
                <w:bCs/>
                <w:color w:val="000000"/>
                <w:sz w:val="20"/>
              </w:rPr>
            </w:pPr>
            <w:r>
              <w:rPr>
                <w:b/>
                <w:bCs/>
                <w:color w:val="000000"/>
                <w:sz w:val="20"/>
              </w:rPr>
              <w:t>$325.8</w:t>
            </w:r>
          </w:p>
        </w:tc>
      </w:tr>
      <w:tr w:rsidR="000E144F" w:rsidRPr="00C463F5" w:rsidTr="00AB5CD9">
        <w:tc>
          <w:tcPr>
            <w:tcW w:w="8721" w:type="dxa"/>
            <w:gridSpan w:val="4"/>
            <w:shd w:val="clear" w:color="auto" w:fill="C6D9F1" w:themeFill="text2" w:themeFillTint="33"/>
          </w:tcPr>
          <w:p w:rsidR="000E144F" w:rsidRPr="00C463F5" w:rsidRDefault="00A810F9" w:rsidP="00F268D2">
            <w:pPr>
              <w:pStyle w:val="BodyText"/>
              <w:spacing w:before="60" w:after="60"/>
              <w:jc w:val="left"/>
              <w:rPr>
                <w:sz w:val="20"/>
              </w:rPr>
            </w:pPr>
            <w:r w:rsidRPr="00C463F5">
              <w:rPr>
                <w:b/>
                <w:sz w:val="20"/>
              </w:rPr>
              <w:t>Benefits</w:t>
            </w:r>
          </w:p>
        </w:tc>
      </w:tr>
      <w:tr w:rsidR="00671098" w:rsidRPr="00C463F5" w:rsidTr="001A6453">
        <w:tc>
          <w:tcPr>
            <w:tcW w:w="3936" w:type="dxa"/>
            <w:shd w:val="clear" w:color="auto" w:fill="auto"/>
          </w:tcPr>
          <w:p w:rsidR="00671098" w:rsidRPr="00C463F5" w:rsidRDefault="00671098" w:rsidP="00F268D2">
            <w:pPr>
              <w:pStyle w:val="BodyText"/>
              <w:spacing w:before="60" w:after="60"/>
              <w:jc w:val="left"/>
              <w:rPr>
                <w:sz w:val="20"/>
              </w:rPr>
            </w:pPr>
            <w:r w:rsidRPr="00C463F5">
              <w:rPr>
                <w:color w:val="000000"/>
                <w:sz w:val="20"/>
              </w:rPr>
              <w:t>Avoided landfill costs – waste management</w:t>
            </w:r>
          </w:p>
        </w:tc>
        <w:tc>
          <w:tcPr>
            <w:tcW w:w="1595" w:type="dxa"/>
            <w:shd w:val="clear" w:color="auto" w:fill="auto"/>
            <w:vAlign w:val="center"/>
          </w:tcPr>
          <w:p w:rsidR="00671098" w:rsidRDefault="00671098" w:rsidP="001A6453">
            <w:pPr>
              <w:jc w:val="right"/>
              <w:rPr>
                <w:color w:val="000000"/>
                <w:sz w:val="20"/>
              </w:rPr>
            </w:pPr>
            <w:r>
              <w:rPr>
                <w:color w:val="000000"/>
                <w:sz w:val="20"/>
              </w:rPr>
              <w:t>$1.8</w:t>
            </w:r>
          </w:p>
        </w:tc>
        <w:tc>
          <w:tcPr>
            <w:tcW w:w="1595" w:type="dxa"/>
            <w:shd w:val="clear" w:color="auto" w:fill="auto"/>
            <w:vAlign w:val="center"/>
          </w:tcPr>
          <w:p w:rsidR="00671098" w:rsidRDefault="00671098" w:rsidP="001A6453">
            <w:pPr>
              <w:jc w:val="right"/>
              <w:rPr>
                <w:color w:val="000000"/>
                <w:sz w:val="20"/>
              </w:rPr>
            </w:pPr>
            <w:r>
              <w:rPr>
                <w:color w:val="000000"/>
                <w:sz w:val="20"/>
              </w:rPr>
              <w:t>$3.5</w:t>
            </w:r>
          </w:p>
        </w:tc>
        <w:tc>
          <w:tcPr>
            <w:tcW w:w="1595" w:type="dxa"/>
            <w:shd w:val="clear" w:color="auto" w:fill="auto"/>
            <w:vAlign w:val="center"/>
          </w:tcPr>
          <w:p w:rsidR="00671098" w:rsidRDefault="00671098" w:rsidP="001A6453">
            <w:pPr>
              <w:jc w:val="right"/>
              <w:rPr>
                <w:color w:val="000000"/>
                <w:sz w:val="20"/>
              </w:rPr>
            </w:pPr>
            <w:r>
              <w:rPr>
                <w:color w:val="000000"/>
                <w:sz w:val="20"/>
              </w:rPr>
              <w:t>$14.8</w:t>
            </w:r>
          </w:p>
        </w:tc>
      </w:tr>
      <w:tr w:rsidR="00671098" w:rsidRPr="00C463F5" w:rsidTr="001A6453">
        <w:tc>
          <w:tcPr>
            <w:tcW w:w="3936" w:type="dxa"/>
            <w:shd w:val="clear" w:color="auto" w:fill="auto"/>
          </w:tcPr>
          <w:p w:rsidR="00671098" w:rsidRPr="00C463F5" w:rsidRDefault="00671098" w:rsidP="00F268D2">
            <w:pPr>
              <w:pStyle w:val="BodyText"/>
              <w:spacing w:before="60" w:after="60"/>
              <w:jc w:val="left"/>
              <w:rPr>
                <w:sz w:val="20"/>
              </w:rPr>
            </w:pPr>
            <w:r w:rsidRPr="00C463F5">
              <w:rPr>
                <w:color w:val="000000"/>
                <w:sz w:val="20"/>
              </w:rPr>
              <w:t>Avoided landfill costs – environmental</w:t>
            </w:r>
          </w:p>
        </w:tc>
        <w:tc>
          <w:tcPr>
            <w:tcW w:w="1595" w:type="dxa"/>
            <w:shd w:val="clear" w:color="auto" w:fill="auto"/>
            <w:vAlign w:val="center"/>
          </w:tcPr>
          <w:p w:rsidR="00671098" w:rsidRDefault="00671098" w:rsidP="001A6453">
            <w:pPr>
              <w:jc w:val="right"/>
              <w:rPr>
                <w:color w:val="000000"/>
                <w:sz w:val="20"/>
              </w:rPr>
            </w:pPr>
            <w:r>
              <w:rPr>
                <w:color w:val="000000"/>
                <w:sz w:val="20"/>
              </w:rPr>
              <w:t>$0.4</w:t>
            </w:r>
          </w:p>
        </w:tc>
        <w:tc>
          <w:tcPr>
            <w:tcW w:w="1595" w:type="dxa"/>
            <w:shd w:val="clear" w:color="auto" w:fill="auto"/>
            <w:vAlign w:val="center"/>
          </w:tcPr>
          <w:p w:rsidR="00671098" w:rsidRDefault="00671098" w:rsidP="001A6453">
            <w:pPr>
              <w:jc w:val="right"/>
              <w:rPr>
                <w:color w:val="000000"/>
                <w:sz w:val="20"/>
              </w:rPr>
            </w:pPr>
            <w:r>
              <w:rPr>
                <w:color w:val="000000"/>
                <w:sz w:val="20"/>
              </w:rPr>
              <w:t>$0.7</w:t>
            </w:r>
          </w:p>
        </w:tc>
        <w:tc>
          <w:tcPr>
            <w:tcW w:w="1595" w:type="dxa"/>
            <w:shd w:val="clear" w:color="auto" w:fill="auto"/>
            <w:vAlign w:val="center"/>
          </w:tcPr>
          <w:p w:rsidR="00671098" w:rsidRDefault="00671098" w:rsidP="001A6453">
            <w:pPr>
              <w:jc w:val="right"/>
              <w:rPr>
                <w:color w:val="000000"/>
                <w:sz w:val="20"/>
              </w:rPr>
            </w:pPr>
            <w:r>
              <w:rPr>
                <w:color w:val="000000"/>
                <w:sz w:val="20"/>
              </w:rPr>
              <w:t>$3.0</w:t>
            </w:r>
          </w:p>
        </w:tc>
      </w:tr>
      <w:tr w:rsidR="00671098" w:rsidRPr="00C463F5" w:rsidTr="001A6453">
        <w:tc>
          <w:tcPr>
            <w:tcW w:w="3936" w:type="dxa"/>
            <w:shd w:val="clear" w:color="auto" w:fill="auto"/>
          </w:tcPr>
          <w:p w:rsidR="00671098" w:rsidRPr="00C463F5" w:rsidRDefault="00671098" w:rsidP="00F268D2">
            <w:pPr>
              <w:pStyle w:val="BodyText"/>
              <w:spacing w:before="60" w:after="60"/>
              <w:jc w:val="left"/>
              <w:rPr>
                <w:sz w:val="20"/>
              </w:rPr>
            </w:pPr>
            <w:r w:rsidRPr="00C463F5">
              <w:rPr>
                <w:color w:val="000000"/>
                <w:sz w:val="20"/>
              </w:rPr>
              <w:t xml:space="preserve">Metal resource recovery </w:t>
            </w:r>
          </w:p>
        </w:tc>
        <w:tc>
          <w:tcPr>
            <w:tcW w:w="1595" w:type="dxa"/>
            <w:shd w:val="clear" w:color="auto" w:fill="auto"/>
            <w:vAlign w:val="center"/>
          </w:tcPr>
          <w:p w:rsidR="00671098" w:rsidRDefault="00671098" w:rsidP="001A6453">
            <w:pPr>
              <w:jc w:val="right"/>
              <w:rPr>
                <w:color w:val="000000"/>
                <w:sz w:val="20"/>
              </w:rPr>
            </w:pPr>
            <w:r>
              <w:rPr>
                <w:color w:val="000000"/>
                <w:sz w:val="20"/>
              </w:rPr>
              <w:t>$0.0</w:t>
            </w:r>
          </w:p>
        </w:tc>
        <w:tc>
          <w:tcPr>
            <w:tcW w:w="1595" w:type="dxa"/>
            <w:shd w:val="clear" w:color="auto" w:fill="auto"/>
            <w:vAlign w:val="center"/>
          </w:tcPr>
          <w:p w:rsidR="00671098" w:rsidRDefault="00671098" w:rsidP="001A6453">
            <w:pPr>
              <w:jc w:val="right"/>
              <w:rPr>
                <w:color w:val="000000"/>
                <w:sz w:val="20"/>
              </w:rPr>
            </w:pPr>
            <w:r>
              <w:rPr>
                <w:color w:val="000000"/>
                <w:sz w:val="20"/>
              </w:rPr>
              <w:t>$0.0</w:t>
            </w:r>
          </w:p>
        </w:tc>
        <w:tc>
          <w:tcPr>
            <w:tcW w:w="1595" w:type="dxa"/>
            <w:shd w:val="clear" w:color="auto" w:fill="auto"/>
            <w:vAlign w:val="center"/>
          </w:tcPr>
          <w:p w:rsidR="00671098" w:rsidRDefault="00776C12" w:rsidP="001A6453">
            <w:pPr>
              <w:jc w:val="right"/>
              <w:rPr>
                <w:color w:val="000000"/>
                <w:sz w:val="20"/>
              </w:rPr>
            </w:pPr>
            <w:r>
              <w:rPr>
                <w:color w:val="000000"/>
                <w:sz w:val="20"/>
              </w:rPr>
              <w:t>$30.6</w:t>
            </w:r>
          </w:p>
        </w:tc>
      </w:tr>
      <w:tr w:rsidR="00671098" w:rsidRPr="00C463F5" w:rsidTr="001A6453">
        <w:tc>
          <w:tcPr>
            <w:tcW w:w="3936" w:type="dxa"/>
            <w:shd w:val="clear" w:color="auto" w:fill="auto"/>
          </w:tcPr>
          <w:p w:rsidR="00671098" w:rsidRPr="00C463F5" w:rsidRDefault="00671098" w:rsidP="00F268D2">
            <w:pPr>
              <w:pStyle w:val="BodyText"/>
              <w:spacing w:before="60" w:after="60"/>
              <w:jc w:val="left"/>
              <w:rPr>
                <w:color w:val="000000"/>
                <w:sz w:val="20"/>
              </w:rPr>
            </w:pPr>
            <w:r w:rsidRPr="00C463F5">
              <w:rPr>
                <w:color w:val="000000"/>
                <w:sz w:val="20"/>
              </w:rPr>
              <w:t>Plastic resource recovery</w:t>
            </w:r>
          </w:p>
        </w:tc>
        <w:tc>
          <w:tcPr>
            <w:tcW w:w="1595" w:type="dxa"/>
            <w:shd w:val="clear" w:color="auto" w:fill="auto"/>
            <w:vAlign w:val="center"/>
          </w:tcPr>
          <w:p w:rsidR="00671098" w:rsidRDefault="00671098" w:rsidP="001A6453">
            <w:pPr>
              <w:jc w:val="right"/>
              <w:rPr>
                <w:color w:val="000000"/>
                <w:sz w:val="20"/>
              </w:rPr>
            </w:pPr>
            <w:r>
              <w:rPr>
                <w:color w:val="000000"/>
                <w:sz w:val="20"/>
              </w:rPr>
              <w:t>$7.5</w:t>
            </w:r>
          </w:p>
        </w:tc>
        <w:tc>
          <w:tcPr>
            <w:tcW w:w="1595" w:type="dxa"/>
            <w:shd w:val="clear" w:color="auto" w:fill="auto"/>
            <w:vAlign w:val="center"/>
          </w:tcPr>
          <w:p w:rsidR="00671098" w:rsidRDefault="00671098" w:rsidP="001A6453">
            <w:pPr>
              <w:jc w:val="right"/>
              <w:rPr>
                <w:color w:val="000000"/>
                <w:sz w:val="20"/>
              </w:rPr>
            </w:pPr>
            <w:r>
              <w:rPr>
                <w:color w:val="000000"/>
                <w:sz w:val="20"/>
              </w:rPr>
              <w:t>$22.6</w:t>
            </w:r>
          </w:p>
        </w:tc>
        <w:tc>
          <w:tcPr>
            <w:tcW w:w="1595" w:type="dxa"/>
            <w:shd w:val="clear" w:color="auto" w:fill="auto"/>
            <w:vAlign w:val="center"/>
          </w:tcPr>
          <w:p w:rsidR="00671098" w:rsidRDefault="00671098" w:rsidP="001A6453">
            <w:pPr>
              <w:jc w:val="right"/>
              <w:rPr>
                <w:color w:val="000000"/>
                <w:sz w:val="20"/>
              </w:rPr>
            </w:pPr>
            <w:r>
              <w:rPr>
                <w:color w:val="000000"/>
                <w:sz w:val="20"/>
              </w:rPr>
              <w:t>$61.2</w:t>
            </w:r>
          </w:p>
        </w:tc>
      </w:tr>
      <w:tr w:rsidR="00671098" w:rsidRPr="00C463F5" w:rsidTr="001A6453">
        <w:tc>
          <w:tcPr>
            <w:tcW w:w="3936" w:type="dxa"/>
            <w:shd w:val="clear" w:color="auto" w:fill="auto"/>
          </w:tcPr>
          <w:p w:rsidR="00671098" w:rsidRPr="00C463F5" w:rsidRDefault="00671098" w:rsidP="00F268D2">
            <w:pPr>
              <w:pStyle w:val="BodyText"/>
              <w:spacing w:before="60" w:after="60"/>
              <w:jc w:val="left"/>
              <w:rPr>
                <w:sz w:val="20"/>
              </w:rPr>
            </w:pPr>
            <w:r w:rsidRPr="00C463F5">
              <w:rPr>
                <w:color w:val="000000"/>
                <w:sz w:val="20"/>
              </w:rPr>
              <w:t>Refrigerant gas recovery (emissions reduction)</w:t>
            </w:r>
          </w:p>
        </w:tc>
        <w:tc>
          <w:tcPr>
            <w:tcW w:w="1595" w:type="dxa"/>
            <w:shd w:val="clear" w:color="auto" w:fill="auto"/>
            <w:vAlign w:val="center"/>
          </w:tcPr>
          <w:p w:rsidR="00671098" w:rsidRDefault="00671098" w:rsidP="001A6453">
            <w:pPr>
              <w:jc w:val="right"/>
              <w:rPr>
                <w:color w:val="000000"/>
                <w:sz w:val="20"/>
              </w:rPr>
            </w:pPr>
            <w:r>
              <w:rPr>
                <w:color w:val="000000"/>
                <w:sz w:val="20"/>
              </w:rPr>
              <w:t>$1.3</w:t>
            </w:r>
          </w:p>
        </w:tc>
        <w:tc>
          <w:tcPr>
            <w:tcW w:w="1595" w:type="dxa"/>
            <w:shd w:val="clear" w:color="auto" w:fill="auto"/>
            <w:vAlign w:val="center"/>
          </w:tcPr>
          <w:p w:rsidR="00671098" w:rsidRDefault="00671098" w:rsidP="001A6453">
            <w:pPr>
              <w:jc w:val="right"/>
              <w:rPr>
                <w:color w:val="000000"/>
                <w:sz w:val="20"/>
              </w:rPr>
            </w:pPr>
            <w:r>
              <w:rPr>
                <w:color w:val="000000"/>
                <w:sz w:val="20"/>
              </w:rPr>
              <w:t>$1.3</w:t>
            </w:r>
          </w:p>
        </w:tc>
        <w:tc>
          <w:tcPr>
            <w:tcW w:w="1595" w:type="dxa"/>
            <w:shd w:val="clear" w:color="auto" w:fill="auto"/>
            <w:vAlign w:val="center"/>
          </w:tcPr>
          <w:p w:rsidR="00671098" w:rsidRDefault="00671098" w:rsidP="001A6453">
            <w:pPr>
              <w:jc w:val="right"/>
              <w:rPr>
                <w:color w:val="000000"/>
                <w:sz w:val="20"/>
              </w:rPr>
            </w:pPr>
            <w:r>
              <w:rPr>
                <w:color w:val="000000"/>
                <w:sz w:val="20"/>
              </w:rPr>
              <w:t>$9.1</w:t>
            </w:r>
          </w:p>
        </w:tc>
      </w:tr>
      <w:tr w:rsidR="00387640" w:rsidRPr="00C463F5" w:rsidTr="001A6453">
        <w:tc>
          <w:tcPr>
            <w:tcW w:w="3936" w:type="dxa"/>
            <w:shd w:val="clear" w:color="auto" w:fill="auto"/>
          </w:tcPr>
          <w:p w:rsidR="00387640" w:rsidRPr="00C463F5" w:rsidRDefault="00387640" w:rsidP="00F268D2">
            <w:pPr>
              <w:pStyle w:val="BodyText"/>
              <w:spacing w:before="60" w:after="60"/>
              <w:jc w:val="left"/>
              <w:rPr>
                <w:color w:val="000000"/>
                <w:sz w:val="20"/>
              </w:rPr>
            </w:pPr>
            <w:r>
              <w:rPr>
                <w:color w:val="000000"/>
                <w:sz w:val="20"/>
              </w:rPr>
              <w:t>Willingness to pay for additional recycling</w:t>
            </w:r>
          </w:p>
        </w:tc>
        <w:tc>
          <w:tcPr>
            <w:tcW w:w="1595" w:type="dxa"/>
            <w:shd w:val="clear" w:color="auto" w:fill="auto"/>
            <w:vAlign w:val="center"/>
          </w:tcPr>
          <w:p w:rsidR="00387640" w:rsidRDefault="00387640" w:rsidP="001A6453">
            <w:pPr>
              <w:jc w:val="right"/>
              <w:rPr>
                <w:color w:val="000000"/>
                <w:sz w:val="20"/>
              </w:rPr>
            </w:pPr>
            <w:r>
              <w:rPr>
                <w:color w:val="000000"/>
                <w:sz w:val="20"/>
              </w:rPr>
              <w:t>$0.6</w:t>
            </w:r>
          </w:p>
        </w:tc>
        <w:tc>
          <w:tcPr>
            <w:tcW w:w="1595" w:type="dxa"/>
            <w:shd w:val="clear" w:color="auto" w:fill="auto"/>
            <w:vAlign w:val="center"/>
          </w:tcPr>
          <w:p w:rsidR="00387640" w:rsidRDefault="00387640" w:rsidP="001A6453">
            <w:pPr>
              <w:jc w:val="right"/>
              <w:rPr>
                <w:color w:val="000000"/>
                <w:sz w:val="20"/>
              </w:rPr>
            </w:pPr>
            <w:r>
              <w:rPr>
                <w:color w:val="000000"/>
                <w:sz w:val="20"/>
              </w:rPr>
              <w:t>$5.3</w:t>
            </w:r>
          </w:p>
        </w:tc>
        <w:tc>
          <w:tcPr>
            <w:tcW w:w="1595" w:type="dxa"/>
            <w:shd w:val="clear" w:color="auto" w:fill="auto"/>
            <w:vAlign w:val="center"/>
          </w:tcPr>
          <w:p w:rsidR="00387640" w:rsidRDefault="00387640" w:rsidP="001A6453">
            <w:pPr>
              <w:jc w:val="right"/>
              <w:rPr>
                <w:color w:val="000000"/>
                <w:sz w:val="20"/>
              </w:rPr>
            </w:pPr>
            <w:r>
              <w:rPr>
                <w:color w:val="000000"/>
                <w:sz w:val="20"/>
              </w:rPr>
              <w:t>$52.0</w:t>
            </w:r>
          </w:p>
        </w:tc>
      </w:tr>
      <w:tr w:rsidR="00387640" w:rsidRPr="00C463F5" w:rsidTr="001A6453">
        <w:tc>
          <w:tcPr>
            <w:tcW w:w="3936" w:type="dxa"/>
            <w:shd w:val="clear" w:color="auto" w:fill="auto"/>
          </w:tcPr>
          <w:p w:rsidR="00387640" w:rsidRPr="00C463F5" w:rsidRDefault="00387640" w:rsidP="0060312D">
            <w:pPr>
              <w:pStyle w:val="BodyText"/>
              <w:spacing w:before="60" w:after="60"/>
              <w:jc w:val="left"/>
              <w:rPr>
                <w:b/>
                <w:sz w:val="20"/>
              </w:rPr>
            </w:pPr>
            <w:r w:rsidRPr="00C463F5">
              <w:rPr>
                <w:b/>
                <w:bCs/>
                <w:color w:val="000000"/>
                <w:sz w:val="20"/>
              </w:rPr>
              <w:t xml:space="preserve">Total Benefits </w:t>
            </w:r>
          </w:p>
        </w:tc>
        <w:tc>
          <w:tcPr>
            <w:tcW w:w="1595" w:type="dxa"/>
            <w:shd w:val="clear" w:color="auto" w:fill="auto"/>
            <w:vAlign w:val="center"/>
          </w:tcPr>
          <w:p w:rsidR="00387640" w:rsidRDefault="00387640" w:rsidP="001A6453">
            <w:pPr>
              <w:jc w:val="right"/>
              <w:rPr>
                <w:b/>
                <w:bCs/>
                <w:color w:val="000000"/>
                <w:sz w:val="20"/>
              </w:rPr>
            </w:pPr>
            <w:r>
              <w:rPr>
                <w:b/>
                <w:bCs/>
                <w:color w:val="000000"/>
                <w:sz w:val="20"/>
              </w:rPr>
              <w:t>$11.</w:t>
            </w:r>
            <w:r w:rsidR="00A850F5">
              <w:rPr>
                <w:b/>
                <w:bCs/>
                <w:color w:val="000000"/>
                <w:sz w:val="20"/>
              </w:rPr>
              <w:t>5</w:t>
            </w:r>
          </w:p>
        </w:tc>
        <w:tc>
          <w:tcPr>
            <w:tcW w:w="1595" w:type="dxa"/>
            <w:shd w:val="clear" w:color="auto" w:fill="auto"/>
            <w:vAlign w:val="center"/>
          </w:tcPr>
          <w:p w:rsidR="00387640" w:rsidRDefault="00387640" w:rsidP="001A6453">
            <w:pPr>
              <w:jc w:val="right"/>
              <w:rPr>
                <w:b/>
                <w:bCs/>
                <w:color w:val="000000"/>
                <w:sz w:val="20"/>
              </w:rPr>
            </w:pPr>
            <w:r>
              <w:rPr>
                <w:b/>
                <w:bCs/>
                <w:color w:val="000000"/>
                <w:sz w:val="20"/>
              </w:rPr>
              <w:t>$</w:t>
            </w:r>
            <w:r w:rsidR="00A850F5">
              <w:rPr>
                <w:b/>
                <w:bCs/>
                <w:color w:val="000000"/>
                <w:sz w:val="20"/>
              </w:rPr>
              <w:t>33.5</w:t>
            </w:r>
          </w:p>
        </w:tc>
        <w:tc>
          <w:tcPr>
            <w:tcW w:w="1595" w:type="dxa"/>
            <w:shd w:val="clear" w:color="auto" w:fill="auto"/>
            <w:vAlign w:val="center"/>
          </w:tcPr>
          <w:p w:rsidR="00387640" w:rsidRDefault="00387640" w:rsidP="001A6453">
            <w:pPr>
              <w:jc w:val="right"/>
              <w:rPr>
                <w:b/>
                <w:bCs/>
                <w:color w:val="000000"/>
                <w:sz w:val="20"/>
              </w:rPr>
            </w:pPr>
            <w:r>
              <w:rPr>
                <w:b/>
                <w:bCs/>
                <w:color w:val="000000"/>
                <w:sz w:val="20"/>
              </w:rPr>
              <w:t>$1</w:t>
            </w:r>
            <w:r w:rsidR="00A850F5">
              <w:rPr>
                <w:b/>
                <w:bCs/>
                <w:color w:val="000000"/>
                <w:sz w:val="20"/>
              </w:rPr>
              <w:t>70</w:t>
            </w:r>
            <w:r>
              <w:rPr>
                <w:b/>
                <w:bCs/>
                <w:color w:val="000000"/>
                <w:sz w:val="20"/>
              </w:rPr>
              <w:t>.6</w:t>
            </w:r>
          </w:p>
        </w:tc>
      </w:tr>
      <w:tr w:rsidR="000E144F" w:rsidRPr="00C463F5" w:rsidTr="00AB5CD9">
        <w:tc>
          <w:tcPr>
            <w:tcW w:w="8721" w:type="dxa"/>
            <w:gridSpan w:val="4"/>
            <w:shd w:val="clear" w:color="auto" w:fill="C6D9F1" w:themeFill="text2" w:themeFillTint="33"/>
          </w:tcPr>
          <w:p w:rsidR="000E144F" w:rsidRPr="00C463F5" w:rsidRDefault="000E144F" w:rsidP="00F268D2">
            <w:pPr>
              <w:pStyle w:val="BodyText"/>
              <w:spacing w:before="60" w:after="60"/>
              <w:jc w:val="left"/>
              <w:rPr>
                <w:sz w:val="20"/>
              </w:rPr>
            </w:pPr>
            <w:r w:rsidRPr="00C463F5">
              <w:rPr>
                <w:b/>
                <w:sz w:val="20"/>
              </w:rPr>
              <w:t>Summary</w:t>
            </w:r>
          </w:p>
        </w:tc>
      </w:tr>
      <w:tr w:rsidR="00387640" w:rsidRPr="00C463F5" w:rsidTr="001A6453">
        <w:tc>
          <w:tcPr>
            <w:tcW w:w="3936" w:type="dxa"/>
            <w:shd w:val="clear" w:color="auto" w:fill="auto"/>
          </w:tcPr>
          <w:p w:rsidR="00387640" w:rsidRPr="00C463F5" w:rsidRDefault="00387640" w:rsidP="003A6CDB">
            <w:pPr>
              <w:pStyle w:val="BodyText"/>
              <w:spacing w:before="60" w:after="60"/>
              <w:jc w:val="left"/>
              <w:rPr>
                <w:b/>
                <w:bCs/>
                <w:color w:val="000000"/>
                <w:sz w:val="20"/>
              </w:rPr>
            </w:pPr>
            <w:r w:rsidRPr="00C463F5">
              <w:rPr>
                <w:b/>
                <w:bCs/>
                <w:color w:val="000000"/>
                <w:sz w:val="20"/>
              </w:rPr>
              <w:t>NPV ($ million)</w:t>
            </w:r>
            <w:r>
              <w:rPr>
                <w:b/>
                <w:bCs/>
                <w:color w:val="000000"/>
                <w:sz w:val="20"/>
              </w:rPr>
              <w:t xml:space="preserve"> – with WTP</w:t>
            </w:r>
          </w:p>
        </w:tc>
        <w:tc>
          <w:tcPr>
            <w:tcW w:w="1595" w:type="dxa"/>
            <w:shd w:val="clear" w:color="auto" w:fill="auto"/>
            <w:vAlign w:val="center"/>
          </w:tcPr>
          <w:p w:rsidR="00387640" w:rsidRPr="002314AD" w:rsidRDefault="00387640" w:rsidP="001A6453">
            <w:pPr>
              <w:jc w:val="right"/>
              <w:rPr>
                <w:sz w:val="20"/>
              </w:rPr>
            </w:pPr>
            <w:r w:rsidRPr="002314AD">
              <w:rPr>
                <w:sz w:val="20"/>
              </w:rPr>
              <w:t>-$28.0</w:t>
            </w:r>
          </w:p>
        </w:tc>
        <w:tc>
          <w:tcPr>
            <w:tcW w:w="1595" w:type="dxa"/>
            <w:shd w:val="clear" w:color="auto" w:fill="auto"/>
            <w:vAlign w:val="center"/>
          </w:tcPr>
          <w:p w:rsidR="00387640" w:rsidRPr="002314AD" w:rsidRDefault="00387640" w:rsidP="001A6453">
            <w:pPr>
              <w:jc w:val="right"/>
              <w:rPr>
                <w:sz w:val="20"/>
              </w:rPr>
            </w:pPr>
            <w:r w:rsidRPr="002314AD">
              <w:rPr>
                <w:sz w:val="20"/>
              </w:rPr>
              <w:t>-$69.4</w:t>
            </w:r>
          </w:p>
        </w:tc>
        <w:tc>
          <w:tcPr>
            <w:tcW w:w="1595" w:type="dxa"/>
            <w:shd w:val="clear" w:color="auto" w:fill="auto"/>
            <w:vAlign w:val="center"/>
          </w:tcPr>
          <w:p w:rsidR="00387640" w:rsidRPr="002314AD" w:rsidRDefault="00387640" w:rsidP="001A6453">
            <w:pPr>
              <w:jc w:val="right"/>
              <w:rPr>
                <w:sz w:val="20"/>
              </w:rPr>
            </w:pPr>
            <w:r w:rsidRPr="002314AD">
              <w:rPr>
                <w:sz w:val="20"/>
              </w:rPr>
              <w:t>-$207.2</w:t>
            </w:r>
          </w:p>
        </w:tc>
      </w:tr>
      <w:tr w:rsidR="00387640" w:rsidRPr="00C463F5" w:rsidTr="001A6453">
        <w:tc>
          <w:tcPr>
            <w:tcW w:w="3936" w:type="dxa"/>
            <w:shd w:val="clear" w:color="auto" w:fill="auto"/>
          </w:tcPr>
          <w:p w:rsidR="00387640" w:rsidRPr="00C463F5" w:rsidRDefault="00387640" w:rsidP="003A6CDB">
            <w:pPr>
              <w:pStyle w:val="BodyText"/>
              <w:spacing w:before="60" w:after="60"/>
              <w:jc w:val="left"/>
              <w:rPr>
                <w:b/>
                <w:sz w:val="20"/>
              </w:rPr>
            </w:pPr>
            <w:r w:rsidRPr="00C463F5">
              <w:rPr>
                <w:b/>
                <w:bCs/>
                <w:color w:val="000000"/>
                <w:sz w:val="20"/>
              </w:rPr>
              <w:lastRenderedPageBreak/>
              <w:t>NPV ($ million)</w:t>
            </w:r>
            <w:r>
              <w:rPr>
                <w:b/>
                <w:bCs/>
                <w:color w:val="000000"/>
                <w:sz w:val="20"/>
              </w:rPr>
              <w:t xml:space="preserve"> – without WTP</w:t>
            </w:r>
          </w:p>
        </w:tc>
        <w:tc>
          <w:tcPr>
            <w:tcW w:w="1595" w:type="dxa"/>
            <w:shd w:val="clear" w:color="auto" w:fill="auto"/>
            <w:vAlign w:val="center"/>
          </w:tcPr>
          <w:p w:rsidR="00387640" w:rsidRPr="002314AD" w:rsidRDefault="00387640" w:rsidP="001A6453">
            <w:pPr>
              <w:jc w:val="right"/>
              <w:rPr>
                <w:sz w:val="20"/>
              </w:rPr>
            </w:pPr>
            <w:r w:rsidRPr="002314AD">
              <w:rPr>
                <w:sz w:val="20"/>
              </w:rPr>
              <w:t>-$28.5</w:t>
            </w:r>
          </w:p>
        </w:tc>
        <w:tc>
          <w:tcPr>
            <w:tcW w:w="1595" w:type="dxa"/>
            <w:shd w:val="clear" w:color="auto" w:fill="auto"/>
            <w:vAlign w:val="center"/>
          </w:tcPr>
          <w:p w:rsidR="00387640" w:rsidRPr="002314AD" w:rsidRDefault="00387640" w:rsidP="001A6453">
            <w:pPr>
              <w:jc w:val="right"/>
              <w:rPr>
                <w:sz w:val="20"/>
              </w:rPr>
            </w:pPr>
            <w:r w:rsidRPr="002314AD">
              <w:rPr>
                <w:sz w:val="20"/>
              </w:rPr>
              <w:t>-$74.7</w:t>
            </w:r>
          </w:p>
        </w:tc>
        <w:tc>
          <w:tcPr>
            <w:tcW w:w="1595" w:type="dxa"/>
            <w:shd w:val="clear" w:color="auto" w:fill="auto"/>
            <w:vAlign w:val="center"/>
          </w:tcPr>
          <w:p w:rsidR="00387640" w:rsidRPr="002314AD" w:rsidRDefault="00387640" w:rsidP="001A6453">
            <w:pPr>
              <w:jc w:val="right"/>
              <w:rPr>
                <w:sz w:val="20"/>
              </w:rPr>
            </w:pPr>
            <w:r w:rsidRPr="002314AD">
              <w:rPr>
                <w:sz w:val="20"/>
              </w:rPr>
              <w:t>-$259.2</w:t>
            </w:r>
          </w:p>
        </w:tc>
      </w:tr>
      <w:tr w:rsidR="00387640" w:rsidRPr="00C463F5" w:rsidTr="001A6453">
        <w:tc>
          <w:tcPr>
            <w:tcW w:w="3936" w:type="dxa"/>
            <w:shd w:val="clear" w:color="auto" w:fill="auto"/>
          </w:tcPr>
          <w:p w:rsidR="00387640" w:rsidRPr="00C463F5" w:rsidRDefault="00387640" w:rsidP="003A6CDB">
            <w:pPr>
              <w:pStyle w:val="BodyText"/>
              <w:spacing w:before="60" w:after="60"/>
              <w:jc w:val="left"/>
              <w:rPr>
                <w:b/>
                <w:bCs/>
                <w:color w:val="000000"/>
                <w:sz w:val="20"/>
              </w:rPr>
            </w:pPr>
            <w:r w:rsidRPr="00C463F5">
              <w:rPr>
                <w:b/>
                <w:bCs/>
                <w:color w:val="000000"/>
                <w:sz w:val="20"/>
              </w:rPr>
              <w:t>BCR</w:t>
            </w:r>
            <w:r>
              <w:rPr>
                <w:b/>
                <w:bCs/>
                <w:color w:val="000000"/>
                <w:sz w:val="20"/>
              </w:rPr>
              <w:t xml:space="preserve"> – with WTP</w:t>
            </w:r>
          </w:p>
        </w:tc>
        <w:tc>
          <w:tcPr>
            <w:tcW w:w="1595" w:type="dxa"/>
            <w:shd w:val="clear" w:color="auto" w:fill="auto"/>
            <w:vAlign w:val="center"/>
          </w:tcPr>
          <w:p w:rsidR="00387640" w:rsidRDefault="00387640" w:rsidP="001A6453">
            <w:pPr>
              <w:jc w:val="right"/>
              <w:rPr>
                <w:color w:val="000000"/>
                <w:sz w:val="20"/>
              </w:rPr>
            </w:pPr>
            <w:r>
              <w:rPr>
                <w:color w:val="000000"/>
                <w:sz w:val="20"/>
              </w:rPr>
              <w:t>0.28</w:t>
            </w:r>
          </w:p>
        </w:tc>
        <w:tc>
          <w:tcPr>
            <w:tcW w:w="1595" w:type="dxa"/>
            <w:shd w:val="clear" w:color="auto" w:fill="auto"/>
            <w:vAlign w:val="center"/>
          </w:tcPr>
          <w:p w:rsidR="00387640" w:rsidRDefault="00387640" w:rsidP="001A6453">
            <w:pPr>
              <w:jc w:val="right"/>
              <w:rPr>
                <w:color w:val="000000"/>
                <w:sz w:val="20"/>
              </w:rPr>
            </w:pPr>
            <w:r>
              <w:rPr>
                <w:color w:val="000000"/>
                <w:sz w:val="20"/>
              </w:rPr>
              <w:t>0.29</w:t>
            </w:r>
          </w:p>
        </w:tc>
        <w:tc>
          <w:tcPr>
            <w:tcW w:w="1595" w:type="dxa"/>
            <w:shd w:val="clear" w:color="auto" w:fill="auto"/>
            <w:vAlign w:val="center"/>
          </w:tcPr>
          <w:p w:rsidR="00387640" w:rsidRDefault="00387640" w:rsidP="001A6453">
            <w:pPr>
              <w:jc w:val="right"/>
              <w:rPr>
                <w:color w:val="000000"/>
                <w:sz w:val="20"/>
              </w:rPr>
            </w:pPr>
            <w:r>
              <w:rPr>
                <w:color w:val="000000"/>
                <w:sz w:val="20"/>
              </w:rPr>
              <w:t>0.36</w:t>
            </w:r>
          </w:p>
        </w:tc>
      </w:tr>
      <w:tr w:rsidR="00387640" w:rsidRPr="00C463F5" w:rsidTr="001A6453">
        <w:tc>
          <w:tcPr>
            <w:tcW w:w="3936" w:type="dxa"/>
            <w:shd w:val="clear" w:color="auto" w:fill="auto"/>
          </w:tcPr>
          <w:p w:rsidR="00387640" w:rsidRPr="00C463F5" w:rsidRDefault="00387640" w:rsidP="003A6CDB">
            <w:pPr>
              <w:pStyle w:val="BodyText"/>
              <w:spacing w:before="60" w:after="60"/>
              <w:jc w:val="left"/>
              <w:rPr>
                <w:b/>
                <w:sz w:val="20"/>
              </w:rPr>
            </w:pPr>
            <w:r w:rsidRPr="00C463F5">
              <w:rPr>
                <w:b/>
                <w:bCs/>
                <w:color w:val="000000"/>
                <w:sz w:val="20"/>
              </w:rPr>
              <w:t>BCR</w:t>
            </w:r>
            <w:r>
              <w:rPr>
                <w:b/>
                <w:bCs/>
                <w:color w:val="000000"/>
                <w:sz w:val="20"/>
              </w:rPr>
              <w:t xml:space="preserve"> – without WTP</w:t>
            </w:r>
          </w:p>
        </w:tc>
        <w:tc>
          <w:tcPr>
            <w:tcW w:w="1595" w:type="dxa"/>
            <w:shd w:val="clear" w:color="auto" w:fill="auto"/>
            <w:vAlign w:val="center"/>
          </w:tcPr>
          <w:p w:rsidR="00387640" w:rsidRDefault="00387640" w:rsidP="001A6453">
            <w:pPr>
              <w:jc w:val="right"/>
              <w:rPr>
                <w:color w:val="000000"/>
                <w:sz w:val="20"/>
              </w:rPr>
            </w:pPr>
            <w:r>
              <w:rPr>
                <w:color w:val="000000"/>
                <w:sz w:val="20"/>
              </w:rPr>
              <w:t>0.27</w:t>
            </w:r>
          </w:p>
        </w:tc>
        <w:tc>
          <w:tcPr>
            <w:tcW w:w="1595" w:type="dxa"/>
            <w:shd w:val="clear" w:color="auto" w:fill="auto"/>
            <w:vAlign w:val="center"/>
          </w:tcPr>
          <w:p w:rsidR="00387640" w:rsidRDefault="00387640" w:rsidP="001A6453">
            <w:pPr>
              <w:jc w:val="right"/>
              <w:rPr>
                <w:color w:val="000000"/>
                <w:sz w:val="20"/>
              </w:rPr>
            </w:pPr>
            <w:r>
              <w:rPr>
                <w:color w:val="000000"/>
                <w:sz w:val="20"/>
              </w:rPr>
              <w:t>0.23</w:t>
            </w:r>
          </w:p>
        </w:tc>
        <w:tc>
          <w:tcPr>
            <w:tcW w:w="1595" w:type="dxa"/>
            <w:shd w:val="clear" w:color="auto" w:fill="auto"/>
            <w:vAlign w:val="center"/>
          </w:tcPr>
          <w:p w:rsidR="00387640" w:rsidRDefault="00387640" w:rsidP="001A6453">
            <w:pPr>
              <w:jc w:val="right"/>
              <w:rPr>
                <w:color w:val="000000"/>
                <w:sz w:val="20"/>
              </w:rPr>
            </w:pPr>
            <w:r>
              <w:rPr>
                <w:color w:val="000000"/>
                <w:sz w:val="20"/>
              </w:rPr>
              <w:t>0.20</w:t>
            </w:r>
          </w:p>
        </w:tc>
      </w:tr>
    </w:tbl>
    <w:p w:rsidR="00196713" w:rsidRDefault="00C507D8" w:rsidP="00C507D8">
      <w:pPr>
        <w:pStyle w:val="Source"/>
      </w:pPr>
      <w:r>
        <w:t>NOTE: Totals may not sum due to rounding. All values are incremental to the base case.</w:t>
      </w:r>
    </w:p>
    <w:p w:rsidR="00C507D8" w:rsidRDefault="00C507D8" w:rsidP="00C507D8">
      <w:pPr>
        <w:pStyle w:val="Source"/>
      </w:pPr>
      <w:r>
        <w:t>Source: KPMG analysis</w:t>
      </w:r>
      <w:r w:rsidR="00C463F5">
        <w:t xml:space="preserve"> based on sources outlined in previous section. </w:t>
      </w:r>
    </w:p>
    <w:p w:rsidR="0081406E" w:rsidRDefault="008370C7">
      <w:pPr>
        <w:pStyle w:val="BodyText"/>
      </w:pPr>
      <w:r>
        <w:t xml:space="preserve">Under each option, the costs outweigh the benefits relative to the base case (status quo). The main drivers of the higher costs are those associated with additional retailer take back activities and disassembly of RAC equipment. The benefits under each option are largely driven by the </w:t>
      </w:r>
      <w:r w:rsidR="00D032F8">
        <w:t>level of resource recovery under each option</w:t>
      </w:r>
      <w:r w:rsidR="001F72BB">
        <w:t>,</w:t>
      </w:r>
      <w:r w:rsidR="00D032F8">
        <w:t xml:space="preserve"> the associated reduction in landfill related costs and the value of the resources themselves</w:t>
      </w:r>
      <w:r>
        <w:t xml:space="preserve">. </w:t>
      </w:r>
      <w:r w:rsidR="00776C12">
        <w:t xml:space="preserve"> The willingness to pay benefits </w:t>
      </w:r>
      <w:proofErr w:type="gramStart"/>
      <w:r w:rsidR="00776C12">
        <w:t>are</w:t>
      </w:r>
      <w:proofErr w:type="gramEnd"/>
      <w:r w:rsidR="00776C12">
        <w:t xml:space="preserve"> also significant, particularly under the mandatory scheme. </w:t>
      </w:r>
      <w:r>
        <w:t xml:space="preserve">The distribution of the costs and benefits under each option are outlined in further detail in the following section. </w:t>
      </w:r>
    </w:p>
    <w:p w:rsidR="00AE2473" w:rsidRPr="00B82153" w:rsidRDefault="00BF642D" w:rsidP="00AE2473">
      <w:pPr>
        <w:pStyle w:val="BodyText"/>
      </w:pPr>
      <w:bookmarkStart w:id="81" w:name="_Toc392772643"/>
      <w:bookmarkStart w:id="82" w:name="_Toc392773791"/>
      <w:bookmarkEnd w:id="81"/>
      <w:bookmarkEnd w:id="82"/>
      <w:r>
        <w:t>Further</w:t>
      </w:r>
      <w:r w:rsidR="00AE2473">
        <w:t>, the results for each option were compared with a recent analysis of a recycling scheme in Australia. Comparison shows that the BCR for the options are similar to those observed for the analysis of the costs and directly observable benefits of a national recycling scheme for televisions and computers</w:t>
      </w:r>
      <w:r w:rsidR="00AE2473">
        <w:rPr>
          <w:rStyle w:val="FootnoteReference"/>
        </w:rPr>
        <w:footnoteReference w:id="32"/>
      </w:r>
      <w:r w:rsidR="00AE2473">
        <w:t>.</w:t>
      </w:r>
    </w:p>
    <w:p w:rsidR="00C23FCB" w:rsidRDefault="00C23FCB" w:rsidP="00C507D8">
      <w:pPr>
        <w:pStyle w:val="Heading2"/>
      </w:pPr>
      <w:bookmarkStart w:id="83" w:name="_Toc403647591"/>
      <w:r>
        <w:t>Distributional Analysis</w:t>
      </w:r>
      <w:bookmarkEnd w:id="83"/>
    </w:p>
    <w:p w:rsidR="0081406E" w:rsidRDefault="00FD6BAA">
      <w:pPr>
        <w:pStyle w:val="BodyText"/>
      </w:pPr>
      <w:r>
        <w:t xml:space="preserve">The following sections outline the flow costs and benefits to different groups under each option. </w:t>
      </w:r>
    </w:p>
    <w:p w:rsidR="0081406E" w:rsidRDefault="00FD6BAA">
      <w:pPr>
        <w:pStyle w:val="Heading3"/>
      </w:pPr>
      <w:r>
        <w:t>Option 1 – Voluntary Scheme</w:t>
      </w:r>
    </w:p>
    <w:p w:rsidR="0081406E" w:rsidRDefault="00781317">
      <w:pPr>
        <w:pStyle w:val="BodyText"/>
      </w:pPr>
      <w:r>
        <w:t xml:space="preserve">The distribution of costs and benefits under a voluntary scheme are outlined in </w:t>
      </w:r>
      <w:r w:rsidR="00586F30">
        <w:fldChar w:fldCharType="begin"/>
      </w:r>
      <w:r>
        <w:instrText xml:space="preserve"> REF _Ref392483548 \h </w:instrText>
      </w:r>
      <w:r w:rsidR="00586F30">
        <w:fldChar w:fldCharType="separate"/>
      </w:r>
      <w:r w:rsidR="001E5D7A">
        <w:t xml:space="preserve">Table </w:t>
      </w:r>
      <w:r w:rsidR="001E5D7A">
        <w:rPr>
          <w:noProof/>
        </w:rPr>
        <w:t>5</w:t>
      </w:r>
      <w:r w:rsidR="001E5D7A">
        <w:noBreakHyphen/>
      </w:r>
      <w:r w:rsidR="001E5D7A">
        <w:rPr>
          <w:noProof/>
        </w:rPr>
        <w:t>2</w:t>
      </w:r>
      <w:r w:rsidR="00586F30">
        <w:fldChar w:fldCharType="end"/>
      </w:r>
      <w:r>
        <w:t>.</w:t>
      </w:r>
    </w:p>
    <w:p w:rsidR="00261751" w:rsidRDefault="00261751" w:rsidP="00261751">
      <w:pPr>
        <w:pStyle w:val="BodyText"/>
      </w:pPr>
      <w:r>
        <w:t xml:space="preserve">Under option 1, the largest costs are those associated with additional disassembly activity. As outlined in the previous section, disassembly is required to recover materials from RAC equipment and reduce the volume of shredder </w:t>
      </w:r>
      <w:proofErr w:type="spellStart"/>
      <w:r>
        <w:t>floc</w:t>
      </w:r>
      <w:proofErr w:type="spellEnd"/>
      <w:r>
        <w:t xml:space="preserve"> sent to landfill. Disassembly costs represent </w:t>
      </w:r>
      <w:r w:rsidR="00DB46DD">
        <w:t xml:space="preserve">54 </w:t>
      </w:r>
      <w:r>
        <w:t>per cent of the total costs under option 1 and are based on an average cost of disassembly of $</w:t>
      </w:r>
      <w:r w:rsidR="00DB46DD">
        <w:t xml:space="preserve">20 </w:t>
      </w:r>
      <w:r>
        <w:t xml:space="preserve">per unit </w:t>
      </w:r>
    </w:p>
    <w:p w:rsidR="00261751" w:rsidRDefault="00261751" w:rsidP="00261751">
      <w:pPr>
        <w:pStyle w:val="BodyText"/>
      </w:pPr>
      <w:r>
        <w:t>Additional retailer take back activities account for 39 per cent of the total costs under option 1.</w:t>
      </w:r>
      <w:r w:rsidR="00DB46DD">
        <w:t>E</w:t>
      </w:r>
      <w:r>
        <w:t xml:space="preserve">conomies of scale could potentially be achieved in the retailer take back process. For example, the scale of recovery may warrant establishment of a third-party purpose specific service. </w:t>
      </w:r>
    </w:p>
    <w:p w:rsidR="00261751" w:rsidRDefault="00261751" w:rsidP="00261751">
      <w:pPr>
        <w:pStyle w:val="BodyText"/>
      </w:pPr>
      <w:r>
        <w:t xml:space="preserve">Costs of regulatory compliance represent </w:t>
      </w:r>
      <w:r w:rsidR="00DB46DD">
        <w:t xml:space="preserve">8 </w:t>
      </w:r>
      <w:r>
        <w:t>per cent of total costs and are largely borne by industry.</w:t>
      </w:r>
    </w:p>
    <w:p w:rsidR="00261751" w:rsidRDefault="00261751" w:rsidP="00261751">
      <w:pPr>
        <w:pStyle w:val="BodyText"/>
      </w:pPr>
      <w:r>
        <w:t>The value of plastics recovered under option 1 account for 6</w:t>
      </w:r>
      <w:r w:rsidR="00BF642D">
        <w:t>6</w:t>
      </w:r>
      <w:r>
        <w:t xml:space="preserve"> per cent of the total benefits. Under option 1, benefits associated with lower emissions account for 1</w:t>
      </w:r>
      <w:r w:rsidR="00BF642D">
        <w:t>1</w:t>
      </w:r>
      <w:r>
        <w:t xml:space="preserve"> per cent of the total </w:t>
      </w:r>
      <w:r>
        <w:lastRenderedPageBreak/>
        <w:t xml:space="preserve">benefits. These benefits flow to the community and the environment in the form of avoided carbon emissions and the associated climate impacts. </w:t>
      </w:r>
    </w:p>
    <w:p w:rsidR="00261751" w:rsidRDefault="00261751" w:rsidP="00261751">
      <w:pPr>
        <w:pStyle w:val="BodyText"/>
      </w:pPr>
      <w:r>
        <w:t xml:space="preserve">In addition to the environmental benefits associated with avoided emissions, option 1 also results in a reduction in landfill related environmental externalities. These benefits represent </w:t>
      </w:r>
      <w:r w:rsidR="00DB46DD">
        <w:t xml:space="preserve">3 </w:t>
      </w:r>
      <w:r>
        <w:t xml:space="preserve">per cent of the total benefits. Savings in waste management costs, associated with lower landfill disposal, are estimated to represent </w:t>
      </w:r>
      <w:r w:rsidR="00BF642D">
        <w:t>18</w:t>
      </w:r>
      <w:r w:rsidR="00DB46DD">
        <w:t xml:space="preserve"> </w:t>
      </w:r>
      <w:r>
        <w:t>per cent of the total benefits under option 1.</w:t>
      </w:r>
    </w:p>
    <w:p w:rsidR="0081406E" w:rsidRDefault="00781317">
      <w:pPr>
        <w:pStyle w:val="Caption"/>
      </w:pPr>
      <w:bookmarkStart w:id="84" w:name="_Ref392483548"/>
      <w:bookmarkStart w:id="85" w:name="_Ref392758715"/>
      <w:r>
        <w:t xml:space="preserve">Table </w:t>
      </w:r>
      <w:r w:rsidR="00586F30">
        <w:fldChar w:fldCharType="begin"/>
      </w:r>
      <w:r w:rsidR="00C478AE">
        <w:instrText xml:space="preserve"> STYLEREF 1 \s </w:instrText>
      </w:r>
      <w:r w:rsidR="00586F30">
        <w:fldChar w:fldCharType="separate"/>
      </w:r>
      <w:r w:rsidR="001E5D7A">
        <w:rPr>
          <w:noProof/>
        </w:rPr>
        <w:t>5</w:t>
      </w:r>
      <w:r w:rsidR="00586F30">
        <w:rPr>
          <w:noProof/>
        </w:rPr>
        <w:fldChar w:fldCharType="end"/>
      </w:r>
      <w:r w:rsidR="00CE3BAC">
        <w:noBreakHyphen/>
      </w:r>
      <w:r w:rsidR="00586F30">
        <w:fldChar w:fldCharType="begin"/>
      </w:r>
      <w:r w:rsidR="00C478AE">
        <w:instrText xml:space="preserve"> SEQ Table \* ARABIC \s 1 </w:instrText>
      </w:r>
      <w:r w:rsidR="00586F30">
        <w:fldChar w:fldCharType="separate"/>
      </w:r>
      <w:r w:rsidR="001E5D7A">
        <w:rPr>
          <w:noProof/>
        </w:rPr>
        <w:t>2</w:t>
      </w:r>
      <w:r w:rsidR="00586F30">
        <w:rPr>
          <w:noProof/>
        </w:rPr>
        <w:fldChar w:fldCharType="end"/>
      </w:r>
      <w:bookmarkEnd w:id="84"/>
      <w:r>
        <w:t xml:space="preserve">: Distribution of costs and benefits, </w:t>
      </w:r>
      <w:r w:rsidR="00A028D0">
        <w:t>o</w:t>
      </w:r>
      <w:r>
        <w:t>ption 1</w:t>
      </w:r>
      <w:bookmarkEnd w:id="85"/>
      <w:r w:rsidR="0011645F">
        <w:t xml:space="preserve"> (PV @ 7% $million 2014)</w:t>
      </w:r>
    </w:p>
    <w:tbl>
      <w:tblPr>
        <w:tblStyle w:val="TableGrid"/>
        <w:tblW w:w="0" w:type="auto"/>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tblPr>
      <w:tblGrid>
        <w:gridCol w:w="4219"/>
        <w:gridCol w:w="1946"/>
        <w:gridCol w:w="1272"/>
        <w:gridCol w:w="1284"/>
      </w:tblGrid>
      <w:tr w:rsidR="00FD6BAA" w:rsidRPr="000E144F" w:rsidTr="00CC391F">
        <w:trPr>
          <w:tblHeader/>
        </w:trPr>
        <w:tc>
          <w:tcPr>
            <w:tcW w:w="4219" w:type="dxa"/>
            <w:shd w:val="clear" w:color="auto" w:fill="1F497D" w:themeFill="text2"/>
          </w:tcPr>
          <w:p w:rsidR="00FD6BAA" w:rsidRPr="000E144F" w:rsidRDefault="00FD6BAA" w:rsidP="00DC2AD4">
            <w:pPr>
              <w:pStyle w:val="BodyText"/>
              <w:spacing w:before="60" w:after="60"/>
              <w:rPr>
                <w:sz w:val="20"/>
              </w:rPr>
            </w:pPr>
          </w:p>
        </w:tc>
        <w:tc>
          <w:tcPr>
            <w:tcW w:w="1946" w:type="dxa"/>
            <w:shd w:val="clear" w:color="auto" w:fill="1F497D" w:themeFill="text2"/>
          </w:tcPr>
          <w:p w:rsidR="00FD6BAA" w:rsidRPr="000E144F" w:rsidRDefault="00FD6BAA" w:rsidP="00DC2AD4">
            <w:pPr>
              <w:pStyle w:val="BodyText"/>
              <w:spacing w:before="60" w:after="60"/>
              <w:jc w:val="right"/>
              <w:rPr>
                <w:b/>
                <w:color w:val="FFFFFF" w:themeColor="background1"/>
                <w:sz w:val="20"/>
              </w:rPr>
            </w:pPr>
            <w:r>
              <w:rPr>
                <w:b/>
                <w:color w:val="FFFFFF" w:themeColor="background1"/>
                <w:sz w:val="20"/>
              </w:rPr>
              <w:t>Bearer</w:t>
            </w:r>
            <w:r w:rsidR="00CC391F">
              <w:rPr>
                <w:b/>
                <w:color w:val="FFFFFF" w:themeColor="background1"/>
                <w:sz w:val="20"/>
              </w:rPr>
              <w:t xml:space="preserve"> </w:t>
            </w:r>
            <w:r>
              <w:rPr>
                <w:b/>
                <w:color w:val="FFFFFF" w:themeColor="background1"/>
                <w:sz w:val="20"/>
              </w:rPr>
              <w:t>/</w:t>
            </w:r>
            <w:r w:rsidR="00CC391F">
              <w:rPr>
                <w:b/>
                <w:color w:val="FFFFFF" w:themeColor="background1"/>
                <w:sz w:val="20"/>
              </w:rPr>
              <w:t xml:space="preserve"> </w:t>
            </w:r>
            <w:r w:rsidR="00CC391F">
              <w:rPr>
                <w:b/>
                <w:color w:val="FFFFFF" w:themeColor="background1"/>
                <w:sz w:val="20"/>
              </w:rPr>
              <w:br/>
            </w:r>
            <w:r>
              <w:rPr>
                <w:b/>
                <w:color w:val="FFFFFF" w:themeColor="background1"/>
                <w:sz w:val="20"/>
              </w:rPr>
              <w:t>Beneficiary</w:t>
            </w:r>
          </w:p>
        </w:tc>
        <w:tc>
          <w:tcPr>
            <w:tcW w:w="1272" w:type="dxa"/>
            <w:shd w:val="clear" w:color="auto" w:fill="1F497D" w:themeFill="text2"/>
          </w:tcPr>
          <w:p w:rsidR="00FD6BAA" w:rsidRPr="000E144F" w:rsidRDefault="00FD6BAA" w:rsidP="00DC2AD4">
            <w:pPr>
              <w:pStyle w:val="BodyText"/>
              <w:spacing w:before="60" w:after="60"/>
              <w:jc w:val="right"/>
              <w:rPr>
                <w:b/>
                <w:color w:val="FFFFFF" w:themeColor="background1"/>
                <w:sz w:val="20"/>
              </w:rPr>
            </w:pPr>
            <w:r>
              <w:rPr>
                <w:b/>
                <w:color w:val="FFFFFF" w:themeColor="background1"/>
                <w:sz w:val="20"/>
              </w:rPr>
              <w:t>Cost/Benefit ($m)</w:t>
            </w:r>
          </w:p>
        </w:tc>
        <w:tc>
          <w:tcPr>
            <w:tcW w:w="1284" w:type="dxa"/>
            <w:shd w:val="clear" w:color="auto" w:fill="1F497D" w:themeFill="text2"/>
            <w:vAlign w:val="center"/>
          </w:tcPr>
          <w:p w:rsidR="0081406E" w:rsidRDefault="00FD6BAA">
            <w:pPr>
              <w:pStyle w:val="BodyText"/>
              <w:spacing w:before="60" w:after="60"/>
              <w:jc w:val="right"/>
              <w:rPr>
                <w:b/>
                <w:color w:val="FFFFFF" w:themeColor="background1"/>
                <w:sz w:val="20"/>
              </w:rPr>
            </w:pPr>
            <w:r>
              <w:rPr>
                <w:b/>
                <w:color w:val="FFFFFF" w:themeColor="background1"/>
                <w:sz w:val="20"/>
              </w:rPr>
              <w:t>Share of total (%)</w:t>
            </w:r>
          </w:p>
        </w:tc>
      </w:tr>
      <w:tr w:rsidR="00FD6BAA" w:rsidRPr="000E144F" w:rsidTr="00DC2AD4">
        <w:tc>
          <w:tcPr>
            <w:tcW w:w="8721" w:type="dxa"/>
            <w:gridSpan w:val="4"/>
            <w:shd w:val="clear" w:color="auto" w:fill="C6D9F1" w:themeFill="text2" w:themeFillTint="33"/>
          </w:tcPr>
          <w:p w:rsidR="00FD6BAA" w:rsidRPr="000E144F" w:rsidRDefault="00FD6BAA" w:rsidP="00DC2AD4">
            <w:pPr>
              <w:pStyle w:val="BodyText"/>
              <w:spacing w:before="60" w:after="60"/>
              <w:rPr>
                <w:sz w:val="20"/>
              </w:rPr>
            </w:pPr>
            <w:r w:rsidRPr="000E144F">
              <w:rPr>
                <w:b/>
                <w:sz w:val="20"/>
              </w:rPr>
              <w:t>Costs</w:t>
            </w:r>
          </w:p>
        </w:tc>
      </w:tr>
      <w:tr w:rsidR="00671098" w:rsidRPr="000E144F" w:rsidTr="00671098">
        <w:tc>
          <w:tcPr>
            <w:tcW w:w="4219" w:type="dxa"/>
          </w:tcPr>
          <w:p w:rsidR="00671098" w:rsidRPr="00460A07" w:rsidRDefault="00671098" w:rsidP="00DC2AD4">
            <w:pPr>
              <w:pStyle w:val="BodyText"/>
              <w:spacing w:before="60" w:after="60"/>
              <w:jc w:val="left"/>
              <w:rPr>
                <w:sz w:val="20"/>
              </w:rPr>
            </w:pPr>
            <w:r w:rsidRPr="00E10441">
              <w:rPr>
                <w:color w:val="000000"/>
                <w:sz w:val="20"/>
              </w:rPr>
              <w:t>Cost of regulatory compliance – government</w:t>
            </w:r>
          </w:p>
        </w:tc>
        <w:tc>
          <w:tcPr>
            <w:tcW w:w="1946" w:type="dxa"/>
            <w:vAlign w:val="bottom"/>
          </w:tcPr>
          <w:p w:rsidR="00671098" w:rsidRPr="00460A07" w:rsidRDefault="00671098" w:rsidP="00DC2AD4">
            <w:pPr>
              <w:pStyle w:val="BodyText"/>
              <w:spacing w:before="60" w:after="60"/>
              <w:jc w:val="right"/>
              <w:rPr>
                <w:sz w:val="20"/>
              </w:rPr>
            </w:pPr>
            <w:r w:rsidRPr="00E10441">
              <w:rPr>
                <w:color w:val="000000"/>
                <w:sz w:val="20"/>
              </w:rPr>
              <w:t>Government</w:t>
            </w:r>
          </w:p>
        </w:tc>
        <w:tc>
          <w:tcPr>
            <w:tcW w:w="1272" w:type="dxa"/>
            <w:vAlign w:val="center"/>
          </w:tcPr>
          <w:p w:rsidR="00671098" w:rsidRDefault="00671098" w:rsidP="00671098">
            <w:pPr>
              <w:jc w:val="right"/>
              <w:rPr>
                <w:color w:val="000000"/>
                <w:sz w:val="20"/>
              </w:rPr>
            </w:pPr>
            <w:r>
              <w:rPr>
                <w:color w:val="000000"/>
                <w:sz w:val="20"/>
              </w:rPr>
              <w:t>$1.0</w:t>
            </w:r>
          </w:p>
        </w:tc>
        <w:tc>
          <w:tcPr>
            <w:tcW w:w="1284" w:type="dxa"/>
            <w:vAlign w:val="center"/>
          </w:tcPr>
          <w:p w:rsidR="00671098" w:rsidRDefault="00DB46DD" w:rsidP="00671098">
            <w:pPr>
              <w:jc w:val="right"/>
              <w:rPr>
                <w:color w:val="000000"/>
                <w:sz w:val="20"/>
              </w:rPr>
            </w:pPr>
            <w:r>
              <w:rPr>
                <w:color w:val="000000"/>
                <w:sz w:val="20"/>
              </w:rPr>
              <w:t>3</w:t>
            </w:r>
            <w:r w:rsidR="00671098">
              <w:rPr>
                <w:color w:val="000000"/>
                <w:sz w:val="20"/>
              </w:rPr>
              <w:t>%</w:t>
            </w:r>
          </w:p>
        </w:tc>
      </w:tr>
      <w:tr w:rsidR="00671098" w:rsidRPr="000E144F" w:rsidTr="00671098">
        <w:tc>
          <w:tcPr>
            <w:tcW w:w="4219" w:type="dxa"/>
          </w:tcPr>
          <w:p w:rsidR="00671098" w:rsidRPr="00460A07" w:rsidRDefault="00671098" w:rsidP="00DC2AD4">
            <w:pPr>
              <w:pStyle w:val="BodyText"/>
              <w:spacing w:before="60" w:after="60"/>
              <w:jc w:val="left"/>
              <w:rPr>
                <w:sz w:val="20"/>
              </w:rPr>
            </w:pPr>
            <w:r w:rsidRPr="00E10441">
              <w:rPr>
                <w:color w:val="000000"/>
                <w:sz w:val="20"/>
              </w:rPr>
              <w:t>Cost of regulatory compliance – industry</w:t>
            </w:r>
          </w:p>
        </w:tc>
        <w:tc>
          <w:tcPr>
            <w:tcW w:w="1946" w:type="dxa"/>
            <w:vAlign w:val="bottom"/>
          </w:tcPr>
          <w:p w:rsidR="00671098" w:rsidRPr="00460A07" w:rsidRDefault="00671098" w:rsidP="00DC2AD4">
            <w:pPr>
              <w:pStyle w:val="BodyText"/>
              <w:spacing w:before="60" w:after="60"/>
              <w:jc w:val="right"/>
              <w:rPr>
                <w:sz w:val="20"/>
              </w:rPr>
            </w:pPr>
            <w:r w:rsidRPr="00E10441">
              <w:rPr>
                <w:color w:val="000000"/>
                <w:sz w:val="20"/>
              </w:rPr>
              <w:t>Industry (importers)</w:t>
            </w:r>
          </w:p>
        </w:tc>
        <w:tc>
          <w:tcPr>
            <w:tcW w:w="1272" w:type="dxa"/>
            <w:vAlign w:val="center"/>
          </w:tcPr>
          <w:p w:rsidR="00671098" w:rsidRDefault="00671098" w:rsidP="00671098">
            <w:pPr>
              <w:jc w:val="right"/>
              <w:rPr>
                <w:color w:val="000000"/>
                <w:sz w:val="20"/>
              </w:rPr>
            </w:pPr>
            <w:r>
              <w:rPr>
                <w:color w:val="000000"/>
                <w:sz w:val="20"/>
              </w:rPr>
              <w:t>$2.0</w:t>
            </w:r>
          </w:p>
        </w:tc>
        <w:tc>
          <w:tcPr>
            <w:tcW w:w="1284" w:type="dxa"/>
            <w:vAlign w:val="center"/>
          </w:tcPr>
          <w:p w:rsidR="00671098" w:rsidRDefault="00DB46DD" w:rsidP="00671098">
            <w:pPr>
              <w:jc w:val="right"/>
              <w:rPr>
                <w:color w:val="000000"/>
                <w:sz w:val="20"/>
              </w:rPr>
            </w:pPr>
            <w:r>
              <w:rPr>
                <w:color w:val="000000"/>
                <w:sz w:val="20"/>
              </w:rPr>
              <w:t>5</w:t>
            </w:r>
            <w:r w:rsidR="00671098">
              <w:rPr>
                <w:color w:val="000000"/>
                <w:sz w:val="20"/>
              </w:rPr>
              <w:t>%</w:t>
            </w:r>
          </w:p>
        </w:tc>
      </w:tr>
      <w:tr w:rsidR="00671098" w:rsidRPr="000E144F" w:rsidTr="00671098">
        <w:tc>
          <w:tcPr>
            <w:tcW w:w="4219" w:type="dxa"/>
          </w:tcPr>
          <w:p w:rsidR="00671098" w:rsidRPr="00460A07" w:rsidRDefault="00671098" w:rsidP="00DC2AD4">
            <w:pPr>
              <w:pStyle w:val="BodyText"/>
              <w:spacing w:before="60" w:after="60"/>
              <w:jc w:val="left"/>
              <w:rPr>
                <w:sz w:val="20"/>
              </w:rPr>
            </w:pPr>
            <w:r w:rsidRPr="00E10441">
              <w:rPr>
                <w:color w:val="000000"/>
                <w:sz w:val="20"/>
              </w:rPr>
              <w:t>Retailer take back scheme</w:t>
            </w:r>
          </w:p>
        </w:tc>
        <w:tc>
          <w:tcPr>
            <w:tcW w:w="1946" w:type="dxa"/>
            <w:vAlign w:val="bottom"/>
          </w:tcPr>
          <w:p w:rsidR="00671098" w:rsidRPr="00460A07" w:rsidRDefault="00671098" w:rsidP="00DC2AD4">
            <w:pPr>
              <w:pStyle w:val="BodyText"/>
              <w:spacing w:before="60" w:after="60"/>
              <w:jc w:val="right"/>
              <w:rPr>
                <w:sz w:val="20"/>
              </w:rPr>
            </w:pPr>
            <w:r w:rsidRPr="00E10441">
              <w:rPr>
                <w:color w:val="000000"/>
                <w:sz w:val="20"/>
              </w:rPr>
              <w:t>Industry (retailers)</w:t>
            </w:r>
          </w:p>
        </w:tc>
        <w:tc>
          <w:tcPr>
            <w:tcW w:w="1272" w:type="dxa"/>
            <w:vAlign w:val="center"/>
          </w:tcPr>
          <w:p w:rsidR="00671098" w:rsidRDefault="00671098" w:rsidP="002744CB">
            <w:pPr>
              <w:jc w:val="right"/>
              <w:rPr>
                <w:color w:val="000000"/>
                <w:sz w:val="20"/>
              </w:rPr>
            </w:pPr>
            <w:r>
              <w:rPr>
                <w:color w:val="000000"/>
                <w:sz w:val="20"/>
              </w:rPr>
              <w:t>$</w:t>
            </w:r>
            <w:r w:rsidR="002744CB">
              <w:rPr>
                <w:color w:val="000000"/>
                <w:sz w:val="20"/>
              </w:rPr>
              <w:t>14.8</w:t>
            </w:r>
          </w:p>
        </w:tc>
        <w:tc>
          <w:tcPr>
            <w:tcW w:w="1284" w:type="dxa"/>
            <w:vAlign w:val="center"/>
          </w:tcPr>
          <w:p w:rsidR="00671098" w:rsidRDefault="00DB46DD" w:rsidP="00DB46DD">
            <w:pPr>
              <w:jc w:val="right"/>
              <w:rPr>
                <w:color w:val="000000"/>
                <w:sz w:val="20"/>
              </w:rPr>
            </w:pPr>
            <w:r>
              <w:rPr>
                <w:color w:val="000000"/>
                <w:sz w:val="20"/>
              </w:rPr>
              <w:t>38</w:t>
            </w:r>
            <w:r w:rsidR="00671098">
              <w:rPr>
                <w:color w:val="000000"/>
                <w:sz w:val="20"/>
              </w:rPr>
              <w:t>%</w:t>
            </w:r>
          </w:p>
        </w:tc>
      </w:tr>
      <w:tr w:rsidR="00671098" w:rsidRPr="000E144F" w:rsidTr="00671098">
        <w:tc>
          <w:tcPr>
            <w:tcW w:w="4219" w:type="dxa"/>
          </w:tcPr>
          <w:p w:rsidR="00671098" w:rsidRPr="00460A07" w:rsidRDefault="00671098" w:rsidP="00DC2AD4">
            <w:pPr>
              <w:pStyle w:val="BodyText"/>
              <w:spacing w:before="60" w:after="60"/>
              <w:jc w:val="left"/>
              <w:rPr>
                <w:sz w:val="20"/>
              </w:rPr>
            </w:pPr>
            <w:r w:rsidRPr="00E10441">
              <w:rPr>
                <w:color w:val="000000"/>
                <w:sz w:val="20"/>
              </w:rPr>
              <w:t>Cost of disassembly</w:t>
            </w:r>
          </w:p>
        </w:tc>
        <w:tc>
          <w:tcPr>
            <w:tcW w:w="1946" w:type="dxa"/>
            <w:vAlign w:val="bottom"/>
          </w:tcPr>
          <w:p w:rsidR="00671098" w:rsidRPr="00460A07" w:rsidRDefault="00671098" w:rsidP="00DC2AD4">
            <w:pPr>
              <w:pStyle w:val="BodyText"/>
              <w:spacing w:before="60" w:after="60"/>
              <w:jc w:val="right"/>
              <w:rPr>
                <w:sz w:val="20"/>
              </w:rPr>
            </w:pPr>
            <w:r w:rsidRPr="00E10441">
              <w:rPr>
                <w:color w:val="000000"/>
                <w:sz w:val="20"/>
              </w:rPr>
              <w:t>Industry</w:t>
            </w:r>
          </w:p>
        </w:tc>
        <w:tc>
          <w:tcPr>
            <w:tcW w:w="1272" w:type="dxa"/>
            <w:vAlign w:val="center"/>
          </w:tcPr>
          <w:p w:rsidR="00671098" w:rsidRDefault="00671098" w:rsidP="00DB46DD">
            <w:pPr>
              <w:jc w:val="right"/>
              <w:rPr>
                <w:color w:val="000000"/>
                <w:sz w:val="20"/>
              </w:rPr>
            </w:pPr>
            <w:r>
              <w:rPr>
                <w:color w:val="000000"/>
                <w:sz w:val="20"/>
              </w:rPr>
              <w:t>$</w:t>
            </w:r>
            <w:r w:rsidR="00DB46DD">
              <w:rPr>
                <w:color w:val="000000"/>
                <w:sz w:val="20"/>
              </w:rPr>
              <w:t>21.1</w:t>
            </w:r>
          </w:p>
        </w:tc>
        <w:tc>
          <w:tcPr>
            <w:tcW w:w="1284" w:type="dxa"/>
            <w:vAlign w:val="center"/>
          </w:tcPr>
          <w:p w:rsidR="00671098" w:rsidRDefault="00DB46DD" w:rsidP="00DB46DD">
            <w:pPr>
              <w:jc w:val="right"/>
              <w:rPr>
                <w:color w:val="000000"/>
                <w:sz w:val="20"/>
              </w:rPr>
            </w:pPr>
            <w:r>
              <w:rPr>
                <w:color w:val="000000"/>
                <w:sz w:val="20"/>
              </w:rPr>
              <w:t>54</w:t>
            </w:r>
            <w:r w:rsidR="00671098">
              <w:rPr>
                <w:color w:val="000000"/>
                <w:sz w:val="20"/>
              </w:rPr>
              <w:t>%</w:t>
            </w:r>
          </w:p>
        </w:tc>
      </w:tr>
      <w:tr w:rsidR="00671098" w:rsidRPr="000E144F" w:rsidTr="00671098">
        <w:tc>
          <w:tcPr>
            <w:tcW w:w="4219" w:type="dxa"/>
          </w:tcPr>
          <w:p w:rsidR="00671098" w:rsidRDefault="00671098">
            <w:pPr>
              <w:pStyle w:val="BodyText"/>
              <w:spacing w:before="60" w:after="60"/>
              <w:jc w:val="left"/>
              <w:rPr>
                <w:b/>
                <w:sz w:val="20"/>
              </w:rPr>
            </w:pPr>
            <w:r w:rsidRPr="00E10441">
              <w:rPr>
                <w:b/>
                <w:bCs/>
                <w:color w:val="000000"/>
                <w:sz w:val="20"/>
              </w:rPr>
              <w:t xml:space="preserve">Total </w:t>
            </w:r>
            <w:r>
              <w:rPr>
                <w:b/>
                <w:bCs/>
                <w:color w:val="000000"/>
                <w:sz w:val="20"/>
              </w:rPr>
              <w:t>c</w:t>
            </w:r>
            <w:r w:rsidRPr="00E10441">
              <w:rPr>
                <w:b/>
                <w:bCs/>
                <w:color w:val="000000"/>
                <w:sz w:val="20"/>
              </w:rPr>
              <w:t>osts</w:t>
            </w:r>
          </w:p>
        </w:tc>
        <w:tc>
          <w:tcPr>
            <w:tcW w:w="1946" w:type="dxa"/>
            <w:vAlign w:val="bottom"/>
          </w:tcPr>
          <w:p w:rsidR="00671098" w:rsidRPr="00460A07" w:rsidRDefault="00671098" w:rsidP="00DC2AD4">
            <w:pPr>
              <w:pStyle w:val="BodyText"/>
              <w:spacing w:before="60" w:after="60"/>
              <w:jc w:val="right"/>
              <w:rPr>
                <w:sz w:val="20"/>
              </w:rPr>
            </w:pPr>
            <w:r w:rsidRPr="00E10441">
              <w:rPr>
                <w:color w:val="000000"/>
                <w:sz w:val="20"/>
              </w:rPr>
              <w:t> </w:t>
            </w:r>
          </w:p>
        </w:tc>
        <w:tc>
          <w:tcPr>
            <w:tcW w:w="1272" w:type="dxa"/>
            <w:vAlign w:val="center"/>
          </w:tcPr>
          <w:p w:rsidR="00671098" w:rsidRDefault="00671098" w:rsidP="00DB46DD">
            <w:pPr>
              <w:jc w:val="right"/>
              <w:rPr>
                <w:b/>
                <w:bCs/>
                <w:color w:val="000000"/>
                <w:sz w:val="20"/>
              </w:rPr>
            </w:pPr>
            <w:r>
              <w:rPr>
                <w:b/>
                <w:bCs/>
                <w:color w:val="000000"/>
                <w:sz w:val="20"/>
              </w:rPr>
              <w:t>$</w:t>
            </w:r>
            <w:r w:rsidR="00DB46DD">
              <w:rPr>
                <w:b/>
                <w:bCs/>
                <w:color w:val="000000"/>
                <w:sz w:val="20"/>
              </w:rPr>
              <w:t>39.0</w:t>
            </w:r>
          </w:p>
        </w:tc>
        <w:tc>
          <w:tcPr>
            <w:tcW w:w="1284" w:type="dxa"/>
            <w:vAlign w:val="bottom"/>
          </w:tcPr>
          <w:p w:rsidR="00671098" w:rsidRPr="00460A07" w:rsidRDefault="00671098" w:rsidP="00DC2AD4">
            <w:pPr>
              <w:pStyle w:val="BodyText"/>
              <w:spacing w:before="60" w:after="60"/>
              <w:jc w:val="right"/>
              <w:rPr>
                <w:sz w:val="20"/>
              </w:rPr>
            </w:pPr>
            <w:r w:rsidRPr="00E10441">
              <w:rPr>
                <w:b/>
                <w:bCs/>
                <w:color w:val="000000"/>
                <w:sz w:val="20"/>
              </w:rPr>
              <w:t>100%</w:t>
            </w:r>
          </w:p>
        </w:tc>
      </w:tr>
      <w:tr w:rsidR="00FD6BAA" w:rsidRPr="000E144F" w:rsidTr="00DC2AD4">
        <w:tc>
          <w:tcPr>
            <w:tcW w:w="8721" w:type="dxa"/>
            <w:gridSpan w:val="4"/>
            <w:shd w:val="clear" w:color="auto" w:fill="C6D9F1" w:themeFill="text2" w:themeFillTint="33"/>
          </w:tcPr>
          <w:p w:rsidR="00FD6BAA" w:rsidRPr="000E144F" w:rsidRDefault="00FD6BAA" w:rsidP="00DC2AD4">
            <w:pPr>
              <w:pStyle w:val="BodyText"/>
              <w:spacing w:before="60" w:after="60"/>
              <w:jc w:val="left"/>
              <w:rPr>
                <w:sz w:val="20"/>
              </w:rPr>
            </w:pPr>
            <w:r w:rsidRPr="000E144F">
              <w:rPr>
                <w:b/>
                <w:sz w:val="20"/>
              </w:rPr>
              <w:t>Benefits</w:t>
            </w:r>
          </w:p>
        </w:tc>
      </w:tr>
      <w:tr w:rsidR="00671098" w:rsidRPr="000E144F" w:rsidTr="00671098">
        <w:tc>
          <w:tcPr>
            <w:tcW w:w="4219" w:type="dxa"/>
            <w:shd w:val="clear" w:color="auto" w:fill="auto"/>
          </w:tcPr>
          <w:p w:rsidR="00671098" w:rsidRPr="00460A07" w:rsidRDefault="00671098" w:rsidP="00DC2AD4">
            <w:pPr>
              <w:pStyle w:val="BodyText"/>
              <w:spacing w:before="60" w:after="60"/>
              <w:jc w:val="left"/>
              <w:rPr>
                <w:sz w:val="20"/>
              </w:rPr>
            </w:pPr>
            <w:r>
              <w:rPr>
                <w:color w:val="000000"/>
                <w:sz w:val="20"/>
              </w:rPr>
              <w:t>Avoided landfill costs – waste management</w:t>
            </w:r>
          </w:p>
        </w:tc>
        <w:tc>
          <w:tcPr>
            <w:tcW w:w="1946" w:type="dxa"/>
            <w:shd w:val="clear" w:color="auto" w:fill="auto"/>
            <w:vAlign w:val="bottom"/>
          </w:tcPr>
          <w:p w:rsidR="00671098" w:rsidRPr="00460A07" w:rsidRDefault="00671098" w:rsidP="00DC2AD4">
            <w:pPr>
              <w:pStyle w:val="BodyText"/>
              <w:spacing w:before="60" w:after="60"/>
              <w:jc w:val="right"/>
              <w:rPr>
                <w:sz w:val="20"/>
              </w:rPr>
            </w:pPr>
            <w:r>
              <w:rPr>
                <w:color w:val="000000"/>
                <w:sz w:val="20"/>
              </w:rPr>
              <w:t>Landfill operators (Local Government)</w:t>
            </w:r>
          </w:p>
        </w:tc>
        <w:tc>
          <w:tcPr>
            <w:tcW w:w="1272" w:type="dxa"/>
            <w:shd w:val="clear" w:color="auto" w:fill="auto"/>
            <w:vAlign w:val="center"/>
          </w:tcPr>
          <w:p w:rsidR="00671098" w:rsidRDefault="00671098" w:rsidP="00671098">
            <w:pPr>
              <w:jc w:val="right"/>
              <w:rPr>
                <w:color w:val="000000"/>
                <w:sz w:val="20"/>
              </w:rPr>
            </w:pPr>
            <w:r>
              <w:rPr>
                <w:color w:val="000000"/>
                <w:sz w:val="20"/>
              </w:rPr>
              <w:t>$1.8</w:t>
            </w:r>
          </w:p>
        </w:tc>
        <w:tc>
          <w:tcPr>
            <w:tcW w:w="1284" w:type="dxa"/>
            <w:shd w:val="clear" w:color="auto" w:fill="auto"/>
            <w:vAlign w:val="center"/>
          </w:tcPr>
          <w:p w:rsidR="00671098" w:rsidRDefault="00DB46DD" w:rsidP="00DB46DD">
            <w:pPr>
              <w:jc w:val="right"/>
              <w:rPr>
                <w:color w:val="000000"/>
                <w:sz w:val="20"/>
              </w:rPr>
            </w:pPr>
            <w:r>
              <w:rPr>
                <w:color w:val="000000"/>
                <w:sz w:val="20"/>
              </w:rPr>
              <w:t>15</w:t>
            </w:r>
            <w:r w:rsidR="00671098">
              <w:rPr>
                <w:color w:val="000000"/>
                <w:sz w:val="20"/>
              </w:rPr>
              <w:t>%</w:t>
            </w:r>
          </w:p>
        </w:tc>
      </w:tr>
      <w:tr w:rsidR="00671098" w:rsidRPr="000E144F" w:rsidTr="00671098">
        <w:tc>
          <w:tcPr>
            <w:tcW w:w="4219" w:type="dxa"/>
            <w:shd w:val="clear" w:color="auto" w:fill="auto"/>
          </w:tcPr>
          <w:p w:rsidR="00671098" w:rsidRPr="00460A07" w:rsidRDefault="00671098" w:rsidP="00DC2AD4">
            <w:pPr>
              <w:pStyle w:val="BodyText"/>
              <w:spacing w:before="60" w:after="60"/>
              <w:jc w:val="left"/>
              <w:rPr>
                <w:sz w:val="20"/>
              </w:rPr>
            </w:pPr>
            <w:r>
              <w:rPr>
                <w:color w:val="000000"/>
                <w:sz w:val="20"/>
              </w:rPr>
              <w:t>Avoided landfill costs – environmental</w:t>
            </w:r>
          </w:p>
        </w:tc>
        <w:tc>
          <w:tcPr>
            <w:tcW w:w="1946" w:type="dxa"/>
            <w:shd w:val="clear" w:color="auto" w:fill="auto"/>
            <w:vAlign w:val="bottom"/>
          </w:tcPr>
          <w:p w:rsidR="00671098" w:rsidRPr="00460A07" w:rsidRDefault="00671098" w:rsidP="00DC2AD4">
            <w:pPr>
              <w:pStyle w:val="BodyText"/>
              <w:spacing w:before="60" w:after="60"/>
              <w:jc w:val="right"/>
              <w:rPr>
                <w:sz w:val="20"/>
              </w:rPr>
            </w:pPr>
            <w:r>
              <w:rPr>
                <w:color w:val="000000"/>
                <w:sz w:val="20"/>
              </w:rPr>
              <w:t>Environment</w:t>
            </w:r>
          </w:p>
        </w:tc>
        <w:tc>
          <w:tcPr>
            <w:tcW w:w="1272" w:type="dxa"/>
            <w:shd w:val="clear" w:color="auto" w:fill="auto"/>
            <w:vAlign w:val="center"/>
          </w:tcPr>
          <w:p w:rsidR="00671098" w:rsidRDefault="00671098" w:rsidP="00671098">
            <w:pPr>
              <w:jc w:val="right"/>
              <w:rPr>
                <w:color w:val="000000"/>
                <w:sz w:val="20"/>
              </w:rPr>
            </w:pPr>
            <w:r>
              <w:rPr>
                <w:color w:val="000000"/>
                <w:sz w:val="20"/>
              </w:rPr>
              <w:t>$0.4</w:t>
            </w:r>
          </w:p>
        </w:tc>
        <w:tc>
          <w:tcPr>
            <w:tcW w:w="1284" w:type="dxa"/>
            <w:shd w:val="clear" w:color="auto" w:fill="auto"/>
            <w:vAlign w:val="center"/>
          </w:tcPr>
          <w:p w:rsidR="00671098" w:rsidRDefault="00671098" w:rsidP="00671098">
            <w:pPr>
              <w:jc w:val="right"/>
              <w:rPr>
                <w:color w:val="000000"/>
                <w:sz w:val="20"/>
              </w:rPr>
            </w:pPr>
            <w:r>
              <w:rPr>
                <w:color w:val="000000"/>
                <w:sz w:val="20"/>
              </w:rPr>
              <w:t>3%</w:t>
            </w:r>
          </w:p>
        </w:tc>
      </w:tr>
      <w:tr w:rsidR="00671098" w:rsidRPr="000E144F" w:rsidTr="00671098">
        <w:tc>
          <w:tcPr>
            <w:tcW w:w="4219" w:type="dxa"/>
            <w:shd w:val="clear" w:color="auto" w:fill="auto"/>
          </w:tcPr>
          <w:p w:rsidR="00671098" w:rsidRPr="00460A07" w:rsidRDefault="00671098" w:rsidP="00DC2AD4">
            <w:pPr>
              <w:pStyle w:val="BodyText"/>
              <w:spacing w:before="60" w:after="60"/>
              <w:jc w:val="left"/>
              <w:rPr>
                <w:sz w:val="20"/>
              </w:rPr>
            </w:pPr>
            <w:r>
              <w:rPr>
                <w:color w:val="000000"/>
                <w:sz w:val="20"/>
              </w:rPr>
              <w:t xml:space="preserve">Metal resource recovery </w:t>
            </w:r>
          </w:p>
        </w:tc>
        <w:tc>
          <w:tcPr>
            <w:tcW w:w="1946" w:type="dxa"/>
            <w:shd w:val="clear" w:color="auto" w:fill="auto"/>
            <w:vAlign w:val="bottom"/>
          </w:tcPr>
          <w:p w:rsidR="00671098" w:rsidRPr="00460A07" w:rsidRDefault="00671098" w:rsidP="00DC2AD4">
            <w:pPr>
              <w:pStyle w:val="BodyText"/>
              <w:spacing w:before="60" w:after="60"/>
              <w:jc w:val="right"/>
              <w:rPr>
                <w:sz w:val="20"/>
              </w:rPr>
            </w:pPr>
            <w:r>
              <w:rPr>
                <w:color w:val="000000"/>
                <w:sz w:val="20"/>
              </w:rPr>
              <w:t>Industry</w:t>
            </w:r>
          </w:p>
        </w:tc>
        <w:tc>
          <w:tcPr>
            <w:tcW w:w="1272" w:type="dxa"/>
            <w:shd w:val="clear" w:color="auto" w:fill="auto"/>
            <w:vAlign w:val="center"/>
          </w:tcPr>
          <w:p w:rsidR="00671098" w:rsidRDefault="00671098" w:rsidP="00671098">
            <w:pPr>
              <w:jc w:val="right"/>
              <w:rPr>
                <w:color w:val="000000"/>
                <w:sz w:val="20"/>
              </w:rPr>
            </w:pPr>
            <w:r>
              <w:rPr>
                <w:color w:val="000000"/>
                <w:sz w:val="20"/>
              </w:rPr>
              <w:t>$0.0</w:t>
            </w:r>
          </w:p>
        </w:tc>
        <w:tc>
          <w:tcPr>
            <w:tcW w:w="1284" w:type="dxa"/>
            <w:shd w:val="clear" w:color="auto" w:fill="auto"/>
            <w:vAlign w:val="center"/>
          </w:tcPr>
          <w:p w:rsidR="00671098" w:rsidRDefault="00671098" w:rsidP="00671098">
            <w:pPr>
              <w:jc w:val="right"/>
              <w:rPr>
                <w:color w:val="000000"/>
                <w:sz w:val="20"/>
              </w:rPr>
            </w:pPr>
            <w:r>
              <w:rPr>
                <w:color w:val="000000"/>
                <w:sz w:val="20"/>
              </w:rPr>
              <w:t>0%</w:t>
            </w:r>
          </w:p>
        </w:tc>
      </w:tr>
      <w:tr w:rsidR="00671098" w:rsidRPr="000E144F" w:rsidTr="00671098">
        <w:tc>
          <w:tcPr>
            <w:tcW w:w="4219" w:type="dxa"/>
            <w:shd w:val="clear" w:color="auto" w:fill="auto"/>
          </w:tcPr>
          <w:p w:rsidR="00671098" w:rsidRPr="00460A07" w:rsidRDefault="00671098" w:rsidP="00DC2AD4">
            <w:pPr>
              <w:pStyle w:val="BodyText"/>
              <w:spacing w:before="60" w:after="60"/>
              <w:jc w:val="left"/>
              <w:rPr>
                <w:sz w:val="20"/>
              </w:rPr>
            </w:pPr>
            <w:r>
              <w:rPr>
                <w:color w:val="000000"/>
                <w:sz w:val="20"/>
              </w:rPr>
              <w:t>Plastic resource recovery</w:t>
            </w:r>
          </w:p>
        </w:tc>
        <w:tc>
          <w:tcPr>
            <w:tcW w:w="1946" w:type="dxa"/>
            <w:shd w:val="clear" w:color="auto" w:fill="auto"/>
            <w:vAlign w:val="bottom"/>
          </w:tcPr>
          <w:p w:rsidR="00671098" w:rsidRPr="00460A07" w:rsidRDefault="00671098" w:rsidP="00DC2AD4">
            <w:pPr>
              <w:pStyle w:val="BodyText"/>
              <w:spacing w:before="60" w:after="60"/>
              <w:jc w:val="right"/>
              <w:rPr>
                <w:sz w:val="20"/>
              </w:rPr>
            </w:pPr>
            <w:r>
              <w:rPr>
                <w:color w:val="000000"/>
                <w:sz w:val="20"/>
              </w:rPr>
              <w:t>Industry</w:t>
            </w:r>
          </w:p>
        </w:tc>
        <w:tc>
          <w:tcPr>
            <w:tcW w:w="1272" w:type="dxa"/>
            <w:shd w:val="clear" w:color="auto" w:fill="auto"/>
            <w:vAlign w:val="center"/>
          </w:tcPr>
          <w:p w:rsidR="00671098" w:rsidRDefault="00671098" w:rsidP="00671098">
            <w:pPr>
              <w:jc w:val="right"/>
              <w:rPr>
                <w:color w:val="000000"/>
                <w:sz w:val="20"/>
              </w:rPr>
            </w:pPr>
            <w:r>
              <w:rPr>
                <w:color w:val="000000"/>
                <w:sz w:val="20"/>
              </w:rPr>
              <w:t>$7.5</w:t>
            </w:r>
          </w:p>
        </w:tc>
        <w:tc>
          <w:tcPr>
            <w:tcW w:w="1284" w:type="dxa"/>
            <w:shd w:val="clear" w:color="auto" w:fill="auto"/>
            <w:vAlign w:val="center"/>
          </w:tcPr>
          <w:p w:rsidR="00671098" w:rsidRDefault="00DB46DD" w:rsidP="00DB46DD">
            <w:pPr>
              <w:jc w:val="right"/>
              <w:rPr>
                <w:color w:val="000000"/>
                <w:sz w:val="20"/>
              </w:rPr>
            </w:pPr>
            <w:r>
              <w:rPr>
                <w:color w:val="000000"/>
                <w:sz w:val="20"/>
              </w:rPr>
              <w:t>66</w:t>
            </w:r>
            <w:r w:rsidR="00671098">
              <w:rPr>
                <w:color w:val="000000"/>
                <w:sz w:val="20"/>
              </w:rPr>
              <w:t>%</w:t>
            </w:r>
          </w:p>
        </w:tc>
      </w:tr>
      <w:tr w:rsidR="00671098" w:rsidRPr="000E144F" w:rsidTr="00671098">
        <w:tc>
          <w:tcPr>
            <w:tcW w:w="4219" w:type="dxa"/>
            <w:shd w:val="clear" w:color="auto" w:fill="auto"/>
          </w:tcPr>
          <w:p w:rsidR="00671098" w:rsidRPr="00460A07" w:rsidRDefault="00671098" w:rsidP="00DC2AD4">
            <w:pPr>
              <w:pStyle w:val="BodyText"/>
              <w:spacing w:before="60" w:after="60"/>
              <w:jc w:val="left"/>
              <w:rPr>
                <w:sz w:val="20"/>
              </w:rPr>
            </w:pPr>
            <w:r>
              <w:rPr>
                <w:color w:val="000000"/>
                <w:sz w:val="20"/>
              </w:rPr>
              <w:t>Refrigerant gas recovery (emissions reduction)</w:t>
            </w:r>
          </w:p>
        </w:tc>
        <w:tc>
          <w:tcPr>
            <w:tcW w:w="1946" w:type="dxa"/>
            <w:shd w:val="clear" w:color="auto" w:fill="auto"/>
            <w:vAlign w:val="bottom"/>
          </w:tcPr>
          <w:p w:rsidR="00671098" w:rsidRPr="00460A07" w:rsidRDefault="00671098" w:rsidP="00DC2AD4">
            <w:pPr>
              <w:pStyle w:val="BodyText"/>
              <w:spacing w:before="60" w:after="60"/>
              <w:jc w:val="right"/>
              <w:rPr>
                <w:sz w:val="20"/>
              </w:rPr>
            </w:pPr>
            <w:r>
              <w:rPr>
                <w:color w:val="000000"/>
                <w:sz w:val="20"/>
              </w:rPr>
              <w:t>Environment, Community</w:t>
            </w:r>
          </w:p>
        </w:tc>
        <w:tc>
          <w:tcPr>
            <w:tcW w:w="1272" w:type="dxa"/>
            <w:shd w:val="clear" w:color="auto" w:fill="auto"/>
            <w:vAlign w:val="center"/>
          </w:tcPr>
          <w:p w:rsidR="00671098" w:rsidRDefault="00671098" w:rsidP="00671098">
            <w:pPr>
              <w:jc w:val="right"/>
              <w:rPr>
                <w:color w:val="000000"/>
                <w:sz w:val="20"/>
              </w:rPr>
            </w:pPr>
            <w:r>
              <w:rPr>
                <w:color w:val="000000"/>
                <w:sz w:val="20"/>
              </w:rPr>
              <w:t>$1.3</w:t>
            </w:r>
          </w:p>
        </w:tc>
        <w:tc>
          <w:tcPr>
            <w:tcW w:w="1284" w:type="dxa"/>
            <w:shd w:val="clear" w:color="auto" w:fill="auto"/>
            <w:vAlign w:val="center"/>
          </w:tcPr>
          <w:p w:rsidR="00671098" w:rsidRDefault="00DB46DD" w:rsidP="00DB46DD">
            <w:pPr>
              <w:jc w:val="right"/>
              <w:rPr>
                <w:color w:val="000000"/>
                <w:sz w:val="20"/>
              </w:rPr>
            </w:pPr>
            <w:r>
              <w:rPr>
                <w:color w:val="000000"/>
                <w:sz w:val="20"/>
              </w:rPr>
              <w:t>11</w:t>
            </w:r>
            <w:r w:rsidR="00671098">
              <w:rPr>
                <w:color w:val="000000"/>
                <w:sz w:val="20"/>
              </w:rPr>
              <w:t>%</w:t>
            </w:r>
          </w:p>
        </w:tc>
      </w:tr>
      <w:tr w:rsidR="00DB46DD" w:rsidRPr="000E144F" w:rsidTr="00671098">
        <w:tc>
          <w:tcPr>
            <w:tcW w:w="4219" w:type="dxa"/>
            <w:shd w:val="clear" w:color="auto" w:fill="auto"/>
          </w:tcPr>
          <w:p w:rsidR="00DB46DD" w:rsidRDefault="00DB46DD" w:rsidP="00DC2AD4">
            <w:pPr>
              <w:pStyle w:val="BodyText"/>
              <w:spacing w:before="60" w:after="60"/>
              <w:jc w:val="left"/>
              <w:rPr>
                <w:color w:val="000000"/>
                <w:sz w:val="20"/>
              </w:rPr>
            </w:pPr>
            <w:r>
              <w:rPr>
                <w:color w:val="000000"/>
                <w:sz w:val="20"/>
              </w:rPr>
              <w:t>Value of additional recycling</w:t>
            </w:r>
          </w:p>
        </w:tc>
        <w:tc>
          <w:tcPr>
            <w:tcW w:w="1946" w:type="dxa"/>
            <w:shd w:val="clear" w:color="auto" w:fill="auto"/>
            <w:vAlign w:val="bottom"/>
          </w:tcPr>
          <w:p w:rsidR="00DB46DD" w:rsidRDefault="00DB46DD" w:rsidP="00DC2AD4">
            <w:pPr>
              <w:pStyle w:val="BodyText"/>
              <w:spacing w:before="60" w:after="60"/>
              <w:jc w:val="right"/>
              <w:rPr>
                <w:color w:val="000000"/>
                <w:sz w:val="20"/>
              </w:rPr>
            </w:pPr>
            <w:r>
              <w:rPr>
                <w:color w:val="000000"/>
                <w:sz w:val="20"/>
              </w:rPr>
              <w:t>Community</w:t>
            </w:r>
          </w:p>
        </w:tc>
        <w:tc>
          <w:tcPr>
            <w:tcW w:w="1272" w:type="dxa"/>
            <w:shd w:val="clear" w:color="auto" w:fill="auto"/>
            <w:vAlign w:val="center"/>
          </w:tcPr>
          <w:p w:rsidR="00DB46DD" w:rsidRDefault="00DB46DD" w:rsidP="00671098">
            <w:pPr>
              <w:jc w:val="right"/>
              <w:rPr>
                <w:color w:val="000000"/>
                <w:sz w:val="20"/>
              </w:rPr>
            </w:pPr>
            <w:r>
              <w:rPr>
                <w:color w:val="000000"/>
                <w:sz w:val="20"/>
              </w:rPr>
              <w:t>$0.6</w:t>
            </w:r>
          </w:p>
        </w:tc>
        <w:tc>
          <w:tcPr>
            <w:tcW w:w="1284" w:type="dxa"/>
            <w:shd w:val="clear" w:color="auto" w:fill="auto"/>
            <w:vAlign w:val="center"/>
          </w:tcPr>
          <w:p w:rsidR="00DB46DD" w:rsidRDefault="00DB46DD" w:rsidP="00671098">
            <w:pPr>
              <w:jc w:val="right"/>
              <w:rPr>
                <w:color w:val="000000"/>
                <w:sz w:val="20"/>
              </w:rPr>
            </w:pPr>
            <w:r>
              <w:rPr>
                <w:color w:val="000000"/>
                <w:sz w:val="20"/>
              </w:rPr>
              <w:t>5%</w:t>
            </w:r>
          </w:p>
        </w:tc>
      </w:tr>
      <w:tr w:rsidR="00671098" w:rsidRPr="000E144F" w:rsidTr="00671098">
        <w:tc>
          <w:tcPr>
            <w:tcW w:w="4219" w:type="dxa"/>
            <w:shd w:val="clear" w:color="auto" w:fill="auto"/>
          </w:tcPr>
          <w:p w:rsidR="00671098" w:rsidRPr="00460A07" w:rsidRDefault="00671098" w:rsidP="00DC2AD4">
            <w:pPr>
              <w:pStyle w:val="BodyText"/>
              <w:spacing w:before="60" w:after="60"/>
              <w:jc w:val="left"/>
              <w:rPr>
                <w:sz w:val="20"/>
              </w:rPr>
            </w:pPr>
            <w:r>
              <w:rPr>
                <w:b/>
                <w:bCs/>
                <w:color w:val="000000"/>
                <w:sz w:val="20"/>
              </w:rPr>
              <w:t>Total benefits</w:t>
            </w:r>
          </w:p>
        </w:tc>
        <w:tc>
          <w:tcPr>
            <w:tcW w:w="1946" w:type="dxa"/>
            <w:shd w:val="clear" w:color="auto" w:fill="auto"/>
            <w:vAlign w:val="bottom"/>
          </w:tcPr>
          <w:p w:rsidR="00671098" w:rsidRPr="00460A07" w:rsidRDefault="00671098" w:rsidP="00DC2AD4">
            <w:pPr>
              <w:pStyle w:val="BodyText"/>
              <w:spacing w:before="60" w:after="60"/>
              <w:jc w:val="right"/>
              <w:rPr>
                <w:sz w:val="20"/>
              </w:rPr>
            </w:pPr>
            <w:r>
              <w:rPr>
                <w:b/>
                <w:bCs/>
                <w:color w:val="000000"/>
                <w:sz w:val="20"/>
              </w:rPr>
              <w:t> </w:t>
            </w:r>
          </w:p>
        </w:tc>
        <w:tc>
          <w:tcPr>
            <w:tcW w:w="1272" w:type="dxa"/>
            <w:shd w:val="clear" w:color="auto" w:fill="auto"/>
            <w:vAlign w:val="center"/>
          </w:tcPr>
          <w:p w:rsidR="00671098" w:rsidRDefault="00671098" w:rsidP="00DB46DD">
            <w:pPr>
              <w:jc w:val="right"/>
              <w:rPr>
                <w:b/>
                <w:bCs/>
                <w:color w:val="000000"/>
                <w:sz w:val="20"/>
              </w:rPr>
            </w:pPr>
            <w:r>
              <w:rPr>
                <w:b/>
                <w:bCs/>
                <w:color w:val="000000"/>
                <w:sz w:val="20"/>
              </w:rPr>
              <w:t>$11.</w:t>
            </w:r>
            <w:r w:rsidR="00DB46DD">
              <w:rPr>
                <w:b/>
                <w:bCs/>
                <w:color w:val="000000"/>
                <w:sz w:val="20"/>
              </w:rPr>
              <w:t>5</w:t>
            </w:r>
          </w:p>
        </w:tc>
        <w:tc>
          <w:tcPr>
            <w:tcW w:w="1284" w:type="dxa"/>
            <w:shd w:val="clear" w:color="auto" w:fill="auto"/>
            <w:vAlign w:val="center"/>
          </w:tcPr>
          <w:p w:rsidR="00671098" w:rsidRDefault="00671098" w:rsidP="00671098">
            <w:pPr>
              <w:jc w:val="right"/>
              <w:rPr>
                <w:b/>
                <w:bCs/>
                <w:color w:val="000000"/>
                <w:sz w:val="20"/>
              </w:rPr>
            </w:pPr>
            <w:r>
              <w:rPr>
                <w:b/>
                <w:bCs/>
                <w:color w:val="000000"/>
                <w:sz w:val="20"/>
              </w:rPr>
              <w:t>100%</w:t>
            </w:r>
          </w:p>
        </w:tc>
      </w:tr>
    </w:tbl>
    <w:p w:rsidR="00781317" w:rsidRDefault="00781317" w:rsidP="00781317">
      <w:pPr>
        <w:pStyle w:val="Source"/>
      </w:pPr>
      <w:r>
        <w:t>Source: KPMG analysis</w:t>
      </w:r>
    </w:p>
    <w:p w:rsidR="0081406E" w:rsidRDefault="00FD6BAA">
      <w:pPr>
        <w:pStyle w:val="Heading3"/>
      </w:pPr>
      <w:r>
        <w:t>Option 2 – Co-Regulatory Approach</w:t>
      </w:r>
    </w:p>
    <w:p w:rsidR="0081406E" w:rsidRDefault="00781317">
      <w:pPr>
        <w:pStyle w:val="BodyText"/>
      </w:pPr>
      <w:r>
        <w:t xml:space="preserve">The distribution of the costs and benefits under the co-regulatory approach is outlined in </w:t>
      </w:r>
      <w:r w:rsidR="00586F30">
        <w:fldChar w:fldCharType="begin"/>
      </w:r>
      <w:r>
        <w:instrText xml:space="preserve"> REF _Ref392483762 \h </w:instrText>
      </w:r>
      <w:r w:rsidR="00586F30">
        <w:fldChar w:fldCharType="separate"/>
      </w:r>
      <w:r w:rsidR="001E5D7A">
        <w:t xml:space="preserve">Table </w:t>
      </w:r>
      <w:r w:rsidR="001E5D7A">
        <w:rPr>
          <w:noProof/>
        </w:rPr>
        <w:t>5</w:t>
      </w:r>
      <w:r w:rsidR="001E5D7A">
        <w:noBreakHyphen/>
      </w:r>
      <w:r w:rsidR="001E5D7A">
        <w:rPr>
          <w:noProof/>
        </w:rPr>
        <w:t>3</w:t>
      </w:r>
      <w:r w:rsidR="00586F30">
        <w:fldChar w:fldCharType="end"/>
      </w:r>
      <w:r>
        <w:t>.</w:t>
      </w:r>
    </w:p>
    <w:p w:rsidR="00261751" w:rsidRDefault="00261751" w:rsidP="00261751">
      <w:pPr>
        <w:pStyle w:val="BodyText"/>
      </w:pPr>
      <w:r>
        <w:t xml:space="preserve">Similar to option 1, the costs of disassembly are the largest cost under the co-regulatory approach. Given the large volume of RAC equipment being disassembled under this option, efficiencies may be able to be achieved through development of specialist facilities. </w:t>
      </w:r>
    </w:p>
    <w:p w:rsidR="00261751" w:rsidRDefault="00261751" w:rsidP="00261751">
      <w:pPr>
        <w:pStyle w:val="BodyText"/>
      </w:pPr>
      <w:r>
        <w:t xml:space="preserve">Retailers are estimated to bear </w:t>
      </w:r>
      <w:r w:rsidR="0028029F">
        <w:t xml:space="preserve">15 </w:t>
      </w:r>
      <w:r>
        <w:t xml:space="preserve">per cent of the total costs as a result of an increase in retailer take back activity. Efficiencies and lower costs may be able to be achieved through the establishment of a third-party scheme. </w:t>
      </w:r>
    </w:p>
    <w:p w:rsidR="00261751" w:rsidRDefault="00261751" w:rsidP="00261751">
      <w:pPr>
        <w:pStyle w:val="BodyText"/>
      </w:pPr>
      <w:r>
        <w:t xml:space="preserve">Compliance costs are estimated to be </w:t>
      </w:r>
      <w:r w:rsidR="0028029F">
        <w:t xml:space="preserve">20 </w:t>
      </w:r>
      <w:r>
        <w:t>per cent of the total costs with the majority of these costs borne by government.</w:t>
      </w:r>
    </w:p>
    <w:p w:rsidR="00261751" w:rsidRDefault="00261751" w:rsidP="00261751">
      <w:pPr>
        <w:pStyle w:val="BodyText"/>
      </w:pPr>
      <w:r>
        <w:lastRenderedPageBreak/>
        <w:t xml:space="preserve">The value of plastic resources recovered account for </w:t>
      </w:r>
      <w:r w:rsidR="0028029F">
        <w:t xml:space="preserve">68 </w:t>
      </w:r>
      <w:r>
        <w:t>per cent of the total benefits. The remaining benefits are those associated with avoided landfill including reduced waste management costs (</w:t>
      </w:r>
      <w:r w:rsidR="0028029F">
        <w:t xml:space="preserve">10 </w:t>
      </w:r>
      <w:r>
        <w:t>per cent of total benefits) and reduced landfill related environmental externalities (2 per cent of total costs) and environmental and community benefits associated with the increase in refrigerant gas recovery (</w:t>
      </w:r>
      <w:r w:rsidR="0028029F">
        <w:t>4</w:t>
      </w:r>
      <w:r>
        <w:t xml:space="preserve"> per cent of total benefits).</w:t>
      </w:r>
      <w:r w:rsidR="0028029F">
        <w:t xml:space="preserve"> The </w:t>
      </w:r>
      <w:r w:rsidR="00455CB0">
        <w:t>community’s</w:t>
      </w:r>
      <w:r w:rsidR="0028029F">
        <w:t xml:space="preserve"> willingness to pay for increased recycling levels </w:t>
      </w:r>
      <w:proofErr w:type="gramStart"/>
      <w:r w:rsidR="0028029F">
        <w:t>represent</w:t>
      </w:r>
      <w:proofErr w:type="gramEnd"/>
      <w:r w:rsidR="0028029F">
        <w:t xml:space="preserve"> 16 per cent of total benefits. </w:t>
      </w:r>
    </w:p>
    <w:p w:rsidR="00781317" w:rsidRDefault="00781317" w:rsidP="00781317">
      <w:pPr>
        <w:pStyle w:val="Caption"/>
      </w:pPr>
      <w:bookmarkStart w:id="86" w:name="_Ref392483762"/>
      <w:r>
        <w:t xml:space="preserve">Table </w:t>
      </w:r>
      <w:r w:rsidR="00586F30">
        <w:fldChar w:fldCharType="begin"/>
      </w:r>
      <w:r w:rsidR="00C478AE">
        <w:instrText xml:space="preserve"> STYLEREF 1 \s </w:instrText>
      </w:r>
      <w:r w:rsidR="00586F30">
        <w:fldChar w:fldCharType="separate"/>
      </w:r>
      <w:r w:rsidR="001E5D7A">
        <w:rPr>
          <w:noProof/>
        </w:rPr>
        <w:t>5</w:t>
      </w:r>
      <w:r w:rsidR="00586F30">
        <w:rPr>
          <w:noProof/>
        </w:rPr>
        <w:fldChar w:fldCharType="end"/>
      </w:r>
      <w:r w:rsidR="00CE3BAC">
        <w:noBreakHyphen/>
      </w:r>
      <w:r w:rsidR="00586F30">
        <w:fldChar w:fldCharType="begin"/>
      </w:r>
      <w:r w:rsidR="00C478AE">
        <w:instrText xml:space="preserve"> SEQ Table \* ARABIC \s 1 </w:instrText>
      </w:r>
      <w:r w:rsidR="00586F30">
        <w:fldChar w:fldCharType="separate"/>
      </w:r>
      <w:r w:rsidR="001E5D7A">
        <w:rPr>
          <w:noProof/>
        </w:rPr>
        <w:t>3</w:t>
      </w:r>
      <w:r w:rsidR="00586F30">
        <w:rPr>
          <w:noProof/>
        </w:rPr>
        <w:fldChar w:fldCharType="end"/>
      </w:r>
      <w:bookmarkEnd w:id="86"/>
      <w:r>
        <w:t xml:space="preserve">: Distribution of costs and benefits, </w:t>
      </w:r>
      <w:r w:rsidR="00A028D0">
        <w:t>o</w:t>
      </w:r>
      <w:r>
        <w:t>ption 2</w:t>
      </w:r>
      <w:r w:rsidR="0011645F">
        <w:t xml:space="preserve"> (PV @ 7% $million 2014)</w:t>
      </w:r>
    </w:p>
    <w:tbl>
      <w:tblPr>
        <w:tblStyle w:val="TableGrid"/>
        <w:tblW w:w="0" w:type="auto"/>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tblPr>
      <w:tblGrid>
        <w:gridCol w:w="4219"/>
        <w:gridCol w:w="1946"/>
        <w:gridCol w:w="1272"/>
        <w:gridCol w:w="1284"/>
      </w:tblGrid>
      <w:tr w:rsidR="00580CBD" w:rsidRPr="00580CBD" w:rsidTr="00CC391F">
        <w:trPr>
          <w:tblHeader/>
        </w:trPr>
        <w:tc>
          <w:tcPr>
            <w:tcW w:w="4219" w:type="dxa"/>
            <w:shd w:val="clear" w:color="auto" w:fill="1F497D" w:themeFill="text2"/>
          </w:tcPr>
          <w:p w:rsidR="00580CBD" w:rsidRPr="00580CBD" w:rsidRDefault="00580CBD" w:rsidP="00580CBD">
            <w:pPr>
              <w:pStyle w:val="BodyText"/>
              <w:spacing w:before="60" w:after="60"/>
              <w:rPr>
                <w:sz w:val="20"/>
              </w:rPr>
            </w:pPr>
          </w:p>
        </w:tc>
        <w:tc>
          <w:tcPr>
            <w:tcW w:w="1946" w:type="dxa"/>
            <w:shd w:val="clear" w:color="auto" w:fill="1F497D" w:themeFill="text2"/>
          </w:tcPr>
          <w:p w:rsidR="00580CBD" w:rsidRPr="00580CBD" w:rsidRDefault="00E10441" w:rsidP="00580CBD">
            <w:pPr>
              <w:pStyle w:val="BodyText"/>
              <w:spacing w:before="60" w:after="60"/>
              <w:jc w:val="right"/>
              <w:rPr>
                <w:b/>
                <w:color w:val="FFFFFF" w:themeColor="background1"/>
                <w:sz w:val="20"/>
              </w:rPr>
            </w:pPr>
            <w:r w:rsidRPr="00E10441">
              <w:rPr>
                <w:b/>
                <w:color w:val="FFFFFF" w:themeColor="background1"/>
                <w:sz w:val="20"/>
              </w:rPr>
              <w:t>Bearer</w:t>
            </w:r>
            <w:r w:rsidR="00CC391F">
              <w:rPr>
                <w:b/>
                <w:color w:val="FFFFFF" w:themeColor="background1"/>
                <w:sz w:val="20"/>
              </w:rPr>
              <w:t xml:space="preserve"> </w:t>
            </w:r>
            <w:r w:rsidRPr="00E10441">
              <w:rPr>
                <w:b/>
                <w:color w:val="FFFFFF" w:themeColor="background1"/>
                <w:sz w:val="20"/>
              </w:rPr>
              <w:t>/</w:t>
            </w:r>
            <w:r w:rsidR="00CC391F">
              <w:rPr>
                <w:b/>
                <w:color w:val="FFFFFF" w:themeColor="background1"/>
                <w:sz w:val="20"/>
              </w:rPr>
              <w:t xml:space="preserve"> </w:t>
            </w:r>
            <w:r w:rsidR="00CC391F">
              <w:rPr>
                <w:b/>
                <w:color w:val="FFFFFF" w:themeColor="background1"/>
                <w:sz w:val="20"/>
              </w:rPr>
              <w:br/>
            </w:r>
            <w:r w:rsidRPr="00E10441">
              <w:rPr>
                <w:b/>
                <w:color w:val="FFFFFF" w:themeColor="background1"/>
                <w:sz w:val="20"/>
              </w:rPr>
              <w:t>Beneficiary</w:t>
            </w:r>
          </w:p>
        </w:tc>
        <w:tc>
          <w:tcPr>
            <w:tcW w:w="1272" w:type="dxa"/>
            <w:shd w:val="clear" w:color="auto" w:fill="1F497D" w:themeFill="text2"/>
          </w:tcPr>
          <w:p w:rsidR="00580CBD" w:rsidRPr="00580CBD" w:rsidRDefault="00E10441" w:rsidP="00580CBD">
            <w:pPr>
              <w:pStyle w:val="BodyText"/>
              <w:spacing w:before="60" w:after="60"/>
              <w:jc w:val="right"/>
              <w:rPr>
                <w:b/>
                <w:color w:val="FFFFFF" w:themeColor="background1"/>
                <w:sz w:val="20"/>
              </w:rPr>
            </w:pPr>
            <w:r w:rsidRPr="00E10441">
              <w:rPr>
                <w:b/>
                <w:color w:val="FFFFFF" w:themeColor="background1"/>
                <w:sz w:val="20"/>
              </w:rPr>
              <w:t>Cost/Benefit ($m)</w:t>
            </w:r>
          </w:p>
        </w:tc>
        <w:tc>
          <w:tcPr>
            <w:tcW w:w="1284" w:type="dxa"/>
            <w:shd w:val="clear" w:color="auto" w:fill="1F497D" w:themeFill="text2"/>
            <w:vAlign w:val="center"/>
          </w:tcPr>
          <w:p w:rsidR="00580CBD" w:rsidRPr="00580CBD" w:rsidRDefault="00E10441" w:rsidP="00580CBD">
            <w:pPr>
              <w:pStyle w:val="BodyText"/>
              <w:spacing w:before="60" w:after="60"/>
              <w:jc w:val="right"/>
              <w:rPr>
                <w:b/>
                <w:color w:val="FFFFFF" w:themeColor="background1"/>
                <w:sz w:val="20"/>
              </w:rPr>
            </w:pPr>
            <w:r w:rsidRPr="00E10441">
              <w:rPr>
                <w:b/>
                <w:color w:val="FFFFFF" w:themeColor="background1"/>
                <w:sz w:val="20"/>
              </w:rPr>
              <w:t>Share of total (%)</w:t>
            </w:r>
          </w:p>
        </w:tc>
      </w:tr>
      <w:tr w:rsidR="00580CBD" w:rsidRPr="00580CBD" w:rsidTr="00580CBD">
        <w:tc>
          <w:tcPr>
            <w:tcW w:w="8721" w:type="dxa"/>
            <w:gridSpan w:val="4"/>
            <w:shd w:val="clear" w:color="auto" w:fill="C6D9F1" w:themeFill="text2" w:themeFillTint="33"/>
          </w:tcPr>
          <w:p w:rsidR="00580CBD" w:rsidRPr="00580CBD" w:rsidRDefault="00E10441" w:rsidP="00580CBD">
            <w:pPr>
              <w:pStyle w:val="BodyText"/>
              <w:spacing w:before="60" w:after="60"/>
              <w:rPr>
                <w:sz w:val="20"/>
              </w:rPr>
            </w:pPr>
            <w:r w:rsidRPr="00E10441">
              <w:rPr>
                <w:b/>
                <w:sz w:val="20"/>
              </w:rPr>
              <w:t>Costs</w:t>
            </w:r>
          </w:p>
        </w:tc>
      </w:tr>
      <w:tr w:rsidR="00671098" w:rsidRPr="00580CBD" w:rsidTr="00671098">
        <w:tc>
          <w:tcPr>
            <w:tcW w:w="4219" w:type="dxa"/>
          </w:tcPr>
          <w:p w:rsidR="00671098" w:rsidRPr="00580CBD" w:rsidRDefault="00671098" w:rsidP="00580CBD">
            <w:pPr>
              <w:pStyle w:val="BodyText"/>
              <w:spacing w:before="60" w:after="60"/>
              <w:jc w:val="left"/>
              <w:rPr>
                <w:sz w:val="20"/>
              </w:rPr>
            </w:pPr>
            <w:r w:rsidRPr="00E10441">
              <w:rPr>
                <w:color w:val="000000"/>
                <w:sz w:val="20"/>
              </w:rPr>
              <w:t>Cost of regulatory compliance – government</w:t>
            </w:r>
          </w:p>
        </w:tc>
        <w:tc>
          <w:tcPr>
            <w:tcW w:w="1946" w:type="dxa"/>
            <w:vAlign w:val="bottom"/>
          </w:tcPr>
          <w:p w:rsidR="00671098" w:rsidRPr="00580CBD" w:rsidRDefault="00671098" w:rsidP="00580CBD">
            <w:pPr>
              <w:pStyle w:val="BodyText"/>
              <w:spacing w:before="60" w:after="60"/>
              <w:jc w:val="right"/>
              <w:rPr>
                <w:sz w:val="20"/>
              </w:rPr>
            </w:pPr>
            <w:r w:rsidRPr="00E10441">
              <w:rPr>
                <w:color w:val="000000"/>
                <w:sz w:val="20"/>
              </w:rPr>
              <w:t>Government</w:t>
            </w:r>
          </w:p>
        </w:tc>
        <w:tc>
          <w:tcPr>
            <w:tcW w:w="1272" w:type="dxa"/>
            <w:vAlign w:val="center"/>
          </w:tcPr>
          <w:p w:rsidR="00671098" w:rsidRDefault="00671098" w:rsidP="00671098">
            <w:pPr>
              <w:jc w:val="right"/>
              <w:rPr>
                <w:color w:val="000000"/>
                <w:sz w:val="20"/>
              </w:rPr>
            </w:pPr>
            <w:r>
              <w:rPr>
                <w:color w:val="000000"/>
                <w:sz w:val="20"/>
              </w:rPr>
              <w:t>$14.9</w:t>
            </w:r>
          </w:p>
        </w:tc>
        <w:tc>
          <w:tcPr>
            <w:tcW w:w="1284" w:type="dxa"/>
            <w:vAlign w:val="center"/>
          </w:tcPr>
          <w:p w:rsidR="00671098" w:rsidRDefault="00DB46DD" w:rsidP="00DB46DD">
            <w:pPr>
              <w:jc w:val="right"/>
              <w:rPr>
                <w:color w:val="000000"/>
                <w:sz w:val="20"/>
              </w:rPr>
            </w:pPr>
            <w:r>
              <w:rPr>
                <w:color w:val="000000"/>
                <w:sz w:val="20"/>
              </w:rPr>
              <w:t>15</w:t>
            </w:r>
            <w:r w:rsidR="00671098">
              <w:rPr>
                <w:color w:val="000000"/>
                <w:sz w:val="20"/>
              </w:rPr>
              <w:t>%</w:t>
            </w:r>
          </w:p>
        </w:tc>
      </w:tr>
      <w:tr w:rsidR="00671098" w:rsidRPr="00580CBD" w:rsidTr="00671098">
        <w:tc>
          <w:tcPr>
            <w:tcW w:w="4219" w:type="dxa"/>
          </w:tcPr>
          <w:p w:rsidR="00671098" w:rsidRPr="00580CBD" w:rsidRDefault="00671098" w:rsidP="00580CBD">
            <w:pPr>
              <w:pStyle w:val="BodyText"/>
              <w:spacing w:before="60" w:after="60"/>
              <w:jc w:val="left"/>
              <w:rPr>
                <w:sz w:val="20"/>
              </w:rPr>
            </w:pPr>
            <w:r w:rsidRPr="00E10441">
              <w:rPr>
                <w:color w:val="000000"/>
                <w:sz w:val="20"/>
              </w:rPr>
              <w:t>Cost of regulatory compliance – industry</w:t>
            </w:r>
          </w:p>
        </w:tc>
        <w:tc>
          <w:tcPr>
            <w:tcW w:w="1946" w:type="dxa"/>
            <w:vAlign w:val="bottom"/>
          </w:tcPr>
          <w:p w:rsidR="00671098" w:rsidRPr="00580CBD" w:rsidRDefault="00671098" w:rsidP="00580CBD">
            <w:pPr>
              <w:pStyle w:val="BodyText"/>
              <w:spacing w:before="60" w:after="60"/>
              <w:jc w:val="right"/>
              <w:rPr>
                <w:sz w:val="20"/>
              </w:rPr>
            </w:pPr>
            <w:r w:rsidRPr="00E10441">
              <w:rPr>
                <w:color w:val="000000"/>
                <w:sz w:val="20"/>
              </w:rPr>
              <w:t>Industry (importers)</w:t>
            </w:r>
          </w:p>
        </w:tc>
        <w:tc>
          <w:tcPr>
            <w:tcW w:w="1272" w:type="dxa"/>
            <w:vAlign w:val="center"/>
          </w:tcPr>
          <w:p w:rsidR="00671098" w:rsidRDefault="00671098" w:rsidP="00671098">
            <w:pPr>
              <w:jc w:val="right"/>
              <w:rPr>
                <w:color w:val="000000"/>
                <w:sz w:val="20"/>
              </w:rPr>
            </w:pPr>
            <w:r>
              <w:rPr>
                <w:color w:val="000000"/>
                <w:sz w:val="20"/>
              </w:rPr>
              <w:t>$4.4</w:t>
            </w:r>
          </w:p>
        </w:tc>
        <w:tc>
          <w:tcPr>
            <w:tcW w:w="1284" w:type="dxa"/>
            <w:vAlign w:val="center"/>
          </w:tcPr>
          <w:p w:rsidR="00671098" w:rsidRDefault="00DB46DD" w:rsidP="00671098">
            <w:pPr>
              <w:jc w:val="right"/>
              <w:rPr>
                <w:color w:val="000000"/>
                <w:sz w:val="20"/>
              </w:rPr>
            </w:pPr>
            <w:r>
              <w:rPr>
                <w:color w:val="000000"/>
                <w:sz w:val="20"/>
              </w:rPr>
              <w:t>5</w:t>
            </w:r>
            <w:r w:rsidR="00671098">
              <w:rPr>
                <w:color w:val="000000"/>
                <w:sz w:val="20"/>
              </w:rPr>
              <w:t>%</w:t>
            </w:r>
          </w:p>
        </w:tc>
      </w:tr>
      <w:tr w:rsidR="00671098" w:rsidRPr="00580CBD" w:rsidTr="00671098">
        <w:tc>
          <w:tcPr>
            <w:tcW w:w="4219" w:type="dxa"/>
          </w:tcPr>
          <w:p w:rsidR="00671098" w:rsidRPr="00580CBD" w:rsidRDefault="00671098" w:rsidP="00580CBD">
            <w:pPr>
              <w:pStyle w:val="BodyText"/>
              <w:spacing w:before="60" w:after="60"/>
              <w:jc w:val="left"/>
              <w:rPr>
                <w:sz w:val="20"/>
              </w:rPr>
            </w:pPr>
            <w:r w:rsidRPr="00E10441">
              <w:rPr>
                <w:color w:val="000000"/>
                <w:sz w:val="20"/>
              </w:rPr>
              <w:t>Retailer take back scheme</w:t>
            </w:r>
          </w:p>
        </w:tc>
        <w:tc>
          <w:tcPr>
            <w:tcW w:w="1946" w:type="dxa"/>
            <w:vAlign w:val="bottom"/>
          </w:tcPr>
          <w:p w:rsidR="00671098" w:rsidRPr="00580CBD" w:rsidRDefault="00671098" w:rsidP="00580CBD">
            <w:pPr>
              <w:pStyle w:val="BodyText"/>
              <w:spacing w:before="60" w:after="60"/>
              <w:jc w:val="right"/>
              <w:rPr>
                <w:sz w:val="20"/>
              </w:rPr>
            </w:pPr>
            <w:r w:rsidRPr="00E10441">
              <w:rPr>
                <w:color w:val="000000"/>
                <w:sz w:val="20"/>
              </w:rPr>
              <w:t>Industry (retailers)</w:t>
            </w:r>
          </w:p>
        </w:tc>
        <w:tc>
          <w:tcPr>
            <w:tcW w:w="1272" w:type="dxa"/>
            <w:vAlign w:val="center"/>
          </w:tcPr>
          <w:p w:rsidR="00671098" w:rsidRDefault="00671098" w:rsidP="00DB46DD">
            <w:pPr>
              <w:jc w:val="right"/>
              <w:rPr>
                <w:color w:val="000000"/>
                <w:sz w:val="20"/>
              </w:rPr>
            </w:pPr>
            <w:r>
              <w:rPr>
                <w:color w:val="000000"/>
                <w:sz w:val="20"/>
              </w:rPr>
              <w:t>$1</w:t>
            </w:r>
            <w:r w:rsidR="00DB46DD">
              <w:rPr>
                <w:color w:val="000000"/>
                <w:sz w:val="20"/>
              </w:rPr>
              <w:t>4.8</w:t>
            </w:r>
          </w:p>
        </w:tc>
        <w:tc>
          <w:tcPr>
            <w:tcW w:w="1284" w:type="dxa"/>
            <w:vAlign w:val="center"/>
          </w:tcPr>
          <w:p w:rsidR="00671098" w:rsidRDefault="00DB46DD" w:rsidP="00DB46DD">
            <w:pPr>
              <w:jc w:val="right"/>
              <w:rPr>
                <w:color w:val="000000"/>
                <w:sz w:val="20"/>
              </w:rPr>
            </w:pPr>
            <w:r>
              <w:rPr>
                <w:color w:val="000000"/>
                <w:sz w:val="20"/>
              </w:rPr>
              <w:t>15</w:t>
            </w:r>
            <w:r w:rsidR="00671098">
              <w:rPr>
                <w:color w:val="000000"/>
                <w:sz w:val="20"/>
              </w:rPr>
              <w:t>%</w:t>
            </w:r>
          </w:p>
        </w:tc>
      </w:tr>
      <w:tr w:rsidR="00671098" w:rsidRPr="00580CBD" w:rsidTr="00671098">
        <w:tc>
          <w:tcPr>
            <w:tcW w:w="4219" w:type="dxa"/>
          </w:tcPr>
          <w:p w:rsidR="00671098" w:rsidRPr="00580CBD" w:rsidRDefault="00671098" w:rsidP="00580CBD">
            <w:pPr>
              <w:pStyle w:val="BodyText"/>
              <w:spacing w:before="60" w:after="60"/>
              <w:jc w:val="left"/>
              <w:rPr>
                <w:sz w:val="20"/>
              </w:rPr>
            </w:pPr>
            <w:r w:rsidRPr="00E10441">
              <w:rPr>
                <w:color w:val="000000"/>
                <w:sz w:val="20"/>
              </w:rPr>
              <w:t>Cost of disassembly</w:t>
            </w:r>
          </w:p>
        </w:tc>
        <w:tc>
          <w:tcPr>
            <w:tcW w:w="1946" w:type="dxa"/>
            <w:vAlign w:val="bottom"/>
          </w:tcPr>
          <w:p w:rsidR="00671098" w:rsidRPr="00580CBD" w:rsidRDefault="00671098" w:rsidP="00580CBD">
            <w:pPr>
              <w:pStyle w:val="BodyText"/>
              <w:spacing w:before="60" w:after="60"/>
              <w:jc w:val="right"/>
              <w:rPr>
                <w:sz w:val="20"/>
              </w:rPr>
            </w:pPr>
            <w:r w:rsidRPr="00E10441">
              <w:rPr>
                <w:color w:val="000000"/>
                <w:sz w:val="20"/>
              </w:rPr>
              <w:t>Industry</w:t>
            </w:r>
          </w:p>
        </w:tc>
        <w:tc>
          <w:tcPr>
            <w:tcW w:w="1272" w:type="dxa"/>
            <w:vAlign w:val="center"/>
          </w:tcPr>
          <w:p w:rsidR="00671098" w:rsidRDefault="00671098" w:rsidP="00DB46DD">
            <w:pPr>
              <w:jc w:val="right"/>
              <w:rPr>
                <w:color w:val="000000"/>
                <w:sz w:val="20"/>
              </w:rPr>
            </w:pPr>
            <w:r>
              <w:rPr>
                <w:color w:val="000000"/>
                <w:sz w:val="20"/>
              </w:rPr>
              <w:t>$</w:t>
            </w:r>
            <w:r w:rsidR="00DB46DD">
              <w:rPr>
                <w:color w:val="000000"/>
                <w:sz w:val="20"/>
              </w:rPr>
              <w:t>63.4</w:t>
            </w:r>
          </w:p>
        </w:tc>
        <w:tc>
          <w:tcPr>
            <w:tcW w:w="1284" w:type="dxa"/>
            <w:vAlign w:val="center"/>
          </w:tcPr>
          <w:p w:rsidR="00671098" w:rsidRDefault="00DB46DD" w:rsidP="00DB46DD">
            <w:pPr>
              <w:jc w:val="right"/>
              <w:rPr>
                <w:color w:val="000000"/>
                <w:sz w:val="20"/>
              </w:rPr>
            </w:pPr>
            <w:r>
              <w:rPr>
                <w:color w:val="000000"/>
                <w:sz w:val="20"/>
              </w:rPr>
              <w:t>65</w:t>
            </w:r>
            <w:r w:rsidR="00671098">
              <w:rPr>
                <w:color w:val="000000"/>
                <w:sz w:val="20"/>
              </w:rPr>
              <w:t>%</w:t>
            </w:r>
          </w:p>
        </w:tc>
      </w:tr>
      <w:tr w:rsidR="00671098" w:rsidRPr="00580CBD" w:rsidTr="00671098">
        <w:tc>
          <w:tcPr>
            <w:tcW w:w="4219" w:type="dxa"/>
          </w:tcPr>
          <w:p w:rsidR="00671098" w:rsidRPr="00580CBD" w:rsidRDefault="00671098" w:rsidP="00580CBD">
            <w:pPr>
              <w:pStyle w:val="BodyText"/>
              <w:spacing w:before="60" w:after="60"/>
              <w:jc w:val="left"/>
              <w:rPr>
                <w:b/>
                <w:sz w:val="20"/>
              </w:rPr>
            </w:pPr>
            <w:r w:rsidRPr="00E10441">
              <w:rPr>
                <w:b/>
                <w:bCs/>
                <w:color w:val="000000"/>
                <w:sz w:val="20"/>
              </w:rPr>
              <w:t>Total costs</w:t>
            </w:r>
          </w:p>
        </w:tc>
        <w:tc>
          <w:tcPr>
            <w:tcW w:w="1946" w:type="dxa"/>
            <w:vAlign w:val="bottom"/>
          </w:tcPr>
          <w:p w:rsidR="00671098" w:rsidRPr="00580CBD" w:rsidRDefault="00671098" w:rsidP="00580CBD">
            <w:pPr>
              <w:pStyle w:val="BodyText"/>
              <w:spacing w:before="60" w:after="60"/>
              <w:jc w:val="right"/>
              <w:rPr>
                <w:sz w:val="20"/>
              </w:rPr>
            </w:pPr>
            <w:r w:rsidRPr="00E10441">
              <w:rPr>
                <w:color w:val="000000"/>
                <w:sz w:val="20"/>
              </w:rPr>
              <w:t> </w:t>
            </w:r>
          </w:p>
        </w:tc>
        <w:tc>
          <w:tcPr>
            <w:tcW w:w="1272" w:type="dxa"/>
            <w:vAlign w:val="center"/>
          </w:tcPr>
          <w:p w:rsidR="00671098" w:rsidRDefault="00671098" w:rsidP="00DB46DD">
            <w:pPr>
              <w:jc w:val="right"/>
              <w:rPr>
                <w:b/>
                <w:bCs/>
                <w:color w:val="000000"/>
                <w:sz w:val="20"/>
              </w:rPr>
            </w:pPr>
            <w:r>
              <w:rPr>
                <w:b/>
                <w:bCs/>
                <w:color w:val="000000"/>
                <w:sz w:val="20"/>
              </w:rPr>
              <w:t>$</w:t>
            </w:r>
            <w:r w:rsidR="00DB46DD">
              <w:rPr>
                <w:b/>
                <w:bCs/>
                <w:color w:val="000000"/>
                <w:sz w:val="20"/>
              </w:rPr>
              <w:t>97.6</w:t>
            </w:r>
          </w:p>
        </w:tc>
        <w:tc>
          <w:tcPr>
            <w:tcW w:w="1284" w:type="dxa"/>
            <w:vAlign w:val="center"/>
          </w:tcPr>
          <w:p w:rsidR="00671098" w:rsidRDefault="00671098" w:rsidP="00671098">
            <w:pPr>
              <w:jc w:val="right"/>
              <w:rPr>
                <w:b/>
                <w:bCs/>
                <w:color w:val="000000"/>
                <w:sz w:val="20"/>
              </w:rPr>
            </w:pPr>
            <w:r>
              <w:rPr>
                <w:b/>
                <w:bCs/>
                <w:color w:val="000000"/>
                <w:sz w:val="20"/>
              </w:rPr>
              <w:t>100%</w:t>
            </w:r>
          </w:p>
        </w:tc>
      </w:tr>
      <w:tr w:rsidR="00580CBD" w:rsidRPr="00580CBD" w:rsidTr="00580CBD">
        <w:tc>
          <w:tcPr>
            <w:tcW w:w="8721" w:type="dxa"/>
            <w:gridSpan w:val="4"/>
            <w:shd w:val="clear" w:color="auto" w:fill="C6D9F1" w:themeFill="text2" w:themeFillTint="33"/>
          </w:tcPr>
          <w:p w:rsidR="00580CBD" w:rsidRPr="00580CBD" w:rsidRDefault="00E10441" w:rsidP="00580CBD">
            <w:pPr>
              <w:pStyle w:val="BodyText"/>
              <w:spacing w:before="60" w:after="60"/>
              <w:jc w:val="left"/>
              <w:rPr>
                <w:sz w:val="20"/>
              </w:rPr>
            </w:pPr>
            <w:r w:rsidRPr="00E10441">
              <w:rPr>
                <w:b/>
                <w:sz w:val="20"/>
              </w:rPr>
              <w:t>Benefits</w:t>
            </w:r>
          </w:p>
        </w:tc>
      </w:tr>
      <w:tr w:rsidR="00671098" w:rsidRPr="00580CBD" w:rsidTr="00671098">
        <w:tc>
          <w:tcPr>
            <w:tcW w:w="4219" w:type="dxa"/>
            <w:shd w:val="clear" w:color="auto" w:fill="auto"/>
          </w:tcPr>
          <w:p w:rsidR="00671098" w:rsidRPr="00580CBD" w:rsidRDefault="00671098" w:rsidP="00580CBD">
            <w:pPr>
              <w:pStyle w:val="BodyText"/>
              <w:spacing w:before="60" w:after="60"/>
              <w:jc w:val="left"/>
              <w:rPr>
                <w:sz w:val="20"/>
              </w:rPr>
            </w:pPr>
            <w:r>
              <w:rPr>
                <w:color w:val="000000"/>
                <w:sz w:val="20"/>
              </w:rPr>
              <w:t>Avoided landfill costs – waste management</w:t>
            </w:r>
          </w:p>
        </w:tc>
        <w:tc>
          <w:tcPr>
            <w:tcW w:w="1946" w:type="dxa"/>
            <w:shd w:val="clear" w:color="auto" w:fill="auto"/>
            <w:vAlign w:val="bottom"/>
          </w:tcPr>
          <w:p w:rsidR="00671098" w:rsidRPr="00580CBD" w:rsidRDefault="00671098" w:rsidP="00580CBD">
            <w:pPr>
              <w:pStyle w:val="BodyText"/>
              <w:spacing w:before="60" w:after="60"/>
              <w:jc w:val="right"/>
              <w:rPr>
                <w:sz w:val="20"/>
              </w:rPr>
            </w:pPr>
            <w:r>
              <w:rPr>
                <w:color w:val="000000"/>
                <w:sz w:val="20"/>
              </w:rPr>
              <w:t>Landfill operators (Local Government)</w:t>
            </w:r>
          </w:p>
        </w:tc>
        <w:tc>
          <w:tcPr>
            <w:tcW w:w="1272" w:type="dxa"/>
            <w:shd w:val="clear" w:color="auto" w:fill="auto"/>
            <w:vAlign w:val="center"/>
          </w:tcPr>
          <w:p w:rsidR="00671098" w:rsidRDefault="00671098" w:rsidP="00671098">
            <w:pPr>
              <w:jc w:val="right"/>
              <w:rPr>
                <w:color w:val="000000"/>
                <w:sz w:val="20"/>
              </w:rPr>
            </w:pPr>
            <w:r>
              <w:rPr>
                <w:color w:val="000000"/>
                <w:sz w:val="20"/>
              </w:rPr>
              <w:t>$3.5</w:t>
            </w:r>
          </w:p>
        </w:tc>
        <w:tc>
          <w:tcPr>
            <w:tcW w:w="1284" w:type="dxa"/>
            <w:shd w:val="clear" w:color="auto" w:fill="auto"/>
            <w:vAlign w:val="center"/>
          </w:tcPr>
          <w:p w:rsidR="00671098" w:rsidRDefault="00DB46DD" w:rsidP="00DB46DD">
            <w:pPr>
              <w:jc w:val="right"/>
              <w:rPr>
                <w:color w:val="000000"/>
                <w:sz w:val="20"/>
              </w:rPr>
            </w:pPr>
            <w:r>
              <w:rPr>
                <w:color w:val="000000"/>
                <w:sz w:val="20"/>
              </w:rPr>
              <w:t>10</w:t>
            </w:r>
            <w:r w:rsidR="00671098">
              <w:rPr>
                <w:color w:val="000000"/>
                <w:sz w:val="20"/>
              </w:rPr>
              <w:t>%</w:t>
            </w:r>
          </w:p>
        </w:tc>
      </w:tr>
      <w:tr w:rsidR="00671098" w:rsidRPr="00580CBD" w:rsidTr="00671098">
        <w:tc>
          <w:tcPr>
            <w:tcW w:w="4219" w:type="dxa"/>
            <w:shd w:val="clear" w:color="auto" w:fill="auto"/>
          </w:tcPr>
          <w:p w:rsidR="00671098" w:rsidRPr="00580CBD" w:rsidRDefault="00671098" w:rsidP="00580CBD">
            <w:pPr>
              <w:pStyle w:val="BodyText"/>
              <w:spacing w:before="60" w:after="60"/>
              <w:jc w:val="left"/>
              <w:rPr>
                <w:sz w:val="20"/>
              </w:rPr>
            </w:pPr>
            <w:r>
              <w:rPr>
                <w:color w:val="000000"/>
                <w:sz w:val="20"/>
              </w:rPr>
              <w:t>Avoided landfill costs – environmental</w:t>
            </w:r>
          </w:p>
        </w:tc>
        <w:tc>
          <w:tcPr>
            <w:tcW w:w="1946" w:type="dxa"/>
            <w:shd w:val="clear" w:color="auto" w:fill="auto"/>
            <w:vAlign w:val="bottom"/>
          </w:tcPr>
          <w:p w:rsidR="00671098" w:rsidRPr="00580CBD" w:rsidRDefault="00671098" w:rsidP="00580CBD">
            <w:pPr>
              <w:pStyle w:val="BodyText"/>
              <w:spacing w:before="60" w:after="60"/>
              <w:jc w:val="right"/>
              <w:rPr>
                <w:sz w:val="20"/>
              </w:rPr>
            </w:pPr>
            <w:r>
              <w:rPr>
                <w:color w:val="000000"/>
                <w:sz w:val="20"/>
              </w:rPr>
              <w:t>Environment</w:t>
            </w:r>
          </w:p>
        </w:tc>
        <w:tc>
          <w:tcPr>
            <w:tcW w:w="1272" w:type="dxa"/>
            <w:shd w:val="clear" w:color="auto" w:fill="auto"/>
            <w:vAlign w:val="center"/>
          </w:tcPr>
          <w:p w:rsidR="00671098" w:rsidRDefault="00671098" w:rsidP="00671098">
            <w:pPr>
              <w:jc w:val="right"/>
              <w:rPr>
                <w:color w:val="000000"/>
                <w:sz w:val="20"/>
              </w:rPr>
            </w:pPr>
            <w:r>
              <w:rPr>
                <w:color w:val="000000"/>
                <w:sz w:val="20"/>
              </w:rPr>
              <w:t>$0.7</w:t>
            </w:r>
          </w:p>
        </w:tc>
        <w:tc>
          <w:tcPr>
            <w:tcW w:w="1284" w:type="dxa"/>
            <w:shd w:val="clear" w:color="auto" w:fill="auto"/>
            <w:vAlign w:val="center"/>
          </w:tcPr>
          <w:p w:rsidR="00671098" w:rsidRDefault="00671098" w:rsidP="00671098">
            <w:pPr>
              <w:jc w:val="right"/>
              <w:rPr>
                <w:color w:val="000000"/>
                <w:sz w:val="20"/>
              </w:rPr>
            </w:pPr>
            <w:r>
              <w:rPr>
                <w:color w:val="000000"/>
                <w:sz w:val="20"/>
              </w:rPr>
              <w:t>2%</w:t>
            </w:r>
          </w:p>
        </w:tc>
      </w:tr>
      <w:tr w:rsidR="00671098" w:rsidRPr="00580CBD" w:rsidTr="00671098">
        <w:tc>
          <w:tcPr>
            <w:tcW w:w="4219" w:type="dxa"/>
            <w:shd w:val="clear" w:color="auto" w:fill="auto"/>
          </w:tcPr>
          <w:p w:rsidR="00671098" w:rsidRPr="00580CBD" w:rsidRDefault="00671098" w:rsidP="00580CBD">
            <w:pPr>
              <w:pStyle w:val="BodyText"/>
              <w:spacing w:before="60" w:after="60"/>
              <w:jc w:val="left"/>
              <w:rPr>
                <w:sz w:val="20"/>
              </w:rPr>
            </w:pPr>
            <w:r>
              <w:rPr>
                <w:color w:val="000000"/>
                <w:sz w:val="20"/>
              </w:rPr>
              <w:t xml:space="preserve">Metal resource recovery </w:t>
            </w:r>
          </w:p>
        </w:tc>
        <w:tc>
          <w:tcPr>
            <w:tcW w:w="1946" w:type="dxa"/>
            <w:shd w:val="clear" w:color="auto" w:fill="auto"/>
            <w:vAlign w:val="bottom"/>
          </w:tcPr>
          <w:p w:rsidR="00671098" w:rsidRPr="00580CBD" w:rsidRDefault="00671098" w:rsidP="00580CBD">
            <w:pPr>
              <w:pStyle w:val="BodyText"/>
              <w:spacing w:before="60" w:after="60"/>
              <w:jc w:val="right"/>
              <w:rPr>
                <w:sz w:val="20"/>
              </w:rPr>
            </w:pPr>
            <w:r>
              <w:rPr>
                <w:color w:val="000000"/>
                <w:sz w:val="20"/>
              </w:rPr>
              <w:t>Industry</w:t>
            </w:r>
          </w:p>
        </w:tc>
        <w:tc>
          <w:tcPr>
            <w:tcW w:w="1272" w:type="dxa"/>
            <w:shd w:val="clear" w:color="auto" w:fill="auto"/>
            <w:vAlign w:val="center"/>
          </w:tcPr>
          <w:p w:rsidR="00671098" w:rsidRDefault="00671098" w:rsidP="00671098">
            <w:pPr>
              <w:jc w:val="right"/>
              <w:rPr>
                <w:color w:val="000000"/>
                <w:sz w:val="20"/>
              </w:rPr>
            </w:pPr>
            <w:r>
              <w:rPr>
                <w:color w:val="000000"/>
                <w:sz w:val="20"/>
              </w:rPr>
              <w:t>$0.0</w:t>
            </w:r>
          </w:p>
        </w:tc>
        <w:tc>
          <w:tcPr>
            <w:tcW w:w="1284" w:type="dxa"/>
            <w:shd w:val="clear" w:color="auto" w:fill="auto"/>
            <w:vAlign w:val="center"/>
          </w:tcPr>
          <w:p w:rsidR="00671098" w:rsidRDefault="00671098" w:rsidP="00671098">
            <w:pPr>
              <w:jc w:val="right"/>
              <w:rPr>
                <w:color w:val="000000"/>
                <w:sz w:val="20"/>
              </w:rPr>
            </w:pPr>
            <w:r>
              <w:rPr>
                <w:color w:val="000000"/>
                <w:sz w:val="20"/>
              </w:rPr>
              <w:t>0%</w:t>
            </w:r>
          </w:p>
        </w:tc>
      </w:tr>
      <w:tr w:rsidR="00671098" w:rsidRPr="00580CBD" w:rsidTr="00671098">
        <w:tc>
          <w:tcPr>
            <w:tcW w:w="4219" w:type="dxa"/>
            <w:shd w:val="clear" w:color="auto" w:fill="auto"/>
          </w:tcPr>
          <w:p w:rsidR="00671098" w:rsidRPr="00580CBD" w:rsidRDefault="00671098" w:rsidP="00580CBD">
            <w:pPr>
              <w:pStyle w:val="BodyText"/>
              <w:spacing w:before="60" w:after="60"/>
              <w:jc w:val="left"/>
              <w:rPr>
                <w:sz w:val="20"/>
              </w:rPr>
            </w:pPr>
            <w:r>
              <w:rPr>
                <w:color w:val="000000"/>
                <w:sz w:val="20"/>
              </w:rPr>
              <w:t>Plastic resource recovery</w:t>
            </w:r>
          </w:p>
        </w:tc>
        <w:tc>
          <w:tcPr>
            <w:tcW w:w="1946" w:type="dxa"/>
            <w:shd w:val="clear" w:color="auto" w:fill="auto"/>
            <w:vAlign w:val="bottom"/>
          </w:tcPr>
          <w:p w:rsidR="00671098" w:rsidRPr="00580CBD" w:rsidRDefault="00671098" w:rsidP="00580CBD">
            <w:pPr>
              <w:pStyle w:val="BodyText"/>
              <w:spacing w:before="60" w:after="60"/>
              <w:jc w:val="right"/>
              <w:rPr>
                <w:sz w:val="20"/>
              </w:rPr>
            </w:pPr>
            <w:r>
              <w:rPr>
                <w:color w:val="000000"/>
                <w:sz w:val="20"/>
              </w:rPr>
              <w:t>Industry</w:t>
            </w:r>
          </w:p>
        </w:tc>
        <w:tc>
          <w:tcPr>
            <w:tcW w:w="1272" w:type="dxa"/>
            <w:shd w:val="clear" w:color="auto" w:fill="auto"/>
            <w:vAlign w:val="center"/>
          </w:tcPr>
          <w:p w:rsidR="00671098" w:rsidRDefault="00671098" w:rsidP="00671098">
            <w:pPr>
              <w:jc w:val="right"/>
              <w:rPr>
                <w:color w:val="000000"/>
                <w:sz w:val="20"/>
              </w:rPr>
            </w:pPr>
            <w:r>
              <w:rPr>
                <w:color w:val="000000"/>
                <w:sz w:val="20"/>
              </w:rPr>
              <w:t>$22.6</w:t>
            </w:r>
          </w:p>
        </w:tc>
        <w:tc>
          <w:tcPr>
            <w:tcW w:w="1284" w:type="dxa"/>
            <w:shd w:val="clear" w:color="auto" w:fill="auto"/>
            <w:vAlign w:val="center"/>
          </w:tcPr>
          <w:p w:rsidR="00671098" w:rsidRDefault="00DB46DD" w:rsidP="00671098">
            <w:pPr>
              <w:jc w:val="right"/>
              <w:rPr>
                <w:color w:val="000000"/>
                <w:sz w:val="20"/>
              </w:rPr>
            </w:pPr>
            <w:r>
              <w:rPr>
                <w:color w:val="000000"/>
                <w:sz w:val="20"/>
              </w:rPr>
              <w:t>68</w:t>
            </w:r>
            <w:r w:rsidR="00671098">
              <w:rPr>
                <w:color w:val="000000"/>
                <w:sz w:val="20"/>
              </w:rPr>
              <w:t>%</w:t>
            </w:r>
          </w:p>
        </w:tc>
      </w:tr>
      <w:tr w:rsidR="00671098" w:rsidRPr="00580CBD" w:rsidTr="00671098">
        <w:tc>
          <w:tcPr>
            <w:tcW w:w="4219" w:type="dxa"/>
            <w:shd w:val="clear" w:color="auto" w:fill="auto"/>
          </w:tcPr>
          <w:p w:rsidR="00671098" w:rsidRPr="00580CBD" w:rsidRDefault="00671098" w:rsidP="00580CBD">
            <w:pPr>
              <w:pStyle w:val="BodyText"/>
              <w:spacing w:before="60" w:after="60"/>
              <w:jc w:val="left"/>
              <w:rPr>
                <w:sz w:val="20"/>
              </w:rPr>
            </w:pPr>
            <w:r>
              <w:rPr>
                <w:color w:val="000000"/>
                <w:sz w:val="20"/>
              </w:rPr>
              <w:t>Refrigerant gas recovery (emissions reduction)</w:t>
            </w:r>
          </w:p>
        </w:tc>
        <w:tc>
          <w:tcPr>
            <w:tcW w:w="1946" w:type="dxa"/>
            <w:shd w:val="clear" w:color="auto" w:fill="auto"/>
            <w:vAlign w:val="bottom"/>
          </w:tcPr>
          <w:p w:rsidR="00671098" w:rsidRPr="00580CBD" w:rsidRDefault="00671098" w:rsidP="00580CBD">
            <w:pPr>
              <w:pStyle w:val="BodyText"/>
              <w:spacing w:before="60" w:after="60"/>
              <w:jc w:val="right"/>
              <w:rPr>
                <w:sz w:val="20"/>
              </w:rPr>
            </w:pPr>
            <w:r>
              <w:rPr>
                <w:color w:val="000000"/>
                <w:sz w:val="20"/>
              </w:rPr>
              <w:t>Environment, Community</w:t>
            </w:r>
          </w:p>
        </w:tc>
        <w:tc>
          <w:tcPr>
            <w:tcW w:w="1272" w:type="dxa"/>
            <w:shd w:val="clear" w:color="auto" w:fill="auto"/>
            <w:vAlign w:val="center"/>
          </w:tcPr>
          <w:p w:rsidR="00671098" w:rsidRDefault="00671098" w:rsidP="00671098">
            <w:pPr>
              <w:jc w:val="right"/>
              <w:rPr>
                <w:color w:val="000000"/>
                <w:sz w:val="20"/>
              </w:rPr>
            </w:pPr>
            <w:r>
              <w:rPr>
                <w:color w:val="000000"/>
                <w:sz w:val="20"/>
              </w:rPr>
              <w:t>$1.3</w:t>
            </w:r>
          </w:p>
        </w:tc>
        <w:tc>
          <w:tcPr>
            <w:tcW w:w="1284" w:type="dxa"/>
            <w:shd w:val="clear" w:color="auto" w:fill="auto"/>
            <w:vAlign w:val="center"/>
          </w:tcPr>
          <w:p w:rsidR="00671098" w:rsidRDefault="00DB46DD" w:rsidP="00671098">
            <w:pPr>
              <w:jc w:val="right"/>
              <w:rPr>
                <w:color w:val="000000"/>
                <w:sz w:val="20"/>
              </w:rPr>
            </w:pPr>
            <w:r>
              <w:rPr>
                <w:color w:val="000000"/>
                <w:sz w:val="20"/>
              </w:rPr>
              <w:t>4</w:t>
            </w:r>
            <w:r w:rsidR="00671098">
              <w:rPr>
                <w:color w:val="000000"/>
                <w:sz w:val="20"/>
              </w:rPr>
              <w:t>%</w:t>
            </w:r>
          </w:p>
        </w:tc>
      </w:tr>
      <w:tr w:rsidR="00DB46DD" w:rsidRPr="00580CBD" w:rsidTr="00671098">
        <w:tc>
          <w:tcPr>
            <w:tcW w:w="4219" w:type="dxa"/>
            <w:shd w:val="clear" w:color="auto" w:fill="auto"/>
          </w:tcPr>
          <w:p w:rsidR="00DB46DD" w:rsidRDefault="00DB46DD" w:rsidP="00580CBD">
            <w:pPr>
              <w:pStyle w:val="BodyText"/>
              <w:spacing w:before="60" w:after="60"/>
              <w:jc w:val="left"/>
              <w:rPr>
                <w:color w:val="000000"/>
                <w:sz w:val="20"/>
              </w:rPr>
            </w:pPr>
            <w:r>
              <w:rPr>
                <w:color w:val="000000"/>
                <w:sz w:val="20"/>
              </w:rPr>
              <w:t>Value of additional recycling</w:t>
            </w:r>
          </w:p>
        </w:tc>
        <w:tc>
          <w:tcPr>
            <w:tcW w:w="1946" w:type="dxa"/>
            <w:shd w:val="clear" w:color="auto" w:fill="auto"/>
            <w:vAlign w:val="bottom"/>
          </w:tcPr>
          <w:p w:rsidR="00DB46DD" w:rsidRDefault="00DB46DD" w:rsidP="00580CBD">
            <w:pPr>
              <w:pStyle w:val="BodyText"/>
              <w:spacing w:before="60" w:after="60"/>
              <w:jc w:val="right"/>
              <w:rPr>
                <w:color w:val="000000"/>
                <w:sz w:val="20"/>
              </w:rPr>
            </w:pPr>
            <w:r>
              <w:rPr>
                <w:color w:val="000000"/>
                <w:sz w:val="20"/>
              </w:rPr>
              <w:t>Community</w:t>
            </w:r>
          </w:p>
        </w:tc>
        <w:tc>
          <w:tcPr>
            <w:tcW w:w="1272" w:type="dxa"/>
            <w:shd w:val="clear" w:color="auto" w:fill="auto"/>
            <w:vAlign w:val="center"/>
          </w:tcPr>
          <w:p w:rsidR="00DB46DD" w:rsidRDefault="00DB46DD" w:rsidP="00671098">
            <w:pPr>
              <w:jc w:val="right"/>
              <w:rPr>
                <w:color w:val="000000"/>
                <w:sz w:val="20"/>
              </w:rPr>
            </w:pPr>
            <w:r>
              <w:rPr>
                <w:color w:val="000000"/>
                <w:sz w:val="20"/>
              </w:rPr>
              <w:t>$5.3</w:t>
            </w:r>
          </w:p>
        </w:tc>
        <w:tc>
          <w:tcPr>
            <w:tcW w:w="1284" w:type="dxa"/>
            <w:shd w:val="clear" w:color="auto" w:fill="auto"/>
            <w:vAlign w:val="center"/>
          </w:tcPr>
          <w:p w:rsidR="00DB46DD" w:rsidDel="00DB46DD" w:rsidRDefault="00DB46DD" w:rsidP="00671098">
            <w:pPr>
              <w:jc w:val="right"/>
              <w:rPr>
                <w:color w:val="000000"/>
                <w:sz w:val="20"/>
              </w:rPr>
            </w:pPr>
            <w:r>
              <w:rPr>
                <w:color w:val="000000"/>
                <w:sz w:val="20"/>
              </w:rPr>
              <w:t>16%</w:t>
            </w:r>
          </w:p>
        </w:tc>
      </w:tr>
      <w:tr w:rsidR="00671098" w:rsidRPr="00580CBD" w:rsidTr="00671098">
        <w:tc>
          <w:tcPr>
            <w:tcW w:w="4219" w:type="dxa"/>
            <w:shd w:val="clear" w:color="auto" w:fill="auto"/>
          </w:tcPr>
          <w:p w:rsidR="00671098" w:rsidRPr="00580CBD" w:rsidRDefault="00671098" w:rsidP="00580CBD">
            <w:pPr>
              <w:pStyle w:val="BodyText"/>
              <w:spacing w:before="60" w:after="60"/>
              <w:jc w:val="left"/>
              <w:rPr>
                <w:sz w:val="20"/>
              </w:rPr>
            </w:pPr>
            <w:r>
              <w:rPr>
                <w:b/>
                <w:bCs/>
                <w:color w:val="000000"/>
                <w:sz w:val="20"/>
              </w:rPr>
              <w:t>Total benefits</w:t>
            </w:r>
          </w:p>
        </w:tc>
        <w:tc>
          <w:tcPr>
            <w:tcW w:w="1946" w:type="dxa"/>
            <w:shd w:val="clear" w:color="auto" w:fill="auto"/>
            <w:vAlign w:val="bottom"/>
          </w:tcPr>
          <w:p w:rsidR="00671098" w:rsidRPr="00580CBD" w:rsidRDefault="00671098" w:rsidP="00580CBD">
            <w:pPr>
              <w:pStyle w:val="BodyText"/>
              <w:spacing w:before="60" w:after="60"/>
              <w:jc w:val="right"/>
              <w:rPr>
                <w:sz w:val="20"/>
              </w:rPr>
            </w:pPr>
            <w:r>
              <w:rPr>
                <w:b/>
                <w:bCs/>
                <w:color w:val="000000"/>
                <w:sz w:val="20"/>
              </w:rPr>
              <w:t> </w:t>
            </w:r>
          </w:p>
        </w:tc>
        <w:tc>
          <w:tcPr>
            <w:tcW w:w="1272" w:type="dxa"/>
            <w:shd w:val="clear" w:color="auto" w:fill="auto"/>
            <w:vAlign w:val="center"/>
          </w:tcPr>
          <w:p w:rsidR="00671098" w:rsidRDefault="00671098" w:rsidP="00DB46DD">
            <w:pPr>
              <w:jc w:val="right"/>
              <w:rPr>
                <w:b/>
                <w:bCs/>
                <w:color w:val="000000"/>
                <w:sz w:val="20"/>
              </w:rPr>
            </w:pPr>
            <w:r>
              <w:rPr>
                <w:b/>
                <w:bCs/>
                <w:color w:val="000000"/>
                <w:sz w:val="20"/>
              </w:rPr>
              <w:t>$</w:t>
            </w:r>
            <w:r w:rsidR="00DB46DD">
              <w:rPr>
                <w:b/>
                <w:bCs/>
                <w:color w:val="000000"/>
                <w:sz w:val="20"/>
              </w:rPr>
              <w:t>33.5</w:t>
            </w:r>
          </w:p>
        </w:tc>
        <w:tc>
          <w:tcPr>
            <w:tcW w:w="1284" w:type="dxa"/>
            <w:shd w:val="clear" w:color="auto" w:fill="auto"/>
            <w:vAlign w:val="center"/>
          </w:tcPr>
          <w:p w:rsidR="00671098" w:rsidRDefault="00671098" w:rsidP="00671098">
            <w:pPr>
              <w:jc w:val="right"/>
              <w:rPr>
                <w:b/>
                <w:bCs/>
                <w:color w:val="000000"/>
                <w:sz w:val="20"/>
              </w:rPr>
            </w:pPr>
            <w:r>
              <w:rPr>
                <w:b/>
                <w:bCs/>
                <w:color w:val="000000"/>
                <w:sz w:val="20"/>
              </w:rPr>
              <w:t>100%</w:t>
            </w:r>
          </w:p>
        </w:tc>
      </w:tr>
    </w:tbl>
    <w:p w:rsidR="00781317" w:rsidRDefault="00781317" w:rsidP="00781317">
      <w:pPr>
        <w:pStyle w:val="Source"/>
      </w:pPr>
      <w:r>
        <w:t>Source: KPMG analysis</w:t>
      </w:r>
    </w:p>
    <w:p w:rsidR="0081406E" w:rsidRDefault="00FD6BAA">
      <w:pPr>
        <w:pStyle w:val="Heading3"/>
      </w:pPr>
      <w:r>
        <w:t>Option 3 – Mandatory Scheme</w:t>
      </w:r>
    </w:p>
    <w:p w:rsidR="0081406E" w:rsidRDefault="00781317">
      <w:pPr>
        <w:pStyle w:val="BodyText"/>
      </w:pPr>
      <w:r>
        <w:t xml:space="preserve">The distribution of the costs and benefits under the mandatory scheme is outlined in </w:t>
      </w:r>
      <w:r w:rsidR="00586F30">
        <w:fldChar w:fldCharType="begin"/>
      </w:r>
      <w:r>
        <w:instrText xml:space="preserve"> REF _Ref392483801 \h </w:instrText>
      </w:r>
      <w:r w:rsidR="00586F30">
        <w:fldChar w:fldCharType="separate"/>
      </w:r>
      <w:r w:rsidR="001E5D7A">
        <w:t xml:space="preserve">Table </w:t>
      </w:r>
      <w:r w:rsidR="001E5D7A">
        <w:rPr>
          <w:noProof/>
        </w:rPr>
        <w:t>5</w:t>
      </w:r>
      <w:r w:rsidR="001E5D7A">
        <w:noBreakHyphen/>
      </w:r>
      <w:r w:rsidR="001E5D7A">
        <w:rPr>
          <w:noProof/>
        </w:rPr>
        <w:t>4</w:t>
      </w:r>
      <w:r w:rsidR="00586F30">
        <w:fldChar w:fldCharType="end"/>
      </w:r>
      <w:r>
        <w:t>.</w:t>
      </w:r>
    </w:p>
    <w:p w:rsidR="00261751" w:rsidRDefault="00261751" w:rsidP="00261751">
      <w:pPr>
        <w:pStyle w:val="BodyText"/>
      </w:pPr>
      <w:r>
        <w:t xml:space="preserve">Associated with the higher recovery rates under the mandatory scheme, the costs associated with retailer take back schemes and disassembly are </w:t>
      </w:r>
      <w:r w:rsidR="0028029F">
        <w:t xml:space="preserve">almost </w:t>
      </w:r>
      <w:r>
        <w:t>90 per cent of the total costs. As discussed previously, there is potential that these costs could be reduced through economies of scale. The remaining costs are those associated with regulatory compliance and are borne by both government (</w:t>
      </w:r>
      <w:r w:rsidR="00BF642D">
        <w:t>6</w:t>
      </w:r>
      <w:r w:rsidR="0028029F">
        <w:t xml:space="preserve"> </w:t>
      </w:r>
      <w:r>
        <w:t xml:space="preserve">per cent) and industry (4 per cent). </w:t>
      </w:r>
    </w:p>
    <w:p w:rsidR="00261751" w:rsidRDefault="00261751" w:rsidP="00261751">
      <w:pPr>
        <w:pStyle w:val="BodyText"/>
      </w:pPr>
      <w:r>
        <w:t xml:space="preserve">The benefits associated with resource recovery (metals and plastics) account for </w:t>
      </w:r>
      <w:r w:rsidR="0028029F">
        <w:t>over half</w:t>
      </w:r>
      <w:r>
        <w:t xml:space="preserve"> of the total benefits. </w:t>
      </w:r>
      <w:r w:rsidR="0028029F">
        <w:t xml:space="preserve">The </w:t>
      </w:r>
      <w:r w:rsidR="001A6453">
        <w:t>community’s</w:t>
      </w:r>
      <w:r w:rsidR="0028029F">
        <w:t xml:space="preserve"> willingness to pay for higher recycling represents 30 per cent of the total benefits</w:t>
      </w:r>
      <w:r w:rsidR="001A6453">
        <w:t xml:space="preserve">. </w:t>
      </w:r>
      <w:r>
        <w:t xml:space="preserve">Avoided landfill waste management and externality costs represent </w:t>
      </w:r>
      <w:r w:rsidR="00BF642D">
        <w:t>9</w:t>
      </w:r>
      <w:r w:rsidR="0028029F">
        <w:t xml:space="preserve"> </w:t>
      </w:r>
      <w:r>
        <w:t>per cent of the total benefits. The remaining benefits are those associated with recovery of refrigerant gases</w:t>
      </w:r>
      <w:r w:rsidR="0028029F">
        <w:t xml:space="preserve"> (5 per cent)</w:t>
      </w:r>
      <w:r>
        <w:t>.</w:t>
      </w:r>
    </w:p>
    <w:p w:rsidR="00781317" w:rsidRDefault="00781317" w:rsidP="00781317">
      <w:pPr>
        <w:pStyle w:val="Caption"/>
      </w:pPr>
      <w:bookmarkStart w:id="87" w:name="_Ref392483801"/>
      <w:r>
        <w:lastRenderedPageBreak/>
        <w:t xml:space="preserve">Table </w:t>
      </w:r>
      <w:r w:rsidR="00586F30">
        <w:fldChar w:fldCharType="begin"/>
      </w:r>
      <w:r w:rsidR="00C478AE">
        <w:instrText xml:space="preserve"> STYLEREF 1 \s </w:instrText>
      </w:r>
      <w:r w:rsidR="00586F30">
        <w:fldChar w:fldCharType="separate"/>
      </w:r>
      <w:r w:rsidR="001E5D7A">
        <w:rPr>
          <w:noProof/>
        </w:rPr>
        <w:t>5</w:t>
      </w:r>
      <w:r w:rsidR="00586F30">
        <w:rPr>
          <w:noProof/>
        </w:rPr>
        <w:fldChar w:fldCharType="end"/>
      </w:r>
      <w:r w:rsidR="00CE3BAC">
        <w:noBreakHyphen/>
      </w:r>
      <w:r w:rsidR="00586F30">
        <w:fldChar w:fldCharType="begin"/>
      </w:r>
      <w:r w:rsidR="00C478AE">
        <w:instrText xml:space="preserve"> SEQ Table \* ARABIC \s 1 </w:instrText>
      </w:r>
      <w:r w:rsidR="00586F30">
        <w:fldChar w:fldCharType="separate"/>
      </w:r>
      <w:r w:rsidR="001E5D7A">
        <w:rPr>
          <w:noProof/>
        </w:rPr>
        <w:t>4</w:t>
      </w:r>
      <w:r w:rsidR="00586F30">
        <w:rPr>
          <w:noProof/>
        </w:rPr>
        <w:fldChar w:fldCharType="end"/>
      </w:r>
      <w:bookmarkEnd w:id="87"/>
      <w:r>
        <w:t>: Distribution of costs and benefits, Option 3</w:t>
      </w:r>
      <w:r w:rsidR="0011645F">
        <w:t xml:space="preserve"> (PV @ 7% $million 2014)</w:t>
      </w:r>
    </w:p>
    <w:tbl>
      <w:tblPr>
        <w:tblStyle w:val="TableGrid"/>
        <w:tblW w:w="0" w:type="auto"/>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tblPr>
      <w:tblGrid>
        <w:gridCol w:w="4327"/>
        <w:gridCol w:w="1838"/>
        <w:gridCol w:w="1272"/>
        <w:gridCol w:w="1284"/>
      </w:tblGrid>
      <w:tr w:rsidR="005F5E5D" w:rsidRPr="005F5E5D" w:rsidTr="00A028D0">
        <w:trPr>
          <w:tblHeader/>
        </w:trPr>
        <w:tc>
          <w:tcPr>
            <w:tcW w:w="4327" w:type="dxa"/>
            <w:shd w:val="clear" w:color="auto" w:fill="1F497D" w:themeFill="text2"/>
          </w:tcPr>
          <w:p w:rsidR="005F5E5D" w:rsidRPr="00580CBD" w:rsidRDefault="005F5E5D" w:rsidP="00F419A9">
            <w:pPr>
              <w:pStyle w:val="BodyText"/>
              <w:spacing w:before="60" w:after="60"/>
              <w:rPr>
                <w:sz w:val="20"/>
              </w:rPr>
            </w:pPr>
          </w:p>
        </w:tc>
        <w:tc>
          <w:tcPr>
            <w:tcW w:w="1838" w:type="dxa"/>
            <w:shd w:val="clear" w:color="auto" w:fill="1F497D" w:themeFill="text2"/>
            <w:vAlign w:val="center"/>
          </w:tcPr>
          <w:p w:rsidR="005F5E5D" w:rsidRPr="00A028D0" w:rsidRDefault="00E10441" w:rsidP="00A028D0">
            <w:pPr>
              <w:pStyle w:val="BodyText"/>
              <w:jc w:val="right"/>
              <w:rPr>
                <w:b/>
                <w:color w:val="FFFFFF" w:themeColor="background1"/>
                <w:sz w:val="20"/>
              </w:rPr>
            </w:pPr>
            <w:r w:rsidRPr="00A028D0">
              <w:rPr>
                <w:b/>
                <w:color w:val="FFFFFF" w:themeColor="background1"/>
                <w:sz w:val="20"/>
              </w:rPr>
              <w:t>Bearer</w:t>
            </w:r>
            <w:r w:rsidR="00A028D0" w:rsidRPr="00A028D0">
              <w:rPr>
                <w:b/>
                <w:color w:val="FFFFFF" w:themeColor="background1"/>
                <w:sz w:val="20"/>
              </w:rPr>
              <w:t xml:space="preserve"> </w:t>
            </w:r>
            <w:r w:rsidRPr="00A028D0">
              <w:rPr>
                <w:b/>
                <w:color w:val="FFFFFF" w:themeColor="background1"/>
                <w:sz w:val="20"/>
              </w:rPr>
              <w:t>/</w:t>
            </w:r>
            <w:r w:rsidR="00A028D0" w:rsidRPr="00A028D0">
              <w:rPr>
                <w:b/>
                <w:color w:val="FFFFFF" w:themeColor="background1"/>
                <w:sz w:val="20"/>
              </w:rPr>
              <w:t xml:space="preserve"> </w:t>
            </w:r>
            <w:r w:rsidRPr="00A028D0">
              <w:rPr>
                <w:b/>
                <w:color w:val="FFFFFF" w:themeColor="background1"/>
                <w:sz w:val="20"/>
              </w:rPr>
              <w:t>Beneficiary</w:t>
            </w:r>
          </w:p>
        </w:tc>
        <w:tc>
          <w:tcPr>
            <w:tcW w:w="1272" w:type="dxa"/>
            <w:shd w:val="clear" w:color="auto" w:fill="1F497D" w:themeFill="text2"/>
            <w:vAlign w:val="center"/>
          </w:tcPr>
          <w:p w:rsidR="005F5E5D" w:rsidRPr="00A028D0" w:rsidRDefault="00E10441" w:rsidP="00A028D0">
            <w:pPr>
              <w:pStyle w:val="BodyText"/>
              <w:jc w:val="right"/>
              <w:rPr>
                <w:b/>
                <w:color w:val="FFFFFF" w:themeColor="background1"/>
                <w:sz w:val="20"/>
              </w:rPr>
            </w:pPr>
            <w:r w:rsidRPr="00A028D0">
              <w:rPr>
                <w:b/>
                <w:color w:val="FFFFFF" w:themeColor="background1"/>
                <w:sz w:val="20"/>
              </w:rPr>
              <w:t>Cost/Benefit ($m)</w:t>
            </w:r>
          </w:p>
        </w:tc>
        <w:tc>
          <w:tcPr>
            <w:tcW w:w="1284" w:type="dxa"/>
            <w:shd w:val="clear" w:color="auto" w:fill="1F497D" w:themeFill="text2"/>
            <w:vAlign w:val="center"/>
          </w:tcPr>
          <w:p w:rsidR="005F5E5D" w:rsidRPr="00A028D0" w:rsidRDefault="00E10441" w:rsidP="00A028D0">
            <w:pPr>
              <w:pStyle w:val="BodyText"/>
              <w:jc w:val="right"/>
              <w:rPr>
                <w:b/>
                <w:color w:val="FFFFFF" w:themeColor="background1"/>
                <w:sz w:val="20"/>
              </w:rPr>
            </w:pPr>
            <w:r w:rsidRPr="00A028D0">
              <w:rPr>
                <w:b/>
                <w:color w:val="FFFFFF" w:themeColor="background1"/>
                <w:sz w:val="20"/>
              </w:rPr>
              <w:t>Share of total (%)</w:t>
            </w:r>
          </w:p>
        </w:tc>
      </w:tr>
      <w:tr w:rsidR="005F5E5D" w:rsidRPr="005F5E5D" w:rsidTr="00F419A9">
        <w:tc>
          <w:tcPr>
            <w:tcW w:w="8721" w:type="dxa"/>
            <w:gridSpan w:val="4"/>
            <w:shd w:val="clear" w:color="auto" w:fill="C6D9F1" w:themeFill="text2" w:themeFillTint="33"/>
          </w:tcPr>
          <w:p w:rsidR="005F5E5D" w:rsidRPr="005F5E5D" w:rsidRDefault="00E10441" w:rsidP="00F419A9">
            <w:pPr>
              <w:pStyle w:val="BodyText"/>
              <w:spacing w:before="60" w:after="60"/>
              <w:rPr>
                <w:sz w:val="20"/>
              </w:rPr>
            </w:pPr>
            <w:r w:rsidRPr="00E10441">
              <w:rPr>
                <w:b/>
                <w:sz w:val="20"/>
              </w:rPr>
              <w:t>Costs</w:t>
            </w:r>
          </w:p>
        </w:tc>
      </w:tr>
      <w:tr w:rsidR="00671098" w:rsidRPr="005F5E5D" w:rsidTr="00671098">
        <w:tc>
          <w:tcPr>
            <w:tcW w:w="4327" w:type="dxa"/>
          </w:tcPr>
          <w:p w:rsidR="00671098" w:rsidRPr="005F5E5D" w:rsidRDefault="00671098" w:rsidP="00F419A9">
            <w:pPr>
              <w:pStyle w:val="BodyText"/>
              <w:spacing w:before="60" w:after="60"/>
              <w:jc w:val="left"/>
              <w:rPr>
                <w:sz w:val="20"/>
              </w:rPr>
            </w:pPr>
            <w:r w:rsidRPr="00E10441">
              <w:rPr>
                <w:color w:val="000000"/>
                <w:sz w:val="20"/>
              </w:rPr>
              <w:t>Cost of regulatory compliance – government</w:t>
            </w:r>
          </w:p>
        </w:tc>
        <w:tc>
          <w:tcPr>
            <w:tcW w:w="1838" w:type="dxa"/>
            <w:vAlign w:val="bottom"/>
          </w:tcPr>
          <w:p w:rsidR="00671098" w:rsidRPr="005F5E5D" w:rsidRDefault="00671098" w:rsidP="00F419A9">
            <w:pPr>
              <w:pStyle w:val="BodyText"/>
              <w:spacing w:before="60" w:after="60"/>
              <w:jc w:val="right"/>
              <w:rPr>
                <w:sz w:val="20"/>
              </w:rPr>
            </w:pPr>
            <w:r w:rsidRPr="00E10441">
              <w:rPr>
                <w:color w:val="000000"/>
                <w:sz w:val="20"/>
              </w:rPr>
              <w:t>Government</w:t>
            </w:r>
          </w:p>
        </w:tc>
        <w:tc>
          <w:tcPr>
            <w:tcW w:w="1272" w:type="dxa"/>
            <w:vAlign w:val="center"/>
          </w:tcPr>
          <w:p w:rsidR="00671098" w:rsidRDefault="00671098" w:rsidP="00671098">
            <w:pPr>
              <w:jc w:val="right"/>
              <w:rPr>
                <w:color w:val="000000"/>
                <w:sz w:val="20"/>
              </w:rPr>
            </w:pPr>
            <w:r>
              <w:rPr>
                <w:color w:val="000000"/>
                <w:sz w:val="20"/>
              </w:rPr>
              <w:t>$22.7</w:t>
            </w:r>
          </w:p>
        </w:tc>
        <w:tc>
          <w:tcPr>
            <w:tcW w:w="1284" w:type="dxa"/>
            <w:vAlign w:val="center"/>
          </w:tcPr>
          <w:p w:rsidR="00671098" w:rsidRDefault="00671098" w:rsidP="00671098">
            <w:pPr>
              <w:jc w:val="right"/>
              <w:rPr>
                <w:color w:val="000000"/>
                <w:sz w:val="20"/>
              </w:rPr>
            </w:pPr>
            <w:r>
              <w:rPr>
                <w:color w:val="000000"/>
                <w:sz w:val="20"/>
              </w:rPr>
              <w:t>6%</w:t>
            </w:r>
          </w:p>
        </w:tc>
      </w:tr>
      <w:tr w:rsidR="00671098" w:rsidRPr="005F5E5D" w:rsidTr="00671098">
        <w:tc>
          <w:tcPr>
            <w:tcW w:w="4327" w:type="dxa"/>
          </w:tcPr>
          <w:p w:rsidR="00671098" w:rsidRPr="005F5E5D" w:rsidRDefault="00671098" w:rsidP="00F419A9">
            <w:pPr>
              <w:pStyle w:val="BodyText"/>
              <w:spacing w:before="60" w:after="60"/>
              <w:jc w:val="left"/>
              <w:rPr>
                <w:sz w:val="20"/>
              </w:rPr>
            </w:pPr>
            <w:r w:rsidRPr="00E10441">
              <w:rPr>
                <w:color w:val="000000"/>
                <w:sz w:val="20"/>
              </w:rPr>
              <w:t>Cost of regulatory compliance – industry</w:t>
            </w:r>
          </w:p>
        </w:tc>
        <w:tc>
          <w:tcPr>
            <w:tcW w:w="1838" w:type="dxa"/>
            <w:vAlign w:val="bottom"/>
          </w:tcPr>
          <w:p w:rsidR="00671098" w:rsidRPr="005F5E5D" w:rsidRDefault="00671098" w:rsidP="00F419A9">
            <w:pPr>
              <w:pStyle w:val="BodyText"/>
              <w:spacing w:before="60" w:after="60"/>
              <w:jc w:val="right"/>
              <w:rPr>
                <w:sz w:val="20"/>
              </w:rPr>
            </w:pPr>
            <w:r w:rsidRPr="00E10441">
              <w:rPr>
                <w:color w:val="000000"/>
                <w:sz w:val="20"/>
              </w:rPr>
              <w:t>Industry (importers)</w:t>
            </w:r>
          </w:p>
        </w:tc>
        <w:tc>
          <w:tcPr>
            <w:tcW w:w="1272" w:type="dxa"/>
            <w:vAlign w:val="center"/>
          </w:tcPr>
          <w:p w:rsidR="00671098" w:rsidRDefault="00671098" w:rsidP="00671098">
            <w:pPr>
              <w:jc w:val="right"/>
              <w:rPr>
                <w:color w:val="000000"/>
                <w:sz w:val="20"/>
              </w:rPr>
            </w:pPr>
            <w:r>
              <w:rPr>
                <w:color w:val="000000"/>
                <w:sz w:val="20"/>
              </w:rPr>
              <w:t>$14.3</w:t>
            </w:r>
          </w:p>
        </w:tc>
        <w:tc>
          <w:tcPr>
            <w:tcW w:w="1284" w:type="dxa"/>
            <w:vAlign w:val="center"/>
          </w:tcPr>
          <w:p w:rsidR="00671098" w:rsidRDefault="00671098" w:rsidP="00671098">
            <w:pPr>
              <w:jc w:val="right"/>
              <w:rPr>
                <w:color w:val="000000"/>
                <w:sz w:val="20"/>
              </w:rPr>
            </w:pPr>
            <w:r>
              <w:rPr>
                <w:color w:val="000000"/>
                <w:sz w:val="20"/>
              </w:rPr>
              <w:t>4%</w:t>
            </w:r>
          </w:p>
        </w:tc>
      </w:tr>
      <w:tr w:rsidR="00671098" w:rsidRPr="005F5E5D" w:rsidTr="00671098">
        <w:tc>
          <w:tcPr>
            <w:tcW w:w="4327" w:type="dxa"/>
          </w:tcPr>
          <w:p w:rsidR="00671098" w:rsidRPr="005F5E5D" w:rsidRDefault="00671098" w:rsidP="00F419A9">
            <w:pPr>
              <w:pStyle w:val="BodyText"/>
              <w:spacing w:before="60" w:after="60"/>
              <w:jc w:val="left"/>
              <w:rPr>
                <w:sz w:val="20"/>
              </w:rPr>
            </w:pPr>
            <w:r w:rsidRPr="00E10441">
              <w:rPr>
                <w:color w:val="000000"/>
                <w:sz w:val="20"/>
              </w:rPr>
              <w:t>Retailer take back scheme</w:t>
            </w:r>
          </w:p>
        </w:tc>
        <w:tc>
          <w:tcPr>
            <w:tcW w:w="1838" w:type="dxa"/>
            <w:vAlign w:val="bottom"/>
          </w:tcPr>
          <w:p w:rsidR="00671098" w:rsidRPr="005F5E5D" w:rsidRDefault="00671098" w:rsidP="00F419A9">
            <w:pPr>
              <w:pStyle w:val="BodyText"/>
              <w:spacing w:before="60" w:after="60"/>
              <w:jc w:val="right"/>
              <w:rPr>
                <w:sz w:val="20"/>
              </w:rPr>
            </w:pPr>
            <w:r w:rsidRPr="00E10441">
              <w:rPr>
                <w:color w:val="000000"/>
                <w:sz w:val="20"/>
              </w:rPr>
              <w:t>Industry (retailers)</w:t>
            </w:r>
          </w:p>
        </w:tc>
        <w:tc>
          <w:tcPr>
            <w:tcW w:w="1272" w:type="dxa"/>
            <w:vAlign w:val="center"/>
          </w:tcPr>
          <w:p w:rsidR="00671098" w:rsidRDefault="00671098" w:rsidP="002744CB">
            <w:pPr>
              <w:jc w:val="right"/>
              <w:rPr>
                <w:color w:val="000000"/>
                <w:sz w:val="20"/>
              </w:rPr>
            </w:pPr>
            <w:r>
              <w:rPr>
                <w:color w:val="000000"/>
                <w:sz w:val="20"/>
              </w:rPr>
              <w:t>$</w:t>
            </w:r>
            <w:r w:rsidR="00612435">
              <w:rPr>
                <w:color w:val="000000"/>
                <w:sz w:val="20"/>
              </w:rPr>
              <w:t>1</w:t>
            </w:r>
            <w:r w:rsidR="002744CB">
              <w:rPr>
                <w:color w:val="000000"/>
                <w:sz w:val="20"/>
              </w:rPr>
              <w:t>1</w:t>
            </w:r>
            <w:r w:rsidR="00612435">
              <w:rPr>
                <w:color w:val="000000"/>
                <w:sz w:val="20"/>
              </w:rPr>
              <w:t>8.3</w:t>
            </w:r>
          </w:p>
        </w:tc>
        <w:tc>
          <w:tcPr>
            <w:tcW w:w="1284" w:type="dxa"/>
            <w:vAlign w:val="center"/>
          </w:tcPr>
          <w:p w:rsidR="00671098" w:rsidRDefault="00612435" w:rsidP="00612435">
            <w:pPr>
              <w:jc w:val="right"/>
              <w:rPr>
                <w:color w:val="000000"/>
                <w:sz w:val="20"/>
              </w:rPr>
            </w:pPr>
            <w:r>
              <w:rPr>
                <w:color w:val="000000"/>
                <w:sz w:val="20"/>
              </w:rPr>
              <w:t>36</w:t>
            </w:r>
            <w:r w:rsidR="00671098">
              <w:rPr>
                <w:color w:val="000000"/>
                <w:sz w:val="20"/>
              </w:rPr>
              <w:t>%</w:t>
            </w:r>
          </w:p>
        </w:tc>
      </w:tr>
      <w:tr w:rsidR="00671098" w:rsidRPr="005F5E5D" w:rsidTr="00671098">
        <w:tc>
          <w:tcPr>
            <w:tcW w:w="4327" w:type="dxa"/>
          </w:tcPr>
          <w:p w:rsidR="00671098" w:rsidRPr="005F5E5D" w:rsidRDefault="00671098" w:rsidP="00F419A9">
            <w:pPr>
              <w:pStyle w:val="BodyText"/>
              <w:spacing w:before="60" w:after="60"/>
              <w:jc w:val="left"/>
              <w:rPr>
                <w:sz w:val="20"/>
              </w:rPr>
            </w:pPr>
            <w:r w:rsidRPr="00E10441">
              <w:rPr>
                <w:color w:val="000000"/>
                <w:sz w:val="20"/>
              </w:rPr>
              <w:t>Cost of disassembly</w:t>
            </w:r>
          </w:p>
        </w:tc>
        <w:tc>
          <w:tcPr>
            <w:tcW w:w="1838" w:type="dxa"/>
            <w:vAlign w:val="bottom"/>
          </w:tcPr>
          <w:p w:rsidR="00671098" w:rsidRPr="005F5E5D" w:rsidRDefault="00671098" w:rsidP="00F419A9">
            <w:pPr>
              <w:pStyle w:val="BodyText"/>
              <w:spacing w:before="60" w:after="60"/>
              <w:jc w:val="right"/>
              <w:rPr>
                <w:sz w:val="20"/>
              </w:rPr>
            </w:pPr>
            <w:r w:rsidRPr="00E10441">
              <w:rPr>
                <w:color w:val="000000"/>
                <w:sz w:val="20"/>
              </w:rPr>
              <w:t>Industry</w:t>
            </w:r>
          </w:p>
        </w:tc>
        <w:tc>
          <w:tcPr>
            <w:tcW w:w="1272" w:type="dxa"/>
            <w:vAlign w:val="center"/>
          </w:tcPr>
          <w:p w:rsidR="00671098" w:rsidRDefault="00671098" w:rsidP="00612435">
            <w:pPr>
              <w:jc w:val="right"/>
              <w:rPr>
                <w:color w:val="000000"/>
                <w:sz w:val="20"/>
              </w:rPr>
            </w:pPr>
            <w:r>
              <w:rPr>
                <w:color w:val="000000"/>
                <w:sz w:val="20"/>
              </w:rPr>
              <w:t>$</w:t>
            </w:r>
            <w:r w:rsidR="00612435">
              <w:rPr>
                <w:color w:val="000000"/>
                <w:sz w:val="20"/>
              </w:rPr>
              <w:t>170.5</w:t>
            </w:r>
          </w:p>
        </w:tc>
        <w:tc>
          <w:tcPr>
            <w:tcW w:w="1284" w:type="dxa"/>
            <w:vAlign w:val="center"/>
          </w:tcPr>
          <w:p w:rsidR="00671098" w:rsidRDefault="00612435" w:rsidP="00612435">
            <w:pPr>
              <w:jc w:val="right"/>
              <w:rPr>
                <w:color w:val="000000"/>
                <w:sz w:val="20"/>
              </w:rPr>
            </w:pPr>
            <w:r>
              <w:rPr>
                <w:color w:val="000000"/>
                <w:sz w:val="20"/>
              </w:rPr>
              <w:t>52</w:t>
            </w:r>
            <w:r w:rsidR="00671098">
              <w:rPr>
                <w:color w:val="000000"/>
                <w:sz w:val="20"/>
              </w:rPr>
              <w:t>%</w:t>
            </w:r>
          </w:p>
        </w:tc>
      </w:tr>
      <w:tr w:rsidR="00671098" w:rsidRPr="005F5E5D" w:rsidTr="00671098">
        <w:tc>
          <w:tcPr>
            <w:tcW w:w="4327" w:type="dxa"/>
          </w:tcPr>
          <w:p w:rsidR="00671098" w:rsidRPr="005F5E5D" w:rsidRDefault="00671098" w:rsidP="00F419A9">
            <w:pPr>
              <w:pStyle w:val="BodyText"/>
              <w:spacing w:before="60" w:after="60"/>
              <w:jc w:val="left"/>
              <w:rPr>
                <w:b/>
                <w:sz w:val="20"/>
              </w:rPr>
            </w:pPr>
            <w:r w:rsidRPr="00E10441">
              <w:rPr>
                <w:b/>
                <w:bCs/>
                <w:color w:val="000000"/>
                <w:sz w:val="20"/>
              </w:rPr>
              <w:t>Total costs</w:t>
            </w:r>
          </w:p>
        </w:tc>
        <w:tc>
          <w:tcPr>
            <w:tcW w:w="1838" w:type="dxa"/>
            <w:vAlign w:val="bottom"/>
          </w:tcPr>
          <w:p w:rsidR="00671098" w:rsidRPr="005F5E5D" w:rsidRDefault="00671098" w:rsidP="00F419A9">
            <w:pPr>
              <w:pStyle w:val="BodyText"/>
              <w:spacing w:before="60" w:after="60"/>
              <w:jc w:val="right"/>
              <w:rPr>
                <w:sz w:val="20"/>
              </w:rPr>
            </w:pPr>
            <w:r w:rsidRPr="00E10441">
              <w:rPr>
                <w:color w:val="000000"/>
                <w:sz w:val="20"/>
              </w:rPr>
              <w:t> </w:t>
            </w:r>
          </w:p>
        </w:tc>
        <w:tc>
          <w:tcPr>
            <w:tcW w:w="1272" w:type="dxa"/>
            <w:vAlign w:val="center"/>
          </w:tcPr>
          <w:p w:rsidR="00671098" w:rsidRDefault="00671098" w:rsidP="00612435">
            <w:pPr>
              <w:jc w:val="right"/>
              <w:rPr>
                <w:b/>
                <w:bCs/>
                <w:color w:val="000000"/>
                <w:sz w:val="20"/>
              </w:rPr>
            </w:pPr>
            <w:r>
              <w:rPr>
                <w:b/>
                <w:bCs/>
                <w:color w:val="000000"/>
                <w:sz w:val="20"/>
              </w:rPr>
              <w:t>$3</w:t>
            </w:r>
            <w:r w:rsidR="00612435">
              <w:rPr>
                <w:b/>
                <w:bCs/>
                <w:color w:val="000000"/>
                <w:sz w:val="20"/>
              </w:rPr>
              <w:t>25.8</w:t>
            </w:r>
          </w:p>
        </w:tc>
        <w:tc>
          <w:tcPr>
            <w:tcW w:w="1284" w:type="dxa"/>
            <w:vAlign w:val="center"/>
          </w:tcPr>
          <w:p w:rsidR="00671098" w:rsidRDefault="00671098" w:rsidP="00671098">
            <w:pPr>
              <w:jc w:val="right"/>
              <w:rPr>
                <w:b/>
                <w:bCs/>
                <w:color w:val="000000"/>
                <w:sz w:val="20"/>
              </w:rPr>
            </w:pPr>
            <w:r>
              <w:rPr>
                <w:b/>
                <w:bCs/>
                <w:color w:val="000000"/>
                <w:sz w:val="20"/>
              </w:rPr>
              <w:t>100%</w:t>
            </w:r>
          </w:p>
        </w:tc>
      </w:tr>
      <w:tr w:rsidR="005F5E5D" w:rsidRPr="005F5E5D" w:rsidTr="00F419A9">
        <w:tc>
          <w:tcPr>
            <w:tcW w:w="8721" w:type="dxa"/>
            <w:gridSpan w:val="4"/>
            <w:shd w:val="clear" w:color="auto" w:fill="C6D9F1" w:themeFill="text2" w:themeFillTint="33"/>
          </w:tcPr>
          <w:p w:rsidR="005F5E5D" w:rsidRPr="005F5E5D" w:rsidRDefault="00E10441" w:rsidP="00F419A9">
            <w:pPr>
              <w:pStyle w:val="BodyText"/>
              <w:spacing w:before="60" w:after="60"/>
              <w:jc w:val="left"/>
              <w:rPr>
                <w:sz w:val="20"/>
              </w:rPr>
            </w:pPr>
            <w:r w:rsidRPr="00E10441">
              <w:rPr>
                <w:b/>
                <w:sz w:val="20"/>
              </w:rPr>
              <w:t>Benefits</w:t>
            </w:r>
          </w:p>
        </w:tc>
      </w:tr>
      <w:tr w:rsidR="00671098" w:rsidRPr="005F5E5D" w:rsidTr="00671098">
        <w:tc>
          <w:tcPr>
            <w:tcW w:w="4327" w:type="dxa"/>
            <w:shd w:val="clear" w:color="auto" w:fill="auto"/>
          </w:tcPr>
          <w:p w:rsidR="00671098" w:rsidRPr="005F5E5D" w:rsidRDefault="00671098" w:rsidP="00F419A9">
            <w:pPr>
              <w:pStyle w:val="BodyText"/>
              <w:spacing w:before="60" w:after="60"/>
              <w:jc w:val="left"/>
              <w:rPr>
                <w:sz w:val="20"/>
              </w:rPr>
            </w:pPr>
            <w:r>
              <w:rPr>
                <w:color w:val="000000"/>
                <w:sz w:val="20"/>
              </w:rPr>
              <w:t>Avoided landfill costs – waste management</w:t>
            </w:r>
          </w:p>
        </w:tc>
        <w:tc>
          <w:tcPr>
            <w:tcW w:w="1838" w:type="dxa"/>
            <w:shd w:val="clear" w:color="auto" w:fill="auto"/>
            <w:vAlign w:val="bottom"/>
          </w:tcPr>
          <w:p w:rsidR="00671098" w:rsidRPr="005F5E5D" w:rsidRDefault="00671098" w:rsidP="00F419A9">
            <w:pPr>
              <w:pStyle w:val="BodyText"/>
              <w:spacing w:before="60" w:after="60"/>
              <w:jc w:val="right"/>
              <w:rPr>
                <w:sz w:val="20"/>
              </w:rPr>
            </w:pPr>
            <w:r>
              <w:rPr>
                <w:color w:val="000000"/>
                <w:sz w:val="20"/>
              </w:rPr>
              <w:t>Landfill operators (Local Government)</w:t>
            </w:r>
          </w:p>
        </w:tc>
        <w:tc>
          <w:tcPr>
            <w:tcW w:w="1272" w:type="dxa"/>
            <w:shd w:val="clear" w:color="auto" w:fill="auto"/>
            <w:vAlign w:val="center"/>
          </w:tcPr>
          <w:p w:rsidR="00671098" w:rsidRDefault="00671098" w:rsidP="00671098">
            <w:pPr>
              <w:jc w:val="right"/>
              <w:rPr>
                <w:color w:val="000000"/>
                <w:sz w:val="20"/>
              </w:rPr>
            </w:pPr>
            <w:r>
              <w:rPr>
                <w:color w:val="000000"/>
                <w:sz w:val="20"/>
              </w:rPr>
              <w:t>$14.8</w:t>
            </w:r>
          </w:p>
        </w:tc>
        <w:tc>
          <w:tcPr>
            <w:tcW w:w="1284" w:type="dxa"/>
            <w:shd w:val="clear" w:color="auto" w:fill="auto"/>
            <w:vAlign w:val="center"/>
          </w:tcPr>
          <w:p w:rsidR="00671098" w:rsidRDefault="00612435" w:rsidP="00671098">
            <w:pPr>
              <w:jc w:val="right"/>
              <w:rPr>
                <w:color w:val="000000"/>
                <w:sz w:val="20"/>
              </w:rPr>
            </w:pPr>
            <w:r>
              <w:rPr>
                <w:color w:val="000000"/>
                <w:sz w:val="20"/>
              </w:rPr>
              <w:t>9</w:t>
            </w:r>
            <w:r w:rsidR="00671098">
              <w:rPr>
                <w:color w:val="000000"/>
                <w:sz w:val="20"/>
              </w:rPr>
              <w:t>%</w:t>
            </w:r>
          </w:p>
        </w:tc>
      </w:tr>
      <w:tr w:rsidR="00671098" w:rsidRPr="005F5E5D" w:rsidTr="00671098">
        <w:tc>
          <w:tcPr>
            <w:tcW w:w="4327" w:type="dxa"/>
            <w:shd w:val="clear" w:color="auto" w:fill="auto"/>
          </w:tcPr>
          <w:p w:rsidR="00671098" w:rsidRPr="005F5E5D" w:rsidRDefault="00671098" w:rsidP="00F419A9">
            <w:pPr>
              <w:pStyle w:val="BodyText"/>
              <w:spacing w:before="60" w:after="60"/>
              <w:jc w:val="left"/>
              <w:rPr>
                <w:sz w:val="20"/>
              </w:rPr>
            </w:pPr>
            <w:r>
              <w:rPr>
                <w:color w:val="000000"/>
                <w:sz w:val="20"/>
              </w:rPr>
              <w:t>Avoided landfill costs – environmental</w:t>
            </w:r>
          </w:p>
        </w:tc>
        <w:tc>
          <w:tcPr>
            <w:tcW w:w="1838" w:type="dxa"/>
            <w:shd w:val="clear" w:color="auto" w:fill="auto"/>
            <w:vAlign w:val="bottom"/>
          </w:tcPr>
          <w:p w:rsidR="00671098" w:rsidRPr="005F5E5D" w:rsidRDefault="00671098" w:rsidP="00F419A9">
            <w:pPr>
              <w:pStyle w:val="BodyText"/>
              <w:spacing w:before="60" w:after="60"/>
              <w:jc w:val="right"/>
              <w:rPr>
                <w:sz w:val="20"/>
              </w:rPr>
            </w:pPr>
            <w:r>
              <w:rPr>
                <w:color w:val="000000"/>
                <w:sz w:val="20"/>
              </w:rPr>
              <w:t>Environment</w:t>
            </w:r>
          </w:p>
        </w:tc>
        <w:tc>
          <w:tcPr>
            <w:tcW w:w="1272" w:type="dxa"/>
            <w:shd w:val="clear" w:color="auto" w:fill="auto"/>
            <w:vAlign w:val="center"/>
          </w:tcPr>
          <w:p w:rsidR="00671098" w:rsidRDefault="00671098" w:rsidP="00671098">
            <w:pPr>
              <w:jc w:val="right"/>
              <w:rPr>
                <w:color w:val="000000"/>
                <w:sz w:val="20"/>
              </w:rPr>
            </w:pPr>
            <w:r>
              <w:rPr>
                <w:color w:val="000000"/>
                <w:sz w:val="20"/>
              </w:rPr>
              <w:t>$3.0</w:t>
            </w:r>
          </w:p>
        </w:tc>
        <w:tc>
          <w:tcPr>
            <w:tcW w:w="1284" w:type="dxa"/>
            <w:shd w:val="clear" w:color="auto" w:fill="auto"/>
            <w:vAlign w:val="center"/>
          </w:tcPr>
          <w:p w:rsidR="00671098" w:rsidRDefault="00671098" w:rsidP="00671098">
            <w:pPr>
              <w:jc w:val="right"/>
              <w:rPr>
                <w:color w:val="000000"/>
                <w:sz w:val="20"/>
              </w:rPr>
            </w:pPr>
            <w:r>
              <w:rPr>
                <w:color w:val="000000"/>
                <w:sz w:val="20"/>
              </w:rPr>
              <w:t>2%</w:t>
            </w:r>
          </w:p>
        </w:tc>
      </w:tr>
      <w:tr w:rsidR="00671098" w:rsidRPr="005F5E5D" w:rsidTr="00671098">
        <w:tc>
          <w:tcPr>
            <w:tcW w:w="4327" w:type="dxa"/>
            <w:shd w:val="clear" w:color="auto" w:fill="auto"/>
          </w:tcPr>
          <w:p w:rsidR="00671098" w:rsidRPr="005F5E5D" w:rsidRDefault="00671098" w:rsidP="00F419A9">
            <w:pPr>
              <w:pStyle w:val="BodyText"/>
              <w:spacing w:before="60" w:after="60"/>
              <w:jc w:val="left"/>
              <w:rPr>
                <w:sz w:val="20"/>
              </w:rPr>
            </w:pPr>
            <w:r>
              <w:rPr>
                <w:color w:val="000000"/>
                <w:sz w:val="20"/>
              </w:rPr>
              <w:t xml:space="preserve">Metal resource recovery </w:t>
            </w:r>
          </w:p>
        </w:tc>
        <w:tc>
          <w:tcPr>
            <w:tcW w:w="1838" w:type="dxa"/>
            <w:shd w:val="clear" w:color="auto" w:fill="auto"/>
            <w:vAlign w:val="bottom"/>
          </w:tcPr>
          <w:p w:rsidR="00671098" w:rsidRPr="005F5E5D" w:rsidRDefault="00671098" w:rsidP="00F419A9">
            <w:pPr>
              <w:pStyle w:val="BodyText"/>
              <w:spacing w:before="60" w:after="60"/>
              <w:jc w:val="right"/>
              <w:rPr>
                <w:sz w:val="20"/>
              </w:rPr>
            </w:pPr>
            <w:r>
              <w:rPr>
                <w:color w:val="000000"/>
                <w:sz w:val="20"/>
              </w:rPr>
              <w:t>Environment, Community</w:t>
            </w:r>
          </w:p>
        </w:tc>
        <w:tc>
          <w:tcPr>
            <w:tcW w:w="1272" w:type="dxa"/>
            <w:shd w:val="clear" w:color="auto" w:fill="auto"/>
            <w:vAlign w:val="center"/>
          </w:tcPr>
          <w:p w:rsidR="00671098" w:rsidRDefault="00671098" w:rsidP="00612435">
            <w:pPr>
              <w:jc w:val="right"/>
              <w:rPr>
                <w:color w:val="000000"/>
                <w:sz w:val="20"/>
              </w:rPr>
            </w:pPr>
            <w:r>
              <w:rPr>
                <w:color w:val="000000"/>
                <w:sz w:val="20"/>
              </w:rPr>
              <w:t>$3</w:t>
            </w:r>
            <w:r w:rsidR="00612435">
              <w:rPr>
                <w:color w:val="000000"/>
                <w:sz w:val="20"/>
              </w:rPr>
              <w:t>0.6</w:t>
            </w:r>
          </w:p>
        </w:tc>
        <w:tc>
          <w:tcPr>
            <w:tcW w:w="1284" w:type="dxa"/>
            <w:shd w:val="clear" w:color="auto" w:fill="auto"/>
            <w:vAlign w:val="center"/>
          </w:tcPr>
          <w:p w:rsidR="00671098" w:rsidRDefault="00612435" w:rsidP="00671098">
            <w:pPr>
              <w:jc w:val="right"/>
              <w:rPr>
                <w:color w:val="000000"/>
                <w:sz w:val="20"/>
              </w:rPr>
            </w:pPr>
            <w:r>
              <w:rPr>
                <w:color w:val="000000"/>
                <w:sz w:val="20"/>
              </w:rPr>
              <w:t>18</w:t>
            </w:r>
            <w:r w:rsidR="00671098">
              <w:rPr>
                <w:color w:val="000000"/>
                <w:sz w:val="20"/>
              </w:rPr>
              <w:t>%</w:t>
            </w:r>
          </w:p>
        </w:tc>
      </w:tr>
      <w:tr w:rsidR="00671098" w:rsidRPr="005F5E5D" w:rsidTr="00671098">
        <w:tc>
          <w:tcPr>
            <w:tcW w:w="4327" w:type="dxa"/>
            <w:shd w:val="clear" w:color="auto" w:fill="auto"/>
          </w:tcPr>
          <w:p w:rsidR="00671098" w:rsidRPr="005F5E5D" w:rsidRDefault="00671098" w:rsidP="00F419A9">
            <w:pPr>
              <w:pStyle w:val="BodyText"/>
              <w:spacing w:before="60" w:after="60"/>
              <w:jc w:val="left"/>
              <w:rPr>
                <w:sz w:val="20"/>
              </w:rPr>
            </w:pPr>
            <w:r>
              <w:rPr>
                <w:color w:val="000000"/>
                <w:sz w:val="20"/>
              </w:rPr>
              <w:t>Plastic resource recovery</w:t>
            </w:r>
          </w:p>
        </w:tc>
        <w:tc>
          <w:tcPr>
            <w:tcW w:w="1838" w:type="dxa"/>
            <w:shd w:val="clear" w:color="auto" w:fill="auto"/>
            <w:vAlign w:val="bottom"/>
          </w:tcPr>
          <w:p w:rsidR="00671098" w:rsidRPr="005F5E5D" w:rsidRDefault="00671098" w:rsidP="00F419A9">
            <w:pPr>
              <w:pStyle w:val="BodyText"/>
              <w:spacing w:before="60" w:after="60"/>
              <w:jc w:val="right"/>
              <w:rPr>
                <w:sz w:val="20"/>
              </w:rPr>
            </w:pPr>
            <w:r>
              <w:rPr>
                <w:color w:val="000000"/>
                <w:sz w:val="20"/>
              </w:rPr>
              <w:t>Environment, Community</w:t>
            </w:r>
          </w:p>
        </w:tc>
        <w:tc>
          <w:tcPr>
            <w:tcW w:w="1272" w:type="dxa"/>
            <w:shd w:val="clear" w:color="auto" w:fill="auto"/>
            <w:vAlign w:val="center"/>
          </w:tcPr>
          <w:p w:rsidR="00671098" w:rsidRDefault="00671098" w:rsidP="00671098">
            <w:pPr>
              <w:jc w:val="right"/>
              <w:rPr>
                <w:color w:val="000000"/>
                <w:sz w:val="20"/>
              </w:rPr>
            </w:pPr>
            <w:r>
              <w:rPr>
                <w:color w:val="000000"/>
                <w:sz w:val="20"/>
              </w:rPr>
              <w:t>$61.2</w:t>
            </w:r>
          </w:p>
        </w:tc>
        <w:tc>
          <w:tcPr>
            <w:tcW w:w="1284" w:type="dxa"/>
            <w:shd w:val="clear" w:color="auto" w:fill="auto"/>
            <w:vAlign w:val="center"/>
          </w:tcPr>
          <w:p w:rsidR="00671098" w:rsidRDefault="00612435" w:rsidP="00671098">
            <w:pPr>
              <w:jc w:val="right"/>
              <w:rPr>
                <w:color w:val="000000"/>
                <w:sz w:val="20"/>
              </w:rPr>
            </w:pPr>
            <w:r>
              <w:rPr>
                <w:color w:val="000000"/>
                <w:sz w:val="20"/>
              </w:rPr>
              <w:t>36</w:t>
            </w:r>
            <w:r w:rsidR="00671098">
              <w:rPr>
                <w:color w:val="000000"/>
                <w:sz w:val="20"/>
              </w:rPr>
              <w:t>%</w:t>
            </w:r>
          </w:p>
        </w:tc>
      </w:tr>
      <w:tr w:rsidR="00671098" w:rsidRPr="005F5E5D" w:rsidTr="00671098">
        <w:tc>
          <w:tcPr>
            <w:tcW w:w="4327" w:type="dxa"/>
            <w:shd w:val="clear" w:color="auto" w:fill="auto"/>
          </w:tcPr>
          <w:p w:rsidR="00671098" w:rsidRPr="005F5E5D" w:rsidRDefault="00671098" w:rsidP="00F419A9">
            <w:pPr>
              <w:pStyle w:val="BodyText"/>
              <w:spacing w:before="60" w:after="60"/>
              <w:jc w:val="left"/>
              <w:rPr>
                <w:sz w:val="20"/>
              </w:rPr>
            </w:pPr>
            <w:r>
              <w:rPr>
                <w:color w:val="000000"/>
                <w:sz w:val="20"/>
              </w:rPr>
              <w:t>Refrigerant gas recovery (emissions reduction)</w:t>
            </w:r>
          </w:p>
        </w:tc>
        <w:tc>
          <w:tcPr>
            <w:tcW w:w="1838" w:type="dxa"/>
            <w:shd w:val="clear" w:color="auto" w:fill="auto"/>
            <w:vAlign w:val="bottom"/>
          </w:tcPr>
          <w:p w:rsidR="00671098" w:rsidRPr="005F5E5D" w:rsidRDefault="00671098" w:rsidP="00F419A9">
            <w:pPr>
              <w:pStyle w:val="BodyText"/>
              <w:spacing w:before="60" w:after="60"/>
              <w:jc w:val="right"/>
              <w:rPr>
                <w:sz w:val="20"/>
              </w:rPr>
            </w:pPr>
            <w:r>
              <w:rPr>
                <w:color w:val="000000"/>
                <w:sz w:val="20"/>
              </w:rPr>
              <w:t>Community</w:t>
            </w:r>
          </w:p>
        </w:tc>
        <w:tc>
          <w:tcPr>
            <w:tcW w:w="1272" w:type="dxa"/>
            <w:shd w:val="clear" w:color="auto" w:fill="auto"/>
            <w:vAlign w:val="center"/>
          </w:tcPr>
          <w:p w:rsidR="00671098" w:rsidRDefault="00671098" w:rsidP="00671098">
            <w:pPr>
              <w:jc w:val="right"/>
              <w:rPr>
                <w:color w:val="000000"/>
                <w:sz w:val="20"/>
              </w:rPr>
            </w:pPr>
            <w:r>
              <w:rPr>
                <w:color w:val="000000"/>
                <w:sz w:val="20"/>
              </w:rPr>
              <w:t>$9.1</w:t>
            </w:r>
          </w:p>
        </w:tc>
        <w:tc>
          <w:tcPr>
            <w:tcW w:w="1284" w:type="dxa"/>
            <w:shd w:val="clear" w:color="auto" w:fill="auto"/>
            <w:vAlign w:val="center"/>
          </w:tcPr>
          <w:p w:rsidR="00671098" w:rsidRDefault="00612435" w:rsidP="00671098">
            <w:pPr>
              <w:jc w:val="right"/>
              <w:rPr>
                <w:color w:val="000000"/>
                <w:sz w:val="20"/>
              </w:rPr>
            </w:pPr>
            <w:r>
              <w:rPr>
                <w:color w:val="000000"/>
                <w:sz w:val="20"/>
              </w:rPr>
              <w:t>5</w:t>
            </w:r>
            <w:r w:rsidR="00671098">
              <w:rPr>
                <w:color w:val="000000"/>
                <w:sz w:val="20"/>
              </w:rPr>
              <w:t>%</w:t>
            </w:r>
          </w:p>
        </w:tc>
      </w:tr>
      <w:tr w:rsidR="0028029F" w:rsidRPr="005F5E5D" w:rsidTr="00671098">
        <w:tc>
          <w:tcPr>
            <w:tcW w:w="4327" w:type="dxa"/>
            <w:shd w:val="clear" w:color="auto" w:fill="auto"/>
          </w:tcPr>
          <w:p w:rsidR="0028029F" w:rsidRDefault="00612435" w:rsidP="00F419A9">
            <w:pPr>
              <w:pStyle w:val="BodyText"/>
              <w:spacing w:before="60" w:after="60"/>
              <w:jc w:val="left"/>
              <w:rPr>
                <w:color w:val="000000"/>
                <w:sz w:val="20"/>
              </w:rPr>
            </w:pPr>
            <w:r>
              <w:rPr>
                <w:color w:val="000000"/>
                <w:sz w:val="20"/>
              </w:rPr>
              <w:t>Value  of additional recycling</w:t>
            </w:r>
          </w:p>
        </w:tc>
        <w:tc>
          <w:tcPr>
            <w:tcW w:w="1838" w:type="dxa"/>
            <w:shd w:val="clear" w:color="auto" w:fill="auto"/>
            <w:vAlign w:val="bottom"/>
          </w:tcPr>
          <w:p w:rsidR="0028029F" w:rsidRDefault="00612435" w:rsidP="00F419A9">
            <w:pPr>
              <w:pStyle w:val="BodyText"/>
              <w:spacing w:before="60" w:after="60"/>
              <w:jc w:val="right"/>
              <w:rPr>
                <w:color w:val="000000"/>
                <w:sz w:val="20"/>
              </w:rPr>
            </w:pPr>
            <w:r>
              <w:rPr>
                <w:color w:val="000000"/>
                <w:sz w:val="20"/>
              </w:rPr>
              <w:t>Community</w:t>
            </w:r>
          </w:p>
        </w:tc>
        <w:tc>
          <w:tcPr>
            <w:tcW w:w="1272" w:type="dxa"/>
            <w:shd w:val="clear" w:color="auto" w:fill="auto"/>
            <w:vAlign w:val="center"/>
          </w:tcPr>
          <w:p w:rsidR="0028029F" w:rsidRDefault="00612435" w:rsidP="00671098">
            <w:pPr>
              <w:jc w:val="right"/>
              <w:rPr>
                <w:color w:val="000000"/>
                <w:sz w:val="20"/>
              </w:rPr>
            </w:pPr>
            <w:r>
              <w:rPr>
                <w:color w:val="000000"/>
                <w:sz w:val="20"/>
              </w:rPr>
              <w:t>$52.0</w:t>
            </w:r>
          </w:p>
        </w:tc>
        <w:tc>
          <w:tcPr>
            <w:tcW w:w="1284" w:type="dxa"/>
            <w:shd w:val="clear" w:color="auto" w:fill="auto"/>
            <w:vAlign w:val="center"/>
          </w:tcPr>
          <w:p w:rsidR="0028029F" w:rsidRDefault="00612435" w:rsidP="00671098">
            <w:pPr>
              <w:jc w:val="right"/>
              <w:rPr>
                <w:color w:val="000000"/>
                <w:sz w:val="20"/>
              </w:rPr>
            </w:pPr>
            <w:r>
              <w:rPr>
                <w:color w:val="000000"/>
                <w:sz w:val="20"/>
              </w:rPr>
              <w:t>30%</w:t>
            </w:r>
          </w:p>
        </w:tc>
      </w:tr>
      <w:tr w:rsidR="00671098" w:rsidRPr="005F5E5D" w:rsidTr="00671098">
        <w:tc>
          <w:tcPr>
            <w:tcW w:w="4327" w:type="dxa"/>
            <w:shd w:val="clear" w:color="auto" w:fill="auto"/>
          </w:tcPr>
          <w:p w:rsidR="00671098" w:rsidRPr="005F5E5D" w:rsidRDefault="00671098" w:rsidP="00F419A9">
            <w:pPr>
              <w:pStyle w:val="BodyText"/>
              <w:spacing w:before="60" w:after="60"/>
              <w:jc w:val="left"/>
              <w:rPr>
                <w:sz w:val="20"/>
              </w:rPr>
            </w:pPr>
            <w:r>
              <w:rPr>
                <w:b/>
                <w:bCs/>
                <w:color w:val="000000"/>
                <w:sz w:val="20"/>
              </w:rPr>
              <w:t>Total benefits</w:t>
            </w:r>
          </w:p>
        </w:tc>
        <w:tc>
          <w:tcPr>
            <w:tcW w:w="1838" w:type="dxa"/>
            <w:shd w:val="clear" w:color="auto" w:fill="auto"/>
            <w:vAlign w:val="bottom"/>
          </w:tcPr>
          <w:p w:rsidR="00671098" w:rsidRPr="005F5E5D" w:rsidRDefault="00671098" w:rsidP="00F419A9">
            <w:pPr>
              <w:pStyle w:val="BodyText"/>
              <w:spacing w:before="60" w:after="60"/>
              <w:jc w:val="right"/>
              <w:rPr>
                <w:sz w:val="20"/>
              </w:rPr>
            </w:pPr>
            <w:r>
              <w:rPr>
                <w:b/>
                <w:bCs/>
                <w:color w:val="000000"/>
                <w:sz w:val="20"/>
              </w:rPr>
              <w:t> </w:t>
            </w:r>
          </w:p>
        </w:tc>
        <w:tc>
          <w:tcPr>
            <w:tcW w:w="1272" w:type="dxa"/>
            <w:shd w:val="clear" w:color="auto" w:fill="auto"/>
            <w:vAlign w:val="center"/>
          </w:tcPr>
          <w:p w:rsidR="00671098" w:rsidRDefault="00671098" w:rsidP="00671098">
            <w:pPr>
              <w:jc w:val="right"/>
              <w:rPr>
                <w:b/>
                <w:bCs/>
                <w:color w:val="000000"/>
                <w:sz w:val="20"/>
              </w:rPr>
            </w:pPr>
            <w:r>
              <w:rPr>
                <w:b/>
                <w:bCs/>
                <w:color w:val="000000"/>
                <w:sz w:val="20"/>
              </w:rPr>
              <w:t>$121.7</w:t>
            </w:r>
          </w:p>
        </w:tc>
        <w:tc>
          <w:tcPr>
            <w:tcW w:w="1284" w:type="dxa"/>
            <w:shd w:val="clear" w:color="auto" w:fill="auto"/>
            <w:vAlign w:val="center"/>
          </w:tcPr>
          <w:p w:rsidR="00671098" w:rsidRPr="00612435" w:rsidRDefault="004C7F41" w:rsidP="00671098">
            <w:pPr>
              <w:jc w:val="right"/>
              <w:rPr>
                <w:b/>
                <w:color w:val="000000"/>
                <w:sz w:val="20"/>
              </w:rPr>
            </w:pPr>
            <w:r w:rsidRPr="004C7F41">
              <w:rPr>
                <w:b/>
                <w:color w:val="000000"/>
                <w:sz w:val="20"/>
              </w:rPr>
              <w:t>100%</w:t>
            </w:r>
          </w:p>
        </w:tc>
      </w:tr>
    </w:tbl>
    <w:p w:rsidR="00781317" w:rsidRDefault="00781317" w:rsidP="00781317">
      <w:pPr>
        <w:pStyle w:val="Source"/>
      </w:pPr>
      <w:r>
        <w:t>Source: KPMG analysis</w:t>
      </w:r>
    </w:p>
    <w:p w:rsidR="00196713" w:rsidRDefault="00C507D8" w:rsidP="00A028D0">
      <w:pPr>
        <w:pStyle w:val="Heading2"/>
      </w:pPr>
      <w:bookmarkStart w:id="88" w:name="_Toc403647592"/>
      <w:r w:rsidRPr="00A028D0">
        <w:t>Sensitivity</w:t>
      </w:r>
      <w:r>
        <w:t xml:space="preserve"> Analysis</w:t>
      </w:r>
      <w:bookmarkEnd w:id="88"/>
    </w:p>
    <w:p w:rsidR="00C507D8" w:rsidRDefault="00C507D8" w:rsidP="00AD54B5">
      <w:pPr>
        <w:pStyle w:val="BodyText"/>
      </w:pPr>
      <w:r>
        <w:t>A series of sensitivity testing was undertaken to highlight the sensitivity of results</w:t>
      </w:r>
      <w:r w:rsidR="005C1070">
        <w:t xml:space="preserve"> to changes in key assumptions, including:</w:t>
      </w:r>
    </w:p>
    <w:p w:rsidR="002744CB" w:rsidRDefault="002744CB" w:rsidP="005C1070">
      <w:pPr>
        <w:pStyle w:val="BulletText"/>
      </w:pPr>
      <w:r>
        <w:t>discount rate;</w:t>
      </w:r>
    </w:p>
    <w:p w:rsidR="001D4A5E" w:rsidRDefault="001D4A5E" w:rsidP="005C1070">
      <w:pPr>
        <w:pStyle w:val="BulletText"/>
      </w:pPr>
      <w:r>
        <w:t>level of compliance/participation and associated recovery rates;</w:t>
      </w:r>
    </w:p>
    <w:p w:rsidR="001D4A5E" w:rsidRDefault="001D4A5E" w:rsidP="005C1070">
      <w:pPr>
        <w:pStyle w:val="BulletText"/>
      </w:pPr>
      <w:r>
        <w:t>costs associated with compliance and additional recovery activity; and</w:t>
      </w:r>
    </w:p>
    <w:p w:rsidR="005C1070" w:rsidRDefault="001D4A5E" w:rsidP="001D4A5E">
      <w:pPr>
        <w:pStyle w:val="BulletText"/>
      </w:pPr>
      <w:proofErr w:type="gramStart"/>
      <w:r>
        <w:t>benefits</w:t>
      </w:r>
      <w:proofErr w:type="gramEnd"/>
      <w:r>
        <w:t xml:space="preserve"> associated with avoided landfill and resource and refrigerant recovery</w:t>
      </w:r>
      <w:r w:rsidR="005C1070">
        <w:t>.</w:t>
      </w:r>
    </w:p>
    <w:p w:rsidR="002744CB" w:rsidRDefault="002744CB">
      <w:pPr>
        <w:pStyle w:val="Heading3"/>
      </w:pPr>
      <w:r>
        <w:t>Discount rate</w:t>
      </w:r>
    </w:p>
    <w:p w:rsidR="002744CB" w:rsidRDefault="002744CB" w:rsidP="002744CB">
      <w:pPr>
        <w:pStyle w:val="BodyText"/>
      </w:pPr>
      <w:r>
        <w:t xml:space="preserve">Sensitivity analysis was undertaken to highlight the effect of changes in the discount rate on the results of the analysis. </w:t>
      </w:r>
      <w:r w:rsidR="00EC1272">
        <w:t xml:space="preserve">The results of the sensitivity analysis are presented in </w:t>
      </w:r>
      <w:r w:rsidR="00586F30">
        <w:fldChar w:fldCharType="begin"/>
      </w:r>
      <w:r w:rsidR="00EC1272">
        <w:instrText xml:space="preserve"> REF _Ref396766734 \h </w:instrText>
      </w:r>
      <w:r w:rsidR="00586F30">
        <w:fldChar w:fldCharType="separate"/>
      </w:r>
      <w:r w:rsidR="001E5D7A">
        <w:t xml:space="preserve">Table </w:t>
      </w:r>
      <w:r w:rsidR="001E5D7A">
        <w:rPr>
          <w:noProof/>
        </w:rPr>
        <w:t>5</w:t>
      </w:r>
      <w:r w:rsidR="001E5D7A">
        <w:noBreakHyphen/>
      </w:r>
      <w:r w:rsidR="001E5D7A">
        <w:rPr>
          <w:noProof/>
        </w:rPr>
        <w:t>5</w:t>
      </w:r>
      <w:r w:rsidR="00586F30">
        <w:fldChar w:fldCharType="end"/>
      </w:r>
      <w:r w:rsidR="002314AD">
        <w:t>.</w:t>
      </w:r>
    </w:p>
    <w:p w:rsidR="002314AD" w:rsidRDefault="002314AD" w:rsidP="002744CB">
      <w:pPr>
        <w:pStyle w:val="BodyText"/>
      </w:pPr>
    </w:p>
    <w:p w:rsidR="00EC1272" w:rsidRDefault="00EC1272" w:rsidP="00EC1272">
      <w:pPr>
        <w:pStyle w:val="Caption"/>
      </w:pPr>
      <w:bookmarkStart w:id="89" w:name="_Ref396766734"/>
      <w:r>
        <w:lastRenderedPageBreak/>
        <w:t xml:space="preserve">Table </w:t>
      </w:r>
      <w:r w:rsidR="00586F30">
        <w:fldChar w:fldCharType="begin"/>
      </w:r>
      <w:r w:rsidR="00C478AE">
        <w:instrText xml:space="preserve"> STYLEREF 1 \s </w:instrText>
      </w:r>
      <w:r w:rsidR="00586F30">
        <w:fldChar w:fldCharType="separate"/>
      </w:r>
      <w:r w:rsidR="001E5D7A">
        <w:rPr>
          <w:noProof/>
        </w:rPr>
        <w:t>5</w:t>
      </w:r>
      <w:r w:rsidR="00586F30">
        <w:rPr>
          <w:noProof/>
        </w:rPr>
        <w:fldChar w:fldCharType="end"/>
      </w:r>
      <w:r>
        <w:noBreakHyphen/>
      </w:r>
      <w:r w:rsidR="00586F30">
        <w:fldChar w:fldCharType="begin"/>
      </w:r>
      <w:r w:rsidR="00C478AE">
        <w:instrText xml:space="preserve"> SEQ Table \* ARABIC \s 1 </w:instrText>
      </w:r>
      <w:r w:rsidR="00586F30">
        <w:fldChar w:fldCharType="separate"/>
      </w:r>
      <w:r w:rsidR="001E5D7A">
        <w:rPr>
          <w:noProof/>
        </w:rPr>
        <w:t>5</w:t>
      </w:r>
      <w:r w:rsidR="00586F30">
        <w:rPr>
          <w:noProof/>
        </w:rPr>
        <w:fldChar w:fldCharType="end"/>
      </w:r>
      <w:bookmarkEnd w:id="89"/>
      <w:r>
        <w:t>: Sensitivity analysis results- discount rate (NPV $million 2014)</w:t>
      </w:r>
    </w:p>
    <w:tbl>
      <w:tblPr>
        <w:tblStyle w:val="TableGrid"/>
        <w:tblW w:w="0" w:type="auto"/>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tblPr>
      <w:tblGrid>
        <w:gridCol w:w="2943"/>
        <w:gridCol w:w="1926"/>
        <w:gridCol w:w="1926"/>
        <w:gridCol w:w="1926"/>
      </w:tblGrid>
      <w:tr w:rsidR="00EC1272" w:rsidRPr="000E144F" w:rsidTr="00EE3E0D">
        <w:trPr>
          <w:tblHeader/>
        </w:trPr>
        <w:tc>
          <w:tcPr>
            <w:tcW w:w="2943" w:type="dxa"/>
            <w:vMerge w:val="restart"/>
            <w:shd w:val="clear" w:color="auto" w:fill="1F497D" w:themeFill="text2"/>
          </w:tcPr>
          <w:p w:rsidR="00EC1272" w:rsidRPr="000E144F" w:rsidRDefault="00EC1272" w:rsidP="00EE3E0D">
            <w:pPr>
              <w:pStyle w:val="BodyText"/>
              <w:spacing w:before="60" w:after="60"/>
              <w:rPr>
                <w:sz w:val="20"/>
              </w:rPr>
            </w:pPr>
          </w:p>
        </w:tc>
        <w:tc>
          <w:tcPr>
            <w:tcW w:w="5778" w:type="dxa"/>
            <w:gridSpan w:val="3"/>
            <w:shd w:val="clear" w:color="auto" w:fill="1F497D" w:themeFill="text2"/>
            <w:vAlign w:val="center"/>
          </w:tcPr>
          <w:p w:rsidR="00EC1272" w:rsidRDefault="00EC1272" w:rsidP="00EC1272">
            <w:pPr>
              <w:pStyle w:val="BodyText"/>
              <w:spacing w:before="60" w:after="60"/>
              <w:jc w:val="center"/>
              <w:rPr>
                <w:b/>
                <w:color w:val="FFFFFF" w:themeColor="background1"/>
                <w:sz w:val="20"/>
              </w:rPr>
            </w:pPr>
            <w:r>
              <w:rPr>
                <w:b/>
                <w:color w:val="FFFFFF" w:themeColor="background1"/>
                <w:sz w:val="20"/>
              </w:rPr>
              <w:t>NPV  $ million</w:t>
            </w:r>
          </w:p>
        </w:tc>
      </w:tr>
      <w:tr w:rsidR="00EC1272" w:rsidRPr="000E144F" w:rsidTr="00EE3E0D">
        <w:trPr>
          <w:tblHeader/>
        </w:trPr>
        <w:tc>
          <w:tcPr>
            <w:tcW w:w="2943" w:type="dxa"/>
            <w:vMerge/>
            <w:shd w:val="clear" w:color="auto" w:fill="1F497D" w:themeFill="text2"/>
          </w:tcPr>
          <w:p w:rsidR="00EC1272" w:rsidRPr="000E144F" w:rsidRDefault="00EC1272" w:rsidP="00EE3E0D">
            <w:pPr>
              <w:pStyle w:val="BodyText"/>
              <w:spacing w:before="60" w:after="60"/>
              <w:rPr>
                <w:sz w:val="20"/>
              </w:rPr>
            </w:pPr>
          </w:p>
        </w:tc>
        <w:tc>
          <w:tcPr>
            <w:tcW w:w="1926" w:type="dxa"/>
            <w:shd w:val="clear" w:color="auto" w:fill="1F497D" w:themeFill="text2"/>
          </w:tcPr>
          <w:p w:rsidR="00EC1272" w:rsidRPr="000E144F" w:rsidRDefault="00EC1272" w:rsidP="00EE3E0D">
            <w:pPr>
              <w:pStyle w:val="BodyText"/>
              <w:spacing w:before="60" w:after="60"/>
              <w:jc w:val="right"/>
              <w:rPr>
                <w:b/>
                <w:color w:val="FFFFFF" w:themeColor="background1"/>
                <w:sz w:val="20"/>
              </w:rPr>
            </w:pPr>
            <w:r w:rsidRPr="000E144F">
              <w:rPr>
                <w:b/>
                <w:color w:val="FFFFFF" w:themeColor="background1"/>
                <w:sz w:val="20"/>
              </w:rPr>
              <w:t xml:space="preserve">Option 1 – Voluntary </w:t>
            </w:r>
            <w:r>
              <w:rPr>
                <w:b/>
                <w:color w:val="FFFFFF" w:themeColor="background1"/>
                <w:sz w:val="20"/>
              </w:rPr>
              <w:br/>
            </w:r>
            <w:r w:rsidRPr="000E144F">
              <w:rPr>
                <w:b/>
                <w:color w:val="FFFFFF" w:themeColor="background1"/>
                <w:sz w:val="20"/>
              </w:rPr>
              <w:t>Scheme</w:t>
            </w:r>
          </w:p>
        </w:tc>
        <w:tc>
          <w:tcPr>
            <w:tcW w:w="1926" w:type="dxa"/>
            <w:shd w:val="clear" w:color="auto" w:fill="1F497D" w:themeFill="text2"/>
          </w:tcPr>
          <w:p w:rsidR="00EC1272" w:rsidRPr="000E144F" w:rsidRDefault="00EC1272" w:rsidP="00EE3E0D">
            <w:pPr>
              <w:pStyle w:val="BodyText"/>
              <w:spacing w:before="60" w:after="60"/>
              <w:jc w:val="right"/>
              <w:rPr>
                <w:b/>
                <w:color w:val="FFFFFF" w:themeColor="background1"/>
                <w:sz w:val="20"/>
              </w:rPr>
            </w:pPr>
            <w:r w:rsidRPr="000E144F">
              <w:rPr>
                <w:b/>
                <w:color w:val="FFFFFF" w:themeColor="background1"/>
                <w:sz w:val="20"/>
              </w:rPr>
              <w:t xml:space="preserve">Option 2 – </w:t>
            </w:r>
            <w:r>
              <w:rPr>
                <w:b/>
                <w:color w:val="FFFFFF" w:themeColor="background1"/>
                <w:sz w:val="20"/>
              </w:rPr>
              <w:br/>
            </w:r>
            <w:r w:rsidRPr="000E144F">
              <w:rPr>
                <w:b/>
                <w:color w:val="FFFFFF" w:themeColor="background1"/>
                <w:sz w:val="20"/>
              </w:rPr>
              <w:t>Co-Regulatory Approach</w:t>
            </w:r>
          </w:p>
        </w:tc>
        <w:tc>
          <w:tcPr>
            <w:tcW w:w="1926" w:type="dxa"/>
            <w:shd w:val="clear" w:color="auto" w:fill="1F497D" w:themeFill="text2"/>
          </w:tcPr>
          <w:p w:rsidR="00EC1272" w:rsidRPr="000E144F" w:rsidRDefault="00EC1272" w:rsidP="00EE3E0D">
            <w:pPr>
              <w:pStyle w:val="BodyText"/>
              <w:spacing w:before="60" w:after="60"/>
              <w:jc w:val="right"/>
              <w:rPr>
                <w:b/>
                <w:color w:val="FFFFFF" w:themeColor="background1"/>
                <w:sz w:val="20"/>
              </w:rPr>
            </w:pPr>
            <w:r w:rsidRPr="000E144F">
              <w:rPr>
                <w:b/>
                <w:color w:val="FFFFFF" w:themeColor="background1"/>
                <w:sz w:val="20"/>
              </w:rPr>
              <w:t xml:space="preserve">Option 3 – Mandatory </w:t>
            </w:r>
            <w:r>
              <w:rPr>
                <w:b/>
                <w:color w:val="FFFFFF" w:themeColor="background1"/>
                <w:sz w:val="20"/>
              </w:rPr>
              <w:br/>
            </w:r>
            <w:r w:rsidRPr="000E144F">
              <w:rPr>
                <w:b/>
                <w:color w:val="FFFFFF" w:themeColor="background1"/>
                <w:sz w:val="20"/>
              </w:rPr>
              <w:t>Scheme</w:t>
            </w:r>
          </w:p>
        </w:tc>
      </w:tr>
      <w:tr w:rsidR="00EC1272" w:rsidRPr="000E144F" w:rsidTr="00EE3E0D">
        <w:tc>
          <w:tcPr>
            <w:tcW w:w="8721" w:type="dxa"/>
            <w:gridSpan w:val="4"/>
            <w:shd w:val="clear" w:color="auto" w:fill="C6D9F1" w:themeFill="text2" w:themeFillTint="33"/>
          </w:tcPr>
          <w:p w:rsidR="00EC1272" w:rsidRDefault="00EC1272" w:rsidP="00EE3E0D">
            <w:pPr>
              <w:pStyle w:val="BodyText"/>
              <w:spacing w:before="60" w:after="60"/>
              <w:rPr>
                <w:b/>
                <w:sz w:val="20"/>
              </w:rPr>
            </w:pPr>
            <w:r>
              <w:rPr>
                <w:b/>
                <w:sz w:val="20"/>
              </w:rPr>
              <w:t xml:space="preserve">Discount Rate = 7% (Central Assumption) </w:t>
            </w:r>
          </w:p>
        </w:tc>
      </w:tr>
      <w:tr w:rsidR="00EC1272" w:rsidRPr="000E144F" w:rsidTr="00EE3E0D">
        <w:trPr>
          <w:trHeight w:val="323"/>
        </w:trPr>
        <w:tc>
          <w:tcPr>
            <w:tcW w:w="2943" w:type="dxa"/>
            <w:shd w:val="clear" w:color="auto" w:fill="auto"/>
          </w:tcPr>
          <w:p w:rsidR="00EC1272" w:rsidRPr="00245322" w:rsidRDefault="00EC1272" w:rsidP="00EE3E0D">
            <w:pPr>
              <w:pStyle w:val="BodyText"/>
              <w:spacing w:before="60" w:after="60"/>
              <w:rPr>
                <w:b/>
                <w:sz w:val="20"/>
              </w:rPr>
            </w:pPr>
            <w:r w:rsidRPr="00245322">
              <w:rPr>
                <w:b/>
                <w:bCs/>
                <w:color w:val="000000"/>
                <w:sz w:val="20"/>
              </w:rPr>
              <w:t xml:space="preserve">NPV ($ </w:t>
            </w:r>
            <w:proofErr w:type="spellStart"/>
            <w:r w:rsidRPr="00245322">
              <w:rPr>
                <w:b/>
                <w:bCs/>
                <w:color w:val="000000"/>
                <w:sz w:val="20"/>
              </w:rPr>
              <w:t>million</w:t>
            </w:r>
            <w:proofErr w:type="spellEnd"/>
            <w:r w:rsidRPr="00245322">
              <w:rPr>
                <w:b/>
                <w:bCs/>
                <w:color w:val="000000"/>
                <w:sz w:val="20"/>
              </w:rPr>
              <w:t>)</w:t>
            </w:r>
          </w:p>
        </w:tc>
        <w:tc>
          <w:tcPr>
            <w:tcW w:w="1926" w:type="dxa"/>
            <w:shd w:val="clear" w:color="auto" w:fill="auto"/>
            <w:vAlign w:val="center"/>
          </w:tcPr>
          <w:p w:rsidR="00EC1272" w:rsidRPr="002744CB" w:rsidRDefault="00EC1272" w:rsidP="00EE3E0D">
            <w:pPr>
              <w:jc w:val="right"/>
              <w:rPr>
                <w:sz w:val="20"/>
              </w:rPr>
            </w:pPr>
            <w:r w:rsidRPr="002744CB">
              <w:rPr>
                <w:sz w:val="20"/>
              </w:rPr>
              <w:t>-$27.4</w:t>
            </w:r>
          </w:p>
        </w:tc>
        <w:tc>
          <w:tcPr>
            <w:tcW w:w="1926" w:type="dxa"/>
            <w:shd w:val="clear" w:color="auto" w:fill="auto"/>
            <w:vAlign w:val="center"/>
          </w:tcPr>
          <w:p w:rsidR="00EC1272" w:rsidRPr="002744CB" w:rsidRDefault="00EC1272" w:rsidP="00EE3E0D">
            <w:pPr>
              <w:jc w:val="right"/>
              <w:rPr>
                <w:sz w:val="20"/>
              </w:rPr>
            </w:pPr>
            <w:r w:rsidRPr="002744CB">
              <w:rPr>
                <w:sz w:val="20"/>
              </w:rPr>
              <w:t>-$64.1</w:t>
            </w:r>
          </w:p>
        </w:tc>
        <w:tc>
          <w:tcPr>
            <w:tcW w:w="1926" w:type="dxa"/>
            <w:shd w:val="clear" w:color="auto" w:fill="auto"/>
            <w:vAlign w:val="center"/>
          </w:tcPr>
          <w:p w:rsidR="00EC1272" w:rsidRPr="002744CB" w:rsidRDefault="00EC1272" w:rsidP="00EE3E0D">
            <w:pPr>
              <w:jc w:val="right"/>
              <w:rPr>
                <w:sz w:val="20"/>
              </w:rPr>
            </w:pPr>
            <w:r w:rsidRPr="002744CB">
              <w:rPr>
                <w:sz w:val="20"/>
              </w:rPr>
              <w:t>-$155.2</w:t>
            </w:r>
          </w:p>
        </w:tc>
      </w:tr>
      <w:tr w:rsidR="00EC1272" w:rsidRPr="000E144F" w:rsidTr="00EE3E0D">
        <w:trPr>
          <w:trHeight w:val="321"/>
        </w:trPr>
        <w:tc>
          <w:tcPr>
            <w:tcW w:w="2943" w:type="dxa"/>
            <w:shd w:val="clear" w:color="auto" w:fill="auto"/>
          </w:tcPr>
          <w:p w:rsidR="00EC1272" w:rsidRPr="00245322" w:rsidRDefault="00EC1272" w:rsidP="00EE3E0D">
            <w:pPr>
              <w:pStyle w:val="BodyText"/>
              <w:spacing w:before="60" w:after="60"/>
              <w:rPr>
                <w:b/>
                <w:sz w:val="20"/>
              </w:rPr>
            </w:pPr>
            <w:r w:rsidRPr="00245322">
              <w:rPr>
                <w:b/>
                <w:bCs/>
                <w:color w:val="000000"/>
                <w:sz w:val="20"/>
              </w:rPr>
              <w:t xml:space="preserve">BCR </w:t>
            </w:r>
          </w:p>
        </w:tc>
        <w:tc>
          <w:tcPr>
            <w:tcW w:w="1926" w:type="dxa"/>
            <w:shd w:val="clear" w:color="auto" w:fill="auto"/>
            <w:vAlign w:val="center"/>
          </w:tcPr>
          <w:p w:rsidR="00EC1272" w:rsidRPr="002744CB" w:rsidRDefault="00EC1272" w:rsidP="00EE3E0D">
            <w:pPr>
              <w:jc w:val="right"/>
              <w:rPr>
                <w:sz w:val="20"/>
              </w:rPr>
            </w:pPr>
            <w:r w:rsidRPr="002744CB">
              <w:rPr>
                <w:sz w:val="20"/>
              </w:rPr>
              <w:t>0.30</w:t>
            </w:r>
          </w:p>
        </w:tc>
        <w:tc>
          <w:tcPr>
            <w:tcW w:w="1926" w:type="dxa"/>
            <w:shd w:val="clear" w:color="auto" w:fill="auto"/>
            <w:vAlign w:val="center"/>
          </w:tcPr>
          <w:p w:rsidR="00EC1272" w:rsidRPr="002744CB" w:rsidRDefault="00EC1272" w:rsidP="00EE3E0D">
            <w:pPr>
              <w:jc w:val="right"/>
              <w:rPr>
                <w:sz w:val="20"/>
              </w:rPr>
            </w:pPr>
            <w:r w:rsidRPr="002744CB">
              <w:rPr>
                <w:sz w:val="20"/>
              </w:rPr>
              <w:t>0.34</w:t>
            </w:r>
          </w:p>
        </w:tc>
        <w:tc>
          <w:tcPr>
            <w:tcW w:w="1926" w:type="dxa"/>
            <w:shd w:val="clear" w:color="auto" w:fill="auto"/>
            <w:vAlign w:val="center"/>
          </w:tcPr>
          <w:p w:rsidR="00EC1272" w:rsidRPr="002744CB" w:rsidRDefault="00EC1272" w:rsidP="00EE3E0D">
            <w:pPr>
              <w:jc w:val="right"/>
              <w:rPr>
                <w:sz w:val="20"/>
              </w:rPr>
            </w:pPr>
            <w:r w:rsidRPr="002744CB">
              <w:rPr>
                <w:sz w:val="20"/>
              </w:rPr>
              <w:t>0.52</w:t>
            </w:r>
          </w:p>
        </w:tc>
      </w:tr>
      <w:tr w:rsidR="00EC1272" w:rsidRPr="000E144F" w:rsidTr="00EE3E0D">
        <w:tc>
          <w:tcPr>
            <w:tcW w:w="8721" w:type="dxa"/>
            <w:gridSpan w:val="4"/>
            <w:shd w:val="clear" w:color="auto" w:fill="C6D9F1" w:themeFill="text2" w:themeFillTint="33"/>
            <w:vAlign w:val="center"/>
          </w:tcPr>
          <w:p w:rsidR="00EC1272" w:rsidRPr="000E144F" w:rsidRDefault="00EC1272" w:rsidP="00EC1272">
            <w:pPr>
              <w:pStyle w:val="BodyText"/>
              <w:spacing w:before="60" w:after="60"/>
              <w:jc w:val="left"/>
              <w:rPr>
                <w:sz w:val="20"/>
              </w:rPr>
            </w:pPr>
            <w:r>
              <w:rPr>
                <w:b/>
                <w:sz w:val="20"/>
              </w:rPr>
              <w:t>Discount Rate = 4%</w:t>
            </w:r>
          </w:p>
        </w:tc>
      </w:tr>
      <w:tr w:rsidR="00EC1272" w:rsidRPr="000E144F" w:rsidTr="00EC1272">
        <w:tc>
          <w:tcPr>
            <w:tcW w:w="2943" w:type="dxa"/>
          </w:tcPr>
          <w:p w:rsidR="00EC1272" w:rsidRPr="00245322" w:rsidRDefault="00EC1272" w:rsidP="00EE3E0D">
            <w:pPr>
              <w:pStyle w:val="BodyText"/>
              <w:spacing w:before="60" w:after="60"/>
              <w:rPr>
                <w:b/>
                <w:sz w:val="20"/>
              </w:rPr>
            </w:pPr>
            <w:r w:rsidRPr="00245322">
              <w:rPr>
                <w:b/>
                <w:bCs/>
                <w:color w:val="000000"/>
                <w:sz w:val="20"/>
              </w:rPr>
              <w:t xml:space="preserve">NPV ($ </w:t>
            </w:r>
            <w:proofErr w:type="spellStart"/>
            <w:r w:rsidRPr="00245322">
              <w:rPr>
                <w:b/>
                <w:bCs/>
                <w:color w:val="000000"/>
                <w:sz w:val="20"/>
              </w:rPr>
              <w:t>million</w:t>
            </w:r>
            <w:proofErr w:type="spellEnd"/>
            <w:r w:rsidRPr="00245322">
              <w:rPr>
                <w:b/>
                <w:bCs/>
                <w:color w:val="000000"/>
                <w:sz w:val="20"/>
              </w:rPr>
              <w:t>)</w:t>
            </w:r>
          </w:p>
        </w:tc>
        <w:tc>
          <w:tcPr>
            <w:tcW w:w="1926" w:type="dxa"/>
            <w:vAlign w:val="center"/>
          </w:tcPr>
          <w:p w:rsidR="00EC1272" w:rsidRPr="00EC1272" w:rsidRDefault="00EC1272" w:rsidP="00EC1272">
            <w:pPr>
              <w:jc w:val="right"/>
              <w:rPr>
                <w:sz w:val="20"/>
              </w:rPr>
            </w:pPr>
            <w:r w:rsidRPr="00EC1272">
              <w:rPr>
                <w:sz w:val="20"/>
              </w:rPr>
              <w:t>-</w:t>
            </w:r>
            <w:r>
              <w:rPr>
                <w:sz w:val="20"/>
              </w:rPr>
              <w:t>$</w:t>
            </w:r>
            <w:r w:rsidRPr="00EC1272">
              <w:rPr>
                <w:sz w:val="20"/>
              </w:rPr>
              <w:t>31.4</w:t>
            </w:r>
          </w:p>
        </w:tc>
        <w:tc>
          <w:tcPr>
            <w:tcW w:w="1926" w:type="dxa"/>
            <w:vAlign w:val="center"/>
          </w:tcPr>
          <w:p w:rsidR="00EC1272" w:rsidRPr="00EC1272" w:rsidRDefault="00EC1272" w:rsidP="00EC1272">
            <w:pPr>
              <w:jc w:val="right"/>
              <w:rPr>
                <w:sz w:val="20"/>
              </w:rPr>
            </w:pPr>
            <w:r w:rsidRPr="00EC1272">
              <w:rPr>
                <w:sz w:val="20"/>
              </w:rPr>
              <w:t>-</w:t>
            </w:r>
            <w:r>
              <w:rPr>
                <w:sz w:val="20"/>
              </w:rPr>
              <w:t>$</w:t>
            </w:r>
            <w:r w:rsidRPr="00EC1272">
              <w:rPr>
                <w:sz w:val="20"/>
              </w:rPr>
              <w:t>72.8</w:t>
            </w:r>
          </w:p>
        </w:tc>
        <w:tc>
          <w:tcPr>
            <w:tcW w:w="1926" w:type="dxa"/>
            <w:vAlign w:val="center"/>
          </w:tcPr>
          <w:p w:rsidR="00EC1272" w:rsidRPr="00EC1272" w:rsidRDefault="00EC1272" w:rsidP="00EC1272">
            <w:pPr>
              <w:jc w:val="right"/>
              <w:rPr>
                <w:sz w:val="20"/>
              </w:rPr>
            </w:pPr>
            <w:r w:rsidRPr="00EC1272">
              <w:rPr>
                <w:sz w:val="20"/>
              </w:rPr>
              <w:t>-</w:t>
            </w:r>
            <w:r>
              <w:rPr>
                <w:sz w:val="20"/>
              </w:rPr>
              <w:t>$</w:t>
            </w:r>
            <w:r w:rsidRPr="00EC1272">
              <w:rPr>
                <w:sz w:val="20"/>
              </w:rPr>
              <w:t>176.7</w:t>
            </w:r>
          </w:p>
        </w:tc>
      </w:tr>
      <w:tr w:rsidR="00EC1272" w:rsidRPr="000E144F" w:rsidTr="00EC1272">
        <w:tc>
          <w:tcPr>
            <w:tcW w:w="2943" w:type="dxa"/>
          </w:tcPr>
          <w:p w:rsidR="00EC1272" w:rsidRPr="00245322" w:rsidRDefault="00EC1272" w:rsidP="00EE3E0D">
            <w:pPr>
              <w:pStyle w:val="BodyText"/>
              <w:spacing w:before="60" w:after="60"/>
              <w:rPr>
                <w:b/>
                <w:sz w:val="20"/>
              </w:rPr>
            </w:pPr>
            <w:r w:rsidRPr="00245322">
              <w:rPr>
                <w:b/>
                <w:bCs/>
                <w:color w:val="000000"/>
                <w:sz w:val="20"/>
              </w:rPr>
              <w:t xml:space="preserve">BCR </w:t>
            </w:r>
          </w:p>
        </w:tc>
        <w:tc>
          <w:tcPr>
            <w:tcW w:w="1926" w:type="dxa"/>
            <w:vAlign w:val="center"/>
          </w:tcPr>
          <w:p w:rsidR="00EC1272" w:rsidRPr="00EC1272" w:rsidRDefault="00EC1272" w:rsidP="00EC1272">
            <w:pPr>
              <w:jc w:val="right"/>
              <w:rPr>
                <w:sz w:val="20"/>
              </w:rPr>
            </w:pPr>
            <w:r w:rsidRPr="00EC1272">
              <w:rPr>
                <w:sz w:val="20"/>
              </w:rPr>
              <w:t>0.30</w:t>
            </w:r>
          </w:p>
        </w:tc>
        <w:tc>
          <w:tcPr>
            <w:tcW w:w="1926" w:type="dxa"/>
            <w:vAlign w:val="center"/>
          </w:tcPr>
          <w:p w:rsidR="00EC1272" w:rsidRPr="00EC1272" w:rsidRDefault="00EC1272" w:rsidP="00EC1272">
            <w:pPr>
              <w:jc w:val="right"/>
              <w:rPr>
                <w:sz w:val="20"/>
              </w:rPr>
            </w:pPr>
            <w:r w:rsidRPr="00EC1272">
              <w:rPr>
                <w:sz w:val="20"/>
              </w:rPr>
              <w:t>0.35</w:t>
            </w:r>
          </w:p>
        </w:tc>
        <w:tc>
          <w:tcPr>
            <w:tcW w:w="1926" w:type="dxa"/>
            <w:vAlign w:val="center"/>
          </w:tcPr>
          <w:p w:rsidR="00EC1272" w:rsidRPr="00EC1272" w:rsidRDefault="00EC1272" w:rsidP="00EC1272">
            <w:pPr>
              <w:jc w:val="right"/>
              <w:rPr>
                <w:sz w:val="20"/>
              </w:rPr>
            </w:pPr>
            <w:r w:rsidRPr="00EC1272">
              <w:rPr>
                <w:sz w:val="20"/>
              </w:rPr>
              <w:t>0.53</w:t>
            </w:r>
          </w:p>
        </w:tc>
      </w:tr>
      <w:tr w:rsidR="00EC1272" w:rsidRPr="000E144F" w:rsidTr="00EE3E0D">
        <w:tc>
          <w:tcPr>
            <w:tcW w:w="8721" w:type="dxa"/>
            <w:gridSpan w:val="4"/>
            <w:shd w:val="clear" w:color="auto" w:fill="C6D9F1" w:themeFill="text2" w:themeFillTint="33"/>
            <w:vAlign w:val="center"/>
          </w:tcPr>
          <w:p w:rsidR="00EC1272" w:rsidRPr="000E144F" w:rsidRDefault="00EC1272" w:rsidP="00EE3E0D">
            <w:pPr>
              <w:pStyle w:val="BodyText"/>
              <w:spacing w:before="60" w:after="60"/>
              <w:jc w:val="left"/>
              <w:rPr>
                <w:sz w:val="20"/>
              </w:rPr>
            </w:pPr>
            <w:r>
              <w:rPr>
                <w:b/>
                <w:sz w:val="20"/>
              </w:rPr>
              <w:t>Discount Rate = 10%</w:t>
            </w:r>
          </w:p>
        </w:tc>
      </w:tr>
      <w:tr w:rsidR="00EC1272" w:rsidRPr="000E144F" w:rsidTr="00EC1272">
        <w:tc>
          <w:tcPr>
            <w:tcW w:w="2943" w:type="dxa"/>
            <w:shd w:val="clear" w:color="auto" w:fill="auto"/>
          </w:tcPr>
          <w:p w:rsidR="00EC1272" w:rsidRPr="00245322" w:rsidRDefault="00EC1272" w:rsidP="00EE3E0D">
            <w:pPr>
              <w:pStyle w:val="BodyText"/>
              <w:spacing w:before="60" w:after="60"/>
              <w:rPr>
                <w:b/>
                <w:sz w:val="20"/>
              </w:rPr>
            </w:pPr>
            <w:r w:rsidRPr="00245322">
              <w:rPr>
                <w:b/>
                <w:bCs/>
                <w:color w:val="000000"/>
                <w:sz w:val="20"/>
              </w:rPr>
              <w:t xml:space="preserve">NPV ($ </w:t>
            </w:r>
            <w:proofErr w:type="spellStart"/>
            <w:r w:rsidRPr="00245322">
              <w:rPr>
                <w:b/>
                <w:bCs/>
                <w:color w:val="000000"/>
                <w:sz w:val="20"/>
              </w:rPr>
              <w:t>million</w:t>
            </w:r>
            <w:proofErr w:type="spellEnd"/>
            <w:r w:rsidRPr="00245322">
              <w:rPr>
                <w:b/>
                <w:bCs/>
                <w:color w:val="000000"/>
                <w:sz w:val="20"/>
              </w:rPr>
              <w:t>)</w:t>
            </w:r>
          </w:p>
        </w:tc>
        <w:tc>
          <w:tcPr>
            <w:tcW w:w="1926" w:type="dxa"/>
            <w:shd w:val="clear" w:color="auto" w:fill="auto"/>
            <w:vAlign w:val="center"/>
          </w:tcPr>
          <w:p w:rsidR="00EC1272" w:rsidRPr="00EC1272" w:rsidRDefault="00EC1272" w:rsidP="00EC1272">
            <w:pPr>
              <w:jc w:val="right"/>
              <w:rPr>
                <w:sz w:val="20"/>
              </w:rPr>
            </w:pPr>
            <w:r w:rsidRPr="00EC1272">
              <w:rPr>
                <w:sz w:val="20"/>
              </w:rPr>
              <w:t>-</w:t>
            </w:r>
            <w:r>
              <w:rPr>
                <w:sz w:val="20"/>
              </w:rPr>
              <w:t>$</w:t>
            </w:r>
            <w:r w:rsidRPr="00EC1272">
              <w:rPr>
                <w:sz w:val="20"/>
              </w:rPr>
              <w:t>24.3</w:t>
            </w:r>
          </w:p>
        </w:tc>
        <w:tc>
          <w:tcPr>
            <w:tcW w:w="1926" w:type="dxa"/>
            <w:shd w:val="clear" w:color="auto" w:fill="auto"/>
            <w:vAlign w:val="center"/>
          </w:tcPr>
          <w:p w:rsidR="00EC1272" w:rsidRPr="00EC1272" w:rsidRDefault="00EC1272" w:rsidP="00EC1272">
            <w:pPr>
              <w:jc w:val="right"/>
              <w:rPr>
                <w:sz w:val="20"/>
              </w:rPr>
            </w:pPr>
            <w:r w:rsidRPr="00EC1272">
              <w:rPr>
                <w:sz w:val="20"/>
              </w:rPr>
              <w:t>-</w:t>
            </w:r>
            <w:r>
              <w:rPr>
                <w:sz w:val="20"/>
              </w:rPr>
              <w:t>$</w:t>
            </w:r>
            <w:r w:rsidRPr="00EC1272">
              <w:rPr>
                <w:sz w:val="20"/>
              </w:rPr>
              <w:t>57.0</w:t>
            </w:r>
          </w:p>
        </w:tc>
        <w:tc>
          <w:tcPr>
            <w:tcW w:w="1926" w:type="dxa"/>
            <w:shd w:val="clear" w:color="auto" w:fill="auto"/>
            <w:vAlign w:val="center"/>
          </w:tcPr>
          <w:p w:rsidR="00EC1272" w:rsidRPr="00EC1272" w:rsidRDefault="00EC1272" w:rsidP="00EC1272">
            <w:pPr>
              <w:jc w:val="right"/>
              <w:rPr>
                <w:sz w:val="20"/>
              </w:rPr>
            </w:pPr>
            <w:r w:rsidRPr="00EC1272">
              <w:rPr>
                <w:sz w:val="20"/>
              </w:rPr>
              <w:t>-</w:t>
            </w:r>
            <w:r>
              <w:rPr>
                <w:sz w:val="20"/>
              </w:rPr>
              <w:t>$</w:t>
            </w:r>
            <w:r w:rsidRPr="00EC1272">
              <w:rPr>
                <w:sz w:val="20"/>
              </w:rPr>
              <w:t>137.8</w:t>
            </w:r>
          </w:p>
        </w:tc>
      </w:tr>
      <w:tr w:rsidR="00EC1272" w:rsidRPr="000E144F" w:rsidTr="00EC1272">
        <w:tc>
          <w:tcPr>
            <w:tcW w:w="2943" w:type="dxa"/>
            <w:shd w:val="clear" w:color="auto" w:fill="auto"/>
          </w:tcPr>
          <w:p w:rsidR="00EC1272" w:rsidRPr="00245322" w:rsidRDefault="00EC1272" w:rsidP="00EE3E0D">
            <w:pPr>
              <w:pStyle w:val="BodyText"/>
              <w:spacing w:before="60" w:after="60"/>
              <w:rPr>
                <w:b/>
                <w:sz w:val="20"/>
              </w:rPr>
            </w:pPr>
            <w:r w:rsidRPr="00245322">
              <w:rPr>
                <w:b/>
                <w:bCs/>
                <w:color w:val="000000"/>
                <w:sz w:val="20"/>
              </w:rPr>
              <w:t xml:space="preserve">BCR </w:t>
            </w:r>
          </w:p>
        </w:tc>
        <w:tc>
          <w:tcPr>
            <w:tcW w:w="1926" w:type="dxa"/>
            <w:shd w:val="clear" w:color="auto" w:fill="auto"/>
            <w:vAlign w:val="center"/>
          </w:tcPr>
          <w:p w:rsidR="00EC1272" w:rsidRPr="00EC1272" w:rsidRDefault="00EC1272" w:rsidP="00EC1272">
            <w:pPr>
              <w:jc w:val="right"/>
              <w:rPr>
                <w:sz w:val="20"/>
              </w:rPr>
            </w:pPr>
            <w:r w:rsidRPr="00EC1272">
              <w:rPr>
                <w:sz w:val="20"/>
              </w:rPr>
              <w:t>0.29</w:t>
            </w:r>
          </w:p>
        </w:tc>
        <w:tc>
          <w:tcPr>
            <w:tcW w:w="1926" w:type="dxa"/>
            <w:shd w:val="clear" w:color="auto" w:fill="auto"/>
            <w:vAlign w:val="center"/>
          </w:tcPr>
          <w:p w:rsidR="00EC1272" w:rsidRPr="00EC1272" w:rsidRDefault="00EC1272" w:rsidP="00EC1272">
            <w:pPr>
              <w:jc w:val="right"/>
              <w:rPr>
                <w:sz w:val="20"/>
              </w:rPr>
            </w:pPr>
            <w:r w:rsidRPr="00EC1272">
              <w:rPr>
                <w:sz w:val="20"/>
              </w:rPr>
              <w:t>0.34</w:t>
            </w:r>
          </w:p>
        </w:tc>
        <w:tc>
          <w:tcPr>
            <w:tcW w:w="1926" w:type="dxa"/>
            <w:shd w:val="clear" w:color="auto" w:fill="auto"/>
            <w:vAlign w:val="center"/>
          </w:tcPr>
          <w:p w:rsidR="00EC1272" w:rsidRPr="00EC1272" w:rsidRDefault="00EC1272" w:rsidP="00EC1272">
            <w:pPr>
              <w:jc w:val="right"/>
              <w:rPr>
                <w:sz w:val="20"/>
              </w:rPr>
            </w:pPr>
            <w:r w:rsidRPr="00EC1272">
              <w:rPr>
                <w:sz w:val="20"/>
              </w:rPr>
              <w:t>0.52</w:t>
            </w:r>
          </w:p>
        </w:tc>
      </w:tr>
    </w:tbl>
    <w:p w:rsidR="00EC1272" w:rsidRDefault="00EC1272" w:rsidP="00EC1272">
      <w:pPr>
        <w:pStyle w:val="Source"/>
      </w:pPr>
      <w:r>
        <w:t>NOTE: Totals may not sum due to rounding. All values are incremental to the base case.</w:t>
      </w:r>
    </w:p>
    <w:p w:rsidR="00EC1272" w:rsidRDefault="00EC1272" w:rsidP="00EC1272">
      <w:pPr>
        <w:pStyle w:val="Source"/>
      </w:pPr>
      <w:r>
        <w:t>Source: KPMG analysis</w:t>
      </w:r>
    </w:p>
    <w:p w:rsidR="00EC1272" w:rsidRPr="002744CB" w:rsidRDefault="00EC1272" w:rsidP="002744CB">
      <w:pPr>
        <w:pStyle w:val="BodyText"/>
      </w:pPr>
      <w:r>
        <w:t xml:space="preserve">The results of the analysis are less favourable with a lower discount rate. This is expected in this analysis given that the incremental costs under each option outweigh the benefits. </w:t>
      </w:r>
    </w:p>
    <w:p w:rsidR="0081406E" w:rsidRDefault="001D4A5E">
      <w:pPr>
        <w:pStyle w:val="Heading3"/>
      </w:pPr>
      <w:r>
        <w:t>Level of participation and recovery</w:t>
      </w:r>
    </w:p>
    <w:p w:rsidR="006F5750" w:rsidRDefault="00E10441" w:rsidP="00AD54B5">
      <w:pPr>
        <w:pStyle w:val="BodyText"/>
      </w:pPr>
      <w:r w:rsidRPr="00E10441">
        <w:t xml:space="preserve">Two sets of sensitivity results are presented below representing low and high assumptions regarding selected parameters. The assumptions under each sensitivity analysis are outlined in </w:t>
      </w:r>
      <w:fldSimple w:instr=" REF _Ref392484953 \h  \* MERGEFORMAT ">
        <w:r w:rsidR="001E5D7A">
          <w:t xml:space="preserve">Table </w:t>
        </w:r>
        <w:r w:rsidR="001E5D7A">
          <w:rPr>
            <w:noProof/>
          </w:rPr>
          <w:t>5</w:t>
        </w:r>
        <w:r w:rsidR="001E5D7A">
          <w:rPr>
            <w:noProof/>
          </w:rPr>
          <w:noBreakHyphen/>
          <w:t>6</w:t>
        </w:r>
      </w:fldSimple>
      <w:r w:rsidRPr="00E10441">
        <w:t>.</w:t>
      </w:r>
    </w:p>
    <w:p w:rsidR="006F5750" w:rsidRDefault="006F5750" w:rsidP="006F5750">
      <w:pPr>
        <w:pStyle w:val="Caption"/>
      </w:pPr>
      <w:bookmarkStart w:id="90" w:name="_Ref392484953"/>
      <w:r>
        <w:t xml:space="preserve">Table </w:t>
      </w:r>
      <w:r w:rsidR="00586F30">
        <w:fldChar w:fldCharType="begin"/>
      </w:r>
      <w:r w:rsidR="00C478AE">
        <w:instrText xml:space="preserve"> STYLEREF 1 \s </w:instrText>
      </w:r>
      <w:r w:rsidR="00586F30">
        <w:fldChar w:fldCharType="separate"/>
      </w:r>
      <w:r w:rsidR="001E5D7A">
        <w:rPr>
          <w:noProof/>
        </w:rPr>
        <w:t>5</w:t>
      </w:r>
      <w:r w:rsidR="00586F30">
        <w:rPr>
          <w:noProof/>
        </w:rPr>
        <w:fldChar w:fldCharType="end"/>
      </w:r>
      <w:r w:rsidR="00CE3BAC">
        <w:noBreakHyphen/>
      </w:r>
      <w:r w:rsidR="00586F30">
        <w:fldChar w:fldCharType="begin"/>
      </w:r>
      <w:r w:rsidR="00C478AE">
        <w:instrText xml:space="preserve"> SEQ Table \* ARABIC \s 1 </w:instrText>
      </w:r>
      <w:r w:rsidR="00586F30">
        <w:fldChar w:fldCharType="separate"/>
      </w:r>
      <w:r w:rsidR="001E5D7A">
        <w:rPr>
          <w:noProof/>
        </w:rPr>
        <w:t>6</w:t>
      </w:r>
      <w:r w:rsidR="00586F30">
        <w:rPr>
          <w:noProof/>
        </w:rPr>
        <w:fldChar w:fldCharType="end"/>
      </w:r>
      <w:bookmarkEnd w:id="90"/>
      <w:r>
        <w:t>: Sensitivity analysis assumptions</w:t>
      </w:r>
    </w:p>
    <w:tbl>
      <w:tblPr>
        <w:tblStyle w:val="TableGrid"/>
        <w:tblW w:w="0" w:type="auto"/>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tblPr>
      <w:tblGrid>
        <w:gridCol w:w="2558"/>
        <w:gridCol w:w="244"/>
        <w:gridCol w:w="1219"/>
        <w:gridCol w:w="260"/>
        <w:gridCol w:w="1235"/>
        <w:gridCol w:w="245"/>
        <w:gridCol w:w="1244"/>
        <w:gridCol w:w="236"/>
        <w:gridCol w:w="1480"/>
      </w:tblGrid>
      <w:tr w:rsidR="00FC34C1" w:rsidRPr="00B47AA0" w:rsidTr="00663469">
        <w:trPr>
          <w:tblHeader/>
        </w:trPr>
        <w:tc>
          <w:tcPr>
            <w:tcW w:w="2558" w:type="dxa"/>
            <w:shd w:val="clear" w:color="auto" w:fill="1F497D" w:themeFill="text2"/>
          </w:tcPr>
          <w:p w:rsidR="00FC34C1" w:rsidRPr="00B47AA0" w:rsidRDefault="00FC34C1" w:rsidP="00DC2AD4">
            <w:pPr>
              <w:pStyle w:val="BodyText"/>
              <w:spacing w:before="60" w:after="60"/>
              <w:rPr>
                <w:sz w:val="20"/>
              </w:rPr>
            </w:pPr>
          </w:p>
        </w:tc>
        <w:tc>
          <w:tcPr>
            <w:tcW w:w="1463" w:type="dxa"/>
            <w:gridSpan w:val="2"/>
            <w:shd w:val="clear" w:color="auto" w:fill="1F497D" w:themeFill="text2"/>
          </w:tcPr>
          <w:p w:rsidR="00FC34C1" w:rsidRDefault="00FC34C1" w:rsidP="00DC2AD4">
            <w:pPr>
              <w:pStyle w:val="BodyText"/>
              <w:spacing w:before="60" w:after="60"/>
              <w:jc w:val="right"/>
              <w:rPr>
                <w:b/>
                <w:color w:val="FFFFFF" w:themeColor="background1"/>
                <w:sz w:val="20"/>
              </w:rPr>
            </w:pPr>
            <w:r>
              <w:rPr>
                <w:b/>
                <w:color w:val="FFFFFF" w:themeColor="background1"/>
                <w:sz w:val="20"/>
              </w:rPr>
              <w:t>Base Case (status quo)</w:t>
            </w:r>
          </w:p>
        </w:tc>
        <w:tc>
          <w:tcPr>
            <w:tcW w:w="1495" w:type="dxa"/>
            <w:gridSpan w:val="2"/>
            <w:shd w:val="clear" w:color="auto" w:fill="1F497D" w:themeFill="text2"/>
          </w:tcPr>
          <w:p w:rsidR="00FC34C1" w:rsidRPr="00B47AA0" w:rsidRDefault="00FC34C1" w:rsidP="00DC2AD4">
            <w:pPr>
              <w:pStyle w:val="BodyText"/>
              <w:spacing w:before="60" w:after="60"/>
              <w:jc w:val="right"/>
              <w:rPr>
                <w:b/>
                <w:color w:val="FFFFFF" w:themeColor="background1"/>
                <w:sz w:val="20"/>
              </w:rPr>
            </w:pPr>
            <w:r>
              <w:rPr>
                <w:b/>
                <w:color w:val="FFFFFF" w:themeColor="background1"/>
                <w:sz w:val="20"/>
              </w:rPr>
              <w:t>Option 1 – Voluntary Scheme</w:t>
            </w:r>
          </w:p>
        </w:tc>
        <w:tc>
          <w:tcPr>
            <w:tcW w:w="1489" w:type="dxa"/>
            <w:gridSpan w:val="2"/>
            <w:shd w:val="clear" w:color="auto" w:fill="1F497D" w:themeFill="text2"/>
          </w:tcPr>
          <w:p w:rsidR="00FC34C1" w:rsidRPr="00B47AA0" w:rsidRDefault="00FC34C1" w:rsidP="00DC2AD4">
            <w:pPr>
              <w:pStyle w:val="BodyText"/>
              <w:spacing w:before="60" w:after="60"/>
              <w:jc w:val="right"/>
              <w:rPr>
                <w:b/>
                <w:color w:val="FFFFFF" w:themeColor="background1"/>
                <w:sz w:val="20"/>
              </w:rPr>
            </w:pPr>
            <w:r>
              <w:rPr>
                <w:b/>
                <w:color w:val="FFFFFF" w:themeColor="background1"/>
                <w:sz w:val="20"/>
              </w:rPr>
              <w:t>Option 2 – Co-Regulatory Approach</w:t>
            </w:r>
          </w:p>
        </w:tc>
        <w:tc>
          <w:tcPr>
            <w:tcW w:w="1490" w:type="dxa"/>
            <w:gridSpan w:val="2"/>
            <w:shd w:val="clear" w:color="auto" w:fill="1F497D" w:themeFill="text2"/>
          </w:tcPr>
          <w:p w:rsidR="00FC34C1" w:rsidRPr="00B47AA0" w:rsidRDefault="00FC34C1" w:rsidP="00DC2AD4">
            <w:pPr>
              <w:pStyle w:val="BodyText"/>
              <w:spacing w:before="60" w:after="60"/>
              <w:jc w:val="right"/>
              <w:rPr>
                <w:b/>
                <w:color w:val="FFFFFF" w:themeColor="background1"/>
                <w:sz w:val="20"/>
              </w:rPr>
            </w:pPr>
            <w:r>
              <w:rPr>
                <w:b/>
                <w:color w:val="FFFFFF" w:themeColor="background1"/>
                <w:sz w:val="20"/>
              </w:rPr>
              <w:t>Option 3 – Mandatory Scheme</w:t>
            </w:r>
          </w:p>
        </w:tc>
      </w:tr>
      <w:tr w:rsidR="00FC34C1" w:rsidRPr="00B47AA0" w:rsidTr="00F419A9">
        <w:tc>
          <w:tcPr>
            <w:tcW w:w="8721" w:type="dxa"/>
            <w:gridSpan w:val="9"/>
            <w:shd w:val="clear" w:color="auto" w:fill="C6D9F1" w:themeFill="text2" w:themeFillTint="33"/>
          </w:tcPr>
          <w:p w:rsidR="00FC34C1" w:rsidRPr="00B47AA0" w:rsidRDefault="00FC34C1" w:rsidP="00DC2AD4">
            <w:pPr>
              <w:pStyle w:val="BodyText"/>
              <w:spacing w:before="60" w:after="60"/>
              <w:rPr>
                <w:b/>
                <w:sz w:val="20"/>
              </w:rPr>
            </w:pPr>
            <w:r>
              <w:rPr>
                <w:b/>
                <w:sz w:val="20"/>
              </w:rPr>
              <w:t>Central Assumption</w:t>
            </w:r>
          </w:p>
        </w:tc>
      </w:tr>
      <w:tr w:rsidR="00FC34C1" w:rsidRPr="00B47AA0" w:rsidTr="00FC34C1">
        <w:trPr>
          <w:trHeight w:val="325"/>
        </w:trPr>
        <w:tc>
          <w:tcPr>
            <w:tcW w:w="2802" w:type="dxa"/>
            <w:gridSpan w:val="2"/>
            <w:shd w:val="clear" w:color="auto" w:fill="auto"/>
            <w:vAlign w:val="center"/>
          </w:tcPr>
          <w:p w:rsidR="0081406E" w:rsidRDefault="00FC34C1">
            <w:pPr>
              <w:pStyle w:val="BodyText"/>
              <w:spacing w:before="60" w:after="60"/>
              <w:jc w:val="left"/>
              <w:rPr>
                <w:b/>
                <w:sz w:val="20"/>
              </w:rPr>
            </w:pPr>
            <w:r>
              <w:rPr>
                <w:sz w:val="20"/>
              </w:rPr>
              <w:t>Waste diverted to landfill – refrigerators</w:t>
            </w:r>
          </w:p>
        </w:tc>
        <w:tc>
          <w:tcPr>
            <w:tcW w:w="1479" w:type="dxa"/>
            <w:gridSpan w:val="2"/>
            <w:vAlign w:val="center"/>
          </w:tcPr>
          <w:p w:rsidR="0085085D" w:rsidRDefault="00C71F07">
            <w:pPr>
              <w:pStyle w:val="BodyText"/>
              <w:spacing w:before="60" w:after="60"/>
              <w:jc w:val="right"/>
              <w:rPr>
                <w:sz w:val="20"/>
              </w:rPr>
            </w:pPr>
            <w:r>
              <w:rPr>
                <w:sz w:val="20"/>
              </w:rPr>
              <w:t>100 per cent</w:t>
            </w:r>
          </w:p>
        </w:tc>
        <w:tc>
          <w:tcPr>
            <w:tcW w:w="1480" w:type="dxa"/>
            <w:gridSpan w:val="2"/>
            <w:shd w:val="clear" w:color="auto" w:fill="auto"/>
            <w:vAlign w:val="center"/>
          </w:tcPr>
          <w:p w:rsidR="0081406E" w:rsidRDefault="00E10441">
            <w:pPr>
              <w:pStyle w:val="BodyText"/>
              <w:spacing w:before="60" w:after="60"/>
              <w:jc w:val="right"/>
              <w:rPr>
                <w:sz w:val="20"/>
              </w:rPr>
            </w:pPr>
            <w:r w:rsidRPr="00E10441">
              <w:rPr>
                <w:sz w:val="20"/>
              </w:rPr>
              <w:t>92.5 per cent</w:t>
            </w:r>
          </w:p>
        </w:tc>
        <w:tc>
          <w:tcPr>
            <w:tcW w:w="1480" w:type="dxa"/>
            <w:gridSpan w:val="2"/>
            <w:shd w:val="clear" w:color="auto" w:fill="auto"/>
            <w:vAlign w:val="center"/>
          </w:tcPr>
          <w:p w:rsidR="0081406E" w:rsidRDefault="00E10441">
            <w:pPr>
              <w:pStyle w:val="BodyText"/>
              <w:spacing w:before="60" w:after="60"/>
              <w:jc w:val="right"/>
              <w:rPr>
                <w:sz w:val="20"/>
              </w:rPr>
            </w:pPr>
            <w:r w:rsidRPr="00E10441">
              <w:rPr>
                <w:sz w:val="20"/>
              </w:rPr>
              <w:t>77.5 per cent</w:t>
            </w:r>
          </w:p>
        </w:tc>
        <w:tc>
          <w:tcPr>
            <w:tcW w:w="1480" w:type="dxa"/>
            <w:shd w:val="clear" w:color="auto" w:fill="auto"/>
            <w:vAlign w:val="center"/>
          </w:tcPr>
          <w:p w:rsidR="0081406E" w:rsidRDefault="00FC34C1">
            <w:pPr>
              <w:pStyle w:val="BodyText"/>
              <w:spacing w:before="60" w:after="60"/>
              <w:jc w:val="right"/>
              <w:rPr>
                <w:sz w:val="20"/>
              </w:rPr>
            </w:pPr>
            <w:r>
              <w:rPr>
                <w:sz w:val="20"/>
              </w:rPr>
              <w:t>30 per cent</w:t>
            </w:r>
          </w:p>
        </w:tc>
      </w:tr>
      <w:tr w:rsidR="00C71F07" w:rsidRPr="00B47AA0" w:rsidTr="00FC34C1">
        <w:trPr>
          <w:trHeight w:val="325"/>
        </w:trPr>
        <w:tc>
          <w:tcPr>
            <w:tcW w:w="2802" w:type="dxa"/>
            <w:gridSpan w:val="2"/>
            <w:shd w:val="clear" w:color="auto" w:fill="auto"/>
            <w:vAlign w:val="center"/>
          </w:tcPr>
          <w:p w:rsidR="0085085D" w:rsidRDefault="00C71F07">
            <w:pPr>
              <w:pStyle w:val="BodyText"/>
              <w:spacing w:before="60" w:after="60"/>
              <w:jc w:val="left"/>
              <w:rPr>
                <w:sz w:val="20"/>
              </w:rPr>
            </w:pPr>
            <w:r>
              <w:rPr>
                <w:sz w:val="20"/>
              </w:rPr>
              <w:t>Waste diverted to landfill – air conditioners</w:t>
            </w:r>
          </w:p>
        </w:tc>
        <w:tc>
          <w:tcPr>
            <w:tcW w:w="1479" w:type="dxa"/>
            <w:gridSpan w:val="2"/>
            <w:vAlign w:val="center"/>
          </w:tcPr>
          <w:p w:rsidR="0085085D" w:rsidRDefault="00C71F07">
            <w:pPr>
              <w:pStyle w:val="BodyText"/>
              <w:spacing w:before="60" w:after="60"/>
              <w:jc w:val="right"/>
              <w:rPr>
                <w:sz w:val="20"/>
              </w:rPr>
            </w:pPr>
            <w:r>
              <w:rPr>
                <w:sz w:val="20"/>
              </w:rPr>
              <w:t>100 per cent</w:t>
            </w:r>
          </w:p>
        </w:tc>
        <w:tc>
          <w:tcPr>
            <w:tcW w:w="1480" w:type="dxa"/>
            <w:gridSpan w:val="2"/>
            <w:shd w:val="clear" w:color="auto" w:fill="auto"/>
            <w:vAlign w:val="center"/>
          </w:tcPr>
          <w:p w:rsidR="0085085D" w:rsidRDefault="00C71F07">
            <w:pPr>
              <w:pStyle w:val="BodyText"/>
              <w:spacing w:before="60" w:after="60"/>
              <w:jc w:val="right"/>
              <w:rPr>
                <w:sz w:val="20"/>
              </w:rPr>
            </w:pPr>
            <w:r w:rsidRPr="00A810F9">
              <w:rPr>
                <w:sz w:val="20"/>
              </w:rPr>
              <w:t>92.5 per cent</w:t>
            </w:r>
          </w:p>
        </w:tc>
        <w:tc>
          <w:tcPr>
            <w:tcW w:w="1480" w:type="dxa"/>
            <w:gridSpan w:val="2"/>
            <w:shd w:val="clear" w:color="auto" w:fill="auto"/>
            <w:vAlign w:val="center"/>
          </w:tcPr>
          <w:p w:rsidR="0085085D" w:rsidRDefault="00C71F07">
            <w:pPr>
              <w:pStyle w:val="BodyText"/>
              <w:spacing w:before="60" w:after="60"/>
              <w:jc w:val="right"/>
              <w:rPr>
                <w:sz w:val="20"/>
              </w:rPr>
            </w:pPr>
            <w:r w:rsidRPr="00A810F9">
              <w:rPr>
                <w:sz w:val="20"/>
              </w:rPr>
              <w:t>77.5 per cent</w:t>
            </w:r>
          </w:p>
        </w:tc>
        <w:tc>
          <w:tcPr>
            <w:tcW w:w="1480" w:type="dxa"/>
            <w:shd w:val="clear" w:color="auto" w:fill="auto"/>
            <w:vAlign w:val="center"/>
          </w:tcPr>
          <w:p w:rsidR="0085085D" w:rsidRDefault="00C71F07">
            <w:pPr>
              <w:pStyle w:val="BodyText"/>
              <w:spacing w:before="60" w:after="60"/>
              <w:jc w:val="right"/>
              <w:rPr>
                <w:sz w:val="20"/>
              </w:rPr>
            </w:pPr>
            <w:r w:rsidRPr="00A810F9">
              <w:rPr>
                <w:sz w:val="20"/>
              </w:rPr>
              <w:t>50 per cent</w:t>
            </w:r>
          </w:p>
        </w:tc>
      </w:tr>
      <w:tr w:rsidR="00FC34C1" w:rsidRPr="00B47AA0" w:rsidTr="00FC34C1">
        <w:trPr>
          <w:trHeight w:val="322"/>
        </w:trPr>
        <w:tc>
          <w:tcPr>
            <w:tcW w:w="2802" w:type="dxa"/>
            <w:gridSpan w:val="2"/>
            <w:shd w:val="clear" w:color="auto" w:fill="auto"/>
            <w:vAlign w:val="center"/>
          </w:tcPr>
          <w:p w:rsidR="0081406E" w:rsidRDefault="00FC34C1">
            <w:pPr>
              <w:pStyle w:val="BodyText"/>
              <w:spacing w:before="60" w:after="60"/>
              <w:jc w:val="left"/>
              <w:rPr>
                <w:b/>
                <w:sz w:val="20"/>
              </w:rPr>
            </w:pPr>
            <w:r>
              <w:rPr>
                <w:sz w:val="20"/>
              </w:rPr>
              <w:t>Recovery of refrigerant gases - refrigerator</w:t>
            </w:r>
          </w:p>
        </w:tc>
        <w:tc>
          <w:tcPr>
            <w:tcW w:w="1479" w:type="dxa"/>
            <w:gridSpan w:val="2"/>
            <w:vAlign w:val="center"/>
          </w:tcPr>
          <w:p w:rsidR="0085085D" w:rsidRDefault="00C71F07">
            <w:pPr>
              <w:pStyle w:val="BodyText"/>
              <w:spacing w:before="60" w:after="60"/>
              <w:jc w:val="right"/>
              <w:rPr>
                <w:sz w:val="20"/>
              </w:rPr>
            </w:pPr>
            <w:r>
              <w:rPr>
                <w:sz w:val="20"/>
              </w:rPr>
              <w:t>35 per cent</w:t>
            </w:r>
          </w:p>
        </w:tc>
        <w:tc>
          <w:tcPr>
            <w:tcW w:w="1480" w:type="dxa"/>
            <w:gridSpan w:val="2"/>
            <w:shd w:val="clear" w:color="auto" w:fill="auto"/>
            <w:vAlign w:val="center"/>
          </w:tcPr>
          <w:p w:rsidR="0081406E" w:rsidRDefault="00E10441">
            <w:pPr>
              <w:pStyle w:val="BodyText"/>
              <w:spacing w:before="60" w:after="60"/>
              <w:jc w:val="right"/>
              <w:rPr>
                <w:sz w:val="20"/>
              </w:rPr>
            </w:pPr>
            <w:r w:rsidRPr="00E10441">
              <w:rPr>
                <w:sz w:val="20"/>
              </w:rPr>
              <w:t>40 per cent</w:t>
            </w:r>
          </w:p>
        </w:tc>
        <w:tc>
          <w:tcPr>
            <w:tcW w:w="1480" w:type="dxa"/>
            <w:gridSpan w:val="2"/>
            <w:shd w:val="clear" w:color="auto" w:fill="auto"/>
            <w:vAlign w:val="center"/>
          </w:tcPr>
          <w:p w:rsidR="0081406E" w:rsidRDefault="00E10441">
            <w:pPr>
              <w:pStyle w:val="BodyText"/>
              <w:spacing w:before="60" w:after="60"/>
              <w:jc w:val="right"/>
              <w:rPr>
                <w:sz w:val="20"/>
              </w:rPr>
            </w:pPr>
            <w:r w:rsidRPr="00E10441">
              <w:rPr>
                <w:sz w:val="20"/>
              </w:rPr>
              <w:t>40 per cent</w:t>
            </w:r>
          </w:p>
        </w:tc>
        <w:tc>
          <w:tcPr>
            <w:tcW w:w="1480" w:type="dxa"/>
            <w:shd w:val="clear" w:color="auto" w:fill="auto"/>
            <w:vAlign w:val="center"/>
          </w:tcPr>
          <w:p w:rsidR="0081406E" w:rsidRDefault="00E10441">
            <w:pPr>
              <w:pStyle w:val="BodyText"/>
              <w:spacing w:before="60" w:after="60"/>
              <w:jc w:val="right"/>
              <w:rPr>
                <w:sz w:val="20"/>
              </w:rPr>
            </w:pPr>
            <w:r w:rsidRPr="00E10441">
              <w:rPr>
                <w:sz w:val="20"/>
              </w:rPr>
              <w:t>70 per cent</w:t>
            </w:r>
          </w:p>
        </w:tc>
      </w:tr>
      <w:tr w:rsidR="00C71F07" w:rsidRPr="00B47AA0" w:rsidTr="00FC34C1">
        <w:trPr>
          <w:trHeight w:val="322"/>
        </w:trPr>
        <w:tc>
          <w:tcPr>
            <w:tcW w:w="2802" w:type="dxa"/>
            <w:gridSpan w:val="2"/>
            <w:shd w:val="clear" w:color="auto" w:fill="auto"/>
            <w:vAlign w:val="center"/>
          </w:tcPr>
          <w:p w:rsidR="0081406E" w:rsidRDefault="00C71F07">
            <w:pPr>
              <w:pStyle w:val="BodyText"/>
              <w:spacing w:before="60" w:after="60"/>
              <w:jc w:val="left"/>
              <w:rPr>
                <w:b/>
                <w:sz w:val="20"/>
              </w:rPr>
            </w:pPr>
            <w:r>
              <w:rPr>
                <w:sz w:val="20"/>
              </w:rPr>
              <w:t>Recovery of refrigerant gases – air conditioners</w:t>
            </w:r>
          </w:p>
        </w:tc>
        <w:tc>
          <w:tcPr>
            <w:tcW w:w="1479" w:type="dxa"/>
            <w:gridSpan w:val="2"/>
            <w:vAlign w:val="center"/>
          </w:tcPr>
          <w:p w:rsidR="0085085D" w:rsidRDefault="00C71F07">
            <w:pPr>
              <w:pStyle w:val="BodyText"/>
              <w:spacing w:before="60" w:after="60"/>
              <w:jc w:val="right"/>
              <w:rPr>
                <w:sz w:val="20"/>
              </w:rPr>
            </w:pPr>
            <w:r w:rsidRPr="00A810F9">
              <w:rPr>
                <w:sz w:val="20"/>
              </w:rPr>
              <w:t>80 per cent</w:t>
            </w:r>
          </w:p>
        </w:tc>
        <w:tc>
          <w:tcPr>
            <w:tcW w:w="1480" w:type="dxa"/>
            <w:gridSpan w:val="2"/>
            <w:shd w:val="clear" w:color="auto" w:fill="auto"/>
            <w:vAlign w:val="center"/>
          </w:tcPr>
          <w:p w:rsidR="0081406E" w:rsidRDefault="00E10441">
            <w:pPr>
              <w:pStyle w:val="BodyText"/>
              <w:spacing w:before="60" w:after="60"/>
              <w:jc w:val="right"/>
              <w:rPr>
                <w:sz w:val="20"/>
              </w:rPr>
            </w:pPr>
            <w:r w:rsidRPr="00E10441">
              <w:rPr>
                <w:sz w:val="20"/>
              </w:rPr>
              <w:t>80 per cent</w:t>
            </w:r>
          </w:p>
        </w:tc>
        <w:tc>
          <w:tcPr>
            <w:tcW w:w="1480" w:type="dxa"/>
            <w:gridSpan w:val="2"/>
            <w:shd w:val="clear" w:color="auto" w:fill="auto"/>
            <w:vAlign w:val="center"/>
          </w:tcPr>
          <w:p w:rsidR="0081406E" w:rsidRDefault="00E10441">
            <w:pPr>
              <w:pStyle w:val="BodyText"/>
              <w:spacing w:before="60" w:after="60"/>
              <w:jc w:val="right"/>
              <w:rPr>
                <w:sz w:val="20"/>
              </w:rPr>
            </w:pPr>
            <w:r w:rsidRPr="00E10441">
              <w:rPr>
                <w:sz w:val="20"/>
              </w:rPr>
              <w:t>80 per cent</w:t>
            </w:r>
          </w:p>
        </w:tc>
        <w:tc>
          <w:tcPr>
            <w:tcW w:w="1480" w:type="dxa"/>
            <w:shd w:val="clear" w:color="auto" w:fill="auto"/>
            <w:vAlign w:val="center"/>
          </w:tcPr>
          <w:p w:rsidR="0081406E" w:rsidRDefault="00E10441">
            <w:pPr>
              <w:pStyle w:val="BodyText"/>
              <w:spacing w:before="60" w:after="60"/>
              <w:jc w:val="right"/>
              <w:rPr>
                <w:sz w:val="20"/>
              </w:rPr>
            </w:pPr>
            <w:r w:rsidRPr="00E10441">
              <w:rPr>
                <w:sz w:val="20"/>
              </w:rPr>
              <w:t>80 per cent</w:t>
            </w:r>
          </w:p>
        </w:tc>
      </w:tr>
      <w:tr w:rsidR="00FC34C1" w:rsidRPr="00B47AA0" w:rsidTr="00FC34C1">
        <w:trPr>
          <w:trHeight w:val="322"/>
        </w:trPr>
        <w:tc>
          <w:tcPr>
            <w:tcW w:w="2802" w:type="dxa"/>
            <w:gridSpan w:val="2"/>
            <w:shd w:val="clear" w:color="auto" w:fill="auto"/>
            <w:vAlign w:val="center"/>
          </w:tcPr>
          <w:p w:rsidR="0081406E" w:rsidRDefault="00FC34C1">
            <w:pPr>
              <w:pStyle w:val="BodyText"/>
              <w:spacing w:before="60" w:after="60"/>
              <w:jc w:val="left"/>
              <w:rPr>
                <w:b/>
                <w:sz w:val="20"/>
              </w:rPr>
            </w:pPr>
            <w:r>
              <w:rPr>
                <w:sz w:val="20"/>
              </w:rPr>
              <w:t>Level of compliance and associated cost</w:t>
            </w:r>
          </w:p>
        </w:tc>
        <w:tc>
          <w:tcPr>
            <w:tcW w:w="1479" w:type="dxa"/>
            <w:gridSpan w:val="2"/>
            <w:vAlign w:val="center"/>
          </w:tcPr>
          <w:p w:rsidR="0085085D" w:rsidRDefault="00C71F07">
            <w:pPr>
              <w:pStyle w:val="BodyText"/>
              <w:spacing w:before="60" w:after="60"/>
              <w:jc w:val="right"/>
              <w:rPr>
                <w:sz w:val="20"/>
              </w:rPr>
            </w:pPr>
            <w:r>
              <w:rPr>
                <w:sz w:val="20"/>
              </w:rPr>
              <w:t>-</w:t>
            </w:r>
          </w:p>
        </w:tc>
        <w:tc>
          <w:tcPr>
            <w:tcW w:w="1480" w:type="dxa"/>
            <w:gridSpan w:val="2"/>
            <w:shd w:val="clear" w:color="auto" w:fill="auto"/>
            <w:vAlign w:val="center"/>
          </w:tcPr>
          <w:p w:rsidR="0081406E" w:rsidRDefault="00FC34C1">
            <w:pPr>
              <w:pStyle w:val="BodyText"/>
              <w:spacing w:before="60" w:after="60"/>
              <w:jc w:val="right"/>
              <w:rPr>
                <w:sz w:val="20"/>
              </w:rPr>
            </w:pPr>
            <w:r>
              <w:rPr>
                <w:sz w:val="20"/>
              </w:rPr>
              <w:t>15 participants</w:t>
            </w:r>
          </w:p>
        </w:tc>
        <w:tc>
          <w:tcPr>
            <w:tcW w:w="1480" w:type="dxa"/>
            <w:gridSpan w:val="2"/>
            <w:shd w:val="clear" w:color="auto" w:fill="auto"/>
            <w:vAlign w:val="center"/>
          </w:tcPr>
          <w:p w:rsidR="0081406E" w:rsidRDefault="00FC34C1">
            <w:pPr>
              <w:pStyle w:val="BodyText"/>
              <w:spacing w:before="60" w:after="60"/>
              <w:jc w:val="right"/>
              <w:rPr>
                <w:sz w:val="20"/>
              </w:rPr>
            </w:pPr>
            <w:r>
              <w:rPr>
                <w:sz w:val="20"/>
              </w:rPr>
              <w:t>29 liable parties</w:t>
            </w:r>
          </w:p>
        </w:tc>
        <w:tc>
          <w:tcPr>
            <w:tcW w:w="1480" w:type="dxa"/>
            <w:shd w:val="clear" w:color="auto" w:fill="auto"/>
            <w:vAlign w:val="center"/>
          </w:tcPr>
          <w:p w:rsidR="0081406E" w:rsidRDefault="00FC34C1">
            <w:pPr>
              <w:pStyle w:val="BodyText"/>
              <w:spacing w:before="60" w:after="60"/>
              <w:jc w:val="right"/>
              <w:rPr>
                <w:sz w:val="20"/>
              </w:rPr>
            </w:pPr>
            <w:r>
              <w:rPr>
                <w:sz w:val="20"/>
              </w:rPr>
              <w:t>754 licence holders</w:t>
            </w:r>
          </w:p>
        </w:tc>
      </w:tr>
      <w:tr w:rsidR="00FC34C1" w:rsidRPr="00B47AA0" w:rsidTr="00F419A9">
        <w:tc>
          <w:tcPr>
            <w:tcW w:w="8721" w:type="dxa"/>
            <w:gridSpan w:val="9"/>
            <w:shd w:val="clear" w:color="auto" w:fill="C6D9F1" w:themeFill="text2" w:themeFillTint="33"/>
          </w:tcPr>
          <w:p w:rsidR="00FC34C1" w:rsidRPr="00B47AA0" w:rsidRDefault="00FC34C1" w:rsidP="00DC2AD4">
            <w:pPr>
              <w:pStyle w:val="BodyText"/>
              <w:spacing w:before="60" w:after="60"/>
              <w:rPr>
                <w:sz w:val="20"/>
              </w:rPr>
            </w:pPr>
            <w:r>
              <w:rPr>
                <w:b/>
                <w:sz w:val="20"/>
              </w:rPr>
              <w:t>Low</w:t>
            </w:r>
            <w:r w:rsidR="001D4A5E">
              <w:rPr>
                <w:b/>
                <w:sz w:val="20"/>
              </w:rPr>
              <w:t xml:space="preserve"> participation and recovery</w:t>
            </w:r>
          </w:p>
        </w:tc>
      </w:tr>
      <w:tr w:rsidR="00C71F07" w:rsidRPr="00B47AA0" w:rsidTr="00663469">
        <w:tc>
          <w:tcPr>
            <w:tcW w:w="2691" w:type="dxa"/>
            <w:gridSpan w:val="2"/>
            <w:vAlign w:val="center"/>
          </w:tcPr>
          <w:p w:rsidR="00C71F07" w:rsidRPr="00B47AA0" w:rsidRDefault="00C71F07" w:rsidP="00DC2AD4">
            <w:pPr>
              <w:pStyle w:val="BodyText"/>
              <w:spacing w:before="60" w:after="60"/>
              <w:jc w:val="left"/>
              <w:rPr>
                <w:sz w:val="20"/>
              </w:rPr>
            </w:pPr>
            <w:r>
              <w:rPr>
                <w:sz w:val="20"/>
              </w:rPr>
              <w:lastRenderedPageBreak/>
              <w:t>Waste diverted to landfill – refrigerators</w:t>
            </w:r>
          </w:p>
        </w:tc>
        <w:tc>
          <w:tcPr>
            <w:tcW w:w="1430" w:type="dxa"/>
            <w:gridSpan w:val="2"/>
            <w:vAlign w:val="center"/>
          </w:tcPr>
          <w:p w:rsidR="0085085D" w:rsidRDefault="00C71F07">
            <w:pPr>
              <w:pStyle w:val="BodyText"/>
              <w:spacing w:before="60" w:after="60"/>
              <w:jc w:val="right"/>
              <w:rPr>
                <w:sz w:val="20"/>
              </w:rPr>
            </w:pPr>
            <w:r>
              <w:rPr>
                <w:sz w:val="20"/>
              </w:rPr>
              <w:t>100 per cent</w:t>
            </w:r>
          </w:p>
        </w:tc>
        <w:tc>
          <w:tcPr>
            <w:tcW w:w="1462" w:type="dxa"/>
            <w:gridSpan w:val="2"/>
            <w:shd w:val="clear" w:color="auto" w:fill="D9D9D9" w:themeFill="background1" w:themeFillShade="D9"/>
            <w:vAlign w:val="center"/>
          </w:tcPr>
          <w:p w:rsidR="0085085D" w:rsidRDefault="00C71F07">
            <w:pPr>
              <w:pStyle w:val="BodyText"/>
              <w:spacing w:before="60" w:after="60"/>
              <w:jc w:val="right"/>
              <w:rPr>
                <w:sz w:val="20"/>
              </w:rPr>
            </w:pPr>
            <w:r>
              <w:rPr>
                <w:sz w:val="20"/>
              </w:rPr>
              <w:t>95 per cent</w:t>
            </w:r>
          </w:p>
        </w:tc>
        <w:tc>
          <w:tcPr>
            <w:tcW w:w="1454" w:type="dxa"/>
            <w:gridSpan w:val="2"/>
            <w:shd w:val="clear" w:color="auto" w:fill="D9D9D9" w:themeFill="background1" w:themeFillShade="D9"/>
            <w:vAlign w:val="center"/>
          </w:tcPr>
          <w:p w:rsidR="0085085D" w:rsidRDefault="00C71F07">
            <w:pPr>
              <w:pStyle w:val="BodyText"/>
              <w:spacing w:before="60" w:after="60"/>
              <w:jc w:val="right"/>
              <w:rPr>
                <w:sz w:val="20"/>
              </w:rPr>
            </w:pPr>
            <w:r>
              <w:rPr>
                <w:sz w:val="20"/>
              </w:rPr>
              <w:t>85 per cent</w:t>
            </w:r>
          </w:p>
        </w:tc>
        <w:tc>
          <w:tcPr>
            <w:tcW w:w="1458" w:type="dxa"/>
            <w:shd w:val="clear" w:color="auto" w:fill="D9D9D9" w:themeFill="background1" w:themeFillShade="D9"/>
            <w:vAlign w:val="center"/>
          </w:tcPr>
          <w:p w:rsidR="0085085D" w:rsidRDefault="00C71F07">
            <w:pPr>
              <w:pStyle w:val="BodyText"/>
              <w:spacing w:before="60" w:after="60"/>
              <w:jc w:val="right"/>
              <w:rPr>
                <w:sz w:val="20"/>
              </w:rPr>
            </w:pPr>
            <w:r>
              <w:rPr>
                <w:sz w:val="20"/>
              </w:rPr>
              <w:t>40 per cent</w:t>
            </w:r>
          </w:p>
        </w:tc>
      </w:tr>
      <w:tr w:rsidR="00C71F07" w:rsidRPr="00B47AA0" w:rsidTr="00663469">
        <w:tc>
          <w:tcPr>
            <w:tcW w:w="2691" w:type="dxa"/>
            <w:gridSpan w:val="2"/>
            <w:vAlign w:val="center"/>
          </w:tcPr>
          <w:p w:rsidR="00C71F07" w:rsidRDefault="00C71F07" w:rsidP="00DC2AD4">
            <w:pPr>
              <w:pStyle w:val="BodyText"/>
              <w:spacing w:before="60" w:after="60"/>
              <w:jc w:val="left"/>
              <w:rPr>
                <w:sz w:val="20"/>
              </w:rPr>
            </w:pPr>
            <w:r>
              <w:rPr>
                <w:sz w:val="20"/>
              </w:rPr>
              <w:t>Waste diverted to landfill – air conditioners</w:t>
            </w:r>
          </w:p>
        </w:tc>
        <w:tc>
          <w:tcPr>
            <w:tcW w:w="1430" w:type="dxa"/>
            <w:gridSpan w:val="2"/>
            <w:vAlign w:val="center"/>
          </w:tcPr>
          <w:p w:rsidR="0085085D" w:rsidRDefault="00C71F07">
            <w:pPr>
              <w:pStyle w:val="BodyText"/>
              <w:spacing w:before="60" w:after="60"/>
              <w:jc w:val="right"/>
              <w:rPr>
                <w:sz w:val="20"/>
              </w:rPr>
            </w:pPr>
            <w:r>
              <w:rPr>
                <w:sz w:val="20"/>
              </w:rPr>
              <w:t>100 per cent</w:t>
            </w:r>
          </w:p>
        </w:tc>
        <w:tc>
          <w:tcPr>
            <w:tcW w:w="1462" w:type="dxa"/>
            <w:gridSpan w:val="2"/>
            <w:shd w:val="clear" w:color="auto" w:fill="D9D9D9" w:themeFill="background1" w:themeFillShade="D9"/>
            <w:vAlign w:val="center"/>
          </w:tcPr>
          <w:p w:rsidR="0085085D" w:rsidRDefault="00C71F07">
            <w:pPr>
              <w:pStyle w:val="BodyText"/>
              <w:spacing w:before="60" w:after="60"/>
              <w:jc w:val="right"/>
              <w:rPr>
                <w:sz w:val="20"/>
              </w:rPr>
            </w:pPr>
            <w:r>
              <w:rPr>
                <w:sz w:val="20"/>
              </w:rPr>
              <w:t>95 per cent</w:t>
            </w:r>
          </w:p>
        </w:tc>
        <w:tc>
          <w:tcPr>
            <w:tcW w:w="1454" w:type="dxa"/>
            <w:gridSpan w:val="2"/>
            <w:shd w:val="clear" w:color="auto" w:fill="D9D9D9" w:themeFill="background1" w:themeFillShade="D9"/>
            <w:vAlign w:val="center"/>
          </w:tcPr>
          <w:p w:rsidR="0085085D" w:rsidRDefault="00C71F07">
            <w:pPr>
              <w:pStyle w:val="BodyText"/>
              <w:spacing w:before="60" w:after="60"/>
              <w:jc w:val="right"/>
              <w:rPr>
                <w:sz w:val="20"/>
              </w:rPr>
            </w:pPr>
            <w:r>
              <w:rPr>
                <w:sz w:val="20"/>
              </w:rPr>
              <w:t>85 per cent</w:t>
            </w:r>
          </w:p>
        </w:tc>
        <w:tc>
          <w:tcPr>
            <w:tcW w:w="1458" w:type="dxa"/>
            <w:shd w:val="clear" w:color="auto" w:fill="D9D9D9" w:themeFill="background1" w:themeFillShade="D9"/>
            <w:vAlign w:val="center"/>
          </w:tcPr>
          <w:p w:rsidR="0085085D" w:rsidRDefault="00C71F07">
            <w:pPr>
              <w:pStyle w:val="BodyText"/>
              <w:spacing w:before="60" w:after="60"/>
              <w:jc w:val="right"/>
              <w:rPr>
                <w:sz w:val="20"/>
              </w:rPr>
            </w:pPr>
            <w:r>
              <w:rPr>
                <w:sz w:val="20"/>
              </w:rPr>
              <w:t>60 per cent</w:t>
            </w:r>
          </w:p>
        </w:tc>
      </w:tr>
      <w:tr w:rsidR="00C71F07" w:rsidRPr="00B47AA0" w:rsidTr="00663469">
        <w:tc>
          <w:tcPr>
            <w:tcW w:w="2691" w:type="dxa"/>
            <w:gridSpan w:val="2"/>
          </w:tcPr>
          <w:p w:rsidR="00C71F07" w:rsidRPr="00B47AA0" w:rsidRDefault="00C71F07" w:rsidP="00DC2AD4">
            <w:pPr>
              <w:pStyle w:val="BodyText"/>
              <w:spacing w:before="60" w:after="60"/>
              <w:jc w:val="left"/>
              <w:rPr>
                <w:sz w:val="20"/>
              </w:rPr>
            </w:pPr>
            <w:r>
              <w:rPr>
                <w:sz w:val="20"/>
              </w:rPr>
              <w:t>Recovery of refrigerant gases - refrigerator</w:t>
            </w:r>
          </w:p>
        </w:tc>
        <w:tc>
          <w:tcPr>
            <w:tcW w:w="1430" w:type="dxa"/>
            <w:gridSpan w:val="2"/>
            <w:vAlign w:val="center"/>
          </w:tcPr>
          <w:p w:rsidR="0085085D" w:rsidRDefault="00C71F07">
            <w:pPr>
              <w:pStyle w:val="BodyText"/>
              <w:spacing w:before="60" w:after="60"/>
              <w:jc w:val="right"/>
              <w:rPr>
                <w:sz w:val="20"/>
              </w:rPr>
            </w:pPr>
            <w:r>
              <w:rPr>
                <w:sz w:val="20"/>
              </w:rPr>
              <w:t>35 per cent</w:t>
            </w:r>
          </w:p>
        </w:tc>
        <w:tc>
          <w:tcPr>
            <w:tcW w:w="1462" w:type="dxa"/>
            <w:gridSpan w:val="2"/>
            <w:shd w:val="clear" w:color="auto" w:fill="D9D9D9" w:themeFill="background1" w:themeFillShade="D9"/>
            <w:vAlign w:val="center"/>
          </w:tcPr>
          <w:p w:rsidR="0085085D" w:rsidRDefault="00C71F07">
            <w:pPr>
              <w:pStyle w:val="BodyText"/>
              <w:spacing w:before="60" w:after="60"/>
              <w:jc w:val="right"/>
              <w:rPr>
                <w:sz w:val="20"/>
              </w:rPr>
            </w:pPr>
            <w:r>
              <w:rPr>
                <w:sz w:val="20"/>
              </w:rPr>
              <w:t>35 per cent</w:t>
            </w:r>
          </w:p>
        </w:tc>
        <w:tc>
          <w:tcPr>
            <w:tcW w:w="1454" w:type="dxa"/>
            <w:gridSpan w:val="2"/>
            <w:shd w:val="clear" w:color="auto" w:fill="D9D9D9" w:themeFill="background1" w:themeFillShade="D9"/>
            <w:vAlign w:val="center"/>
          </w:tcPr>
          <w:p w:rsidR="0085085D" w:rsidRPr="0085085D" w:rsidRDefault="00E10441">
            <w:pPr>
              <w:pStyle w:val="BodyText"/>
              <w:spacing w:before="60" w:after="60"/>
              <w:jc w:val="right"/>
              <w:rPr>
                <w:sz w:val="20"/>
              </w:rPr>
            </w:pPr>
            <w:r w:rsidRPr="00E10441">
              <w:rPr>
                <w:sz w:val="20"/>
              </w:rPr>
              <w:t>35 per cent</w:t>
            </w:r>
          </w:p>
        </w:tc>
        <w:tc>
          <w:tcPr>
            <w:tcW w:w="1458" w:type="dxa"/>
            <w:shd w:val="clear" w:color="auto" w:fill="D9D9D9" w:themeFill="background1" w:themeFillShade="D9"/>
            <w:vAlign w:val="center"/>
          </w:tcPr>
          <w:p w:rsidR="0085085D" w:rsidRPr="0085085D" w:rsidRDefault="00E10441">
            <w:pPr>
              <w:pStyle w:val="BodyText"/>
              <w:spacing w:before="60" w:after="60"/>
              <w:jc w:val="right"/>
              <w:rPr>
                <w:sz w:val="20"/>
              </w:rPr>
            </w:pPr>
            <w:r w:rsidRPr="00E10441">
              <w:rPr>
                <w:sz w:val="20"/>
              </w:rPr>
              <w:t>6</w:t>
            </w:r>
            <w:r w:rsidR="004B3F67">
              <w:rPr>
                <w:sz w:val="20"/>
              </w:rPr>
              <w:t>5</w:t>
            </w:r>
            <w:r w:rsidRPr="00E10441">
              <w:rPr>
                <w:sz w:val="20"/>
              </w:rPr>
              <w:t xml:space="preserve"> per cent</w:t>
            </w:r>
          </w:p>
        </w:tc>
      </w:tr>
      <w:tr w:rsidR="00C71F07" w:rsidRPr="00B47AA0" w:rsidTr="00663469">
        <w:tc>
          <w:tcPr>
            <w:tcW w:w="2691" w:type="dxa"/>
            <w:gridSpan w:val="2"/>
          </w:tcPr>
          <w:p w:rsidR="00C71F07" w:rsidRPr="00B47AA0" w:rsidRDefault="00C71F07" w:rsidP="00DC2AD4">
            <w:pPr>
              <w:pStyle w:val="BodyText"/>
              <w:spacing w:before="60" w:after="60"/>
              <w:jc w:val="left"/>
              <w:rPr>
                <w:sz w:val="20"/>
              </w:rPr>
            </w:pPr>
            <w:r>
              <w:rPr>
                <w:sz w:val="20"/>
              </w:rPr>
              <w:t>Recovery of refrigerant gases – air conditioners</w:t>
            </w:r>
          </w:p>
        </w:tc>
        <w:tc>
          <w:tcPr>
            <w:tcW w:w="1430" w:type="dxa"/>
            <w:gridSpan w:val="2"/>
            <w:vAlign w:val="center"/>
          </w:tcPr>
          <w:p w:rsidR="0085085D" w:rsidRDefault="00C71F07">
            <w:pPr>
              <w:pStyle w:val="BodyText"/>
              <w:spacing w:before="60" w:after="60"/>
              <w:jc w:val="right"/>
              <w:rPr>
                <w:sz w:val="20"/>
              </w:rPr>
            </w:pPr>
            <w:r w:rsidRPr="00A810F9">
              <w:rPr>
                <w:sz w:val="20"/>
              </w:rPr>
              <w:t>80 per cent</w:t>
            </w:r>
          </w:p>
        </w:tc>
        <w:tc>
          <w:tcPr>
            <w:tcW w:w="1462" w:type="dxa"/>
            <w:gridSpan w:val="2"/>
            <w:vAlign w:val="center"/>
          </w:tcPr>
          <w:p w:rsidR="0085085D" w:rsidRDefault="00C71F07">
            <w:pPr>
              <w:pStyle w:val="BodyText"/>
              <w:spacing w:before="60" w:after="60"/>
              <w:jc w:val="right"/>
              <w:rPr>
                <w:sz w:val="20"/>
              </w:rPr>
            </w:pPr>
            <w:r w:rsidRPr="00A810F9">
              <w:rPr>
                <w:sz w:val="20"/>
              </w:rPr>
              <w:t>80 per cent</w:t>
            </w:r>
          </w:p>
        </w:tc>
        <w:tc>
          <w:tcPr>
            <w:tcW w:w="1454" w:type="dxa"/>
            <w:gridSpan w:val="2"/>
            <w:vAlign w:val="center"/>
          </w:tcPr>
          <w:p w:rsidR="0085085D" w:rsidRPr="0085085D" w:rsidRDefault="00C71F07">
            <w:pPr>
              <w:pStyle w:val="BodyText"/>
              <w:spacing w:before="60" w:after="60"/>
              <w:jc w:val="right"/>
              <w:rPr>
                <w:sz w:val="20"/>
              </w:rPr>
            </w:pPr>
            <w:r w:rsidRPr="00A810F9">
              <w:rPr>
                <w:sz w:val="20"/>
              </w:rPr>
              <w:t>80 per cent</w:t>
            </w:r>
          </w:p>
        </w:tc>
        <w:tc>
          <w:tcPr>
            <w:tcW w:w="1458" w:type="dxa"/>
            <w:vAlign w:val="center"/>
          </w:tcPr>
          <w:p w:rsidR="0085085D" w:rsidRPr="0085085D" w:rsidRDefault="00C71F07">
            <w:pPr>
              <w:pStyle w:val="BodyText"/>
              <w:spacing w:before="60" w:after="60"/>
              <w:jc w:val="right"/>
              <w:rPr>
                <w:sz w:val="20"/>
              </w:rPr>
            </w:pPr>
            <w:r w:rsidRPr="00A810F9">
              <w:rPr>
                <w:sz w:val="20"/>
              </w:rPr>
              <w:t>80 per cent</w:t>
            </w:r>
          </w:p>
        </w:tc>
      </w:tr>
      <w:tr w:rsidR="00C71F07" w:rsidRPr="00B47AA0" w:rsidTr="00663469">
        <w:tc>
          <w:tcPr>
            <w:tcW w:w="2691" w:type="dxa"/>
            <w:gridSpan w:val="2"/>
          </w:tcPr>
          <w:p w:rsidR="00C71F07" w:rsidRPr="00B47AA0" w:rsidRDefault="00C71F07" w:rsidP="00DC2AD4">
            <w:pPr>
              <w:pStyle w:val="BodyText"/>
              <w:spacing w:before="60" w:after="60"/>
              <w:jc w:val="left"/>
              <w:rPr>
                <w:sz w:val="20"/>
              </w:rPr>
            </w:pPr>
            <w:r>
              <w:rPr>
                <w:sz w:val="20"/>
              </w:rPr>
              <w:t>Level of compliance and associated cost</w:t>
            </w:r>
          </w:p>
        </w:tc>
        <w:tc>
          <w:tcPr>
            <w:tcW w:w="1430" w:type="dxa"/>
            <w:gridSpan w:val="2"/>
            <w:vAlign w:val="center"/>
          </w:tcPr>
          <w:p w:rsidR="0085085D" w:rsidRDefault="00C71F07">
            <w:pPr>
              <w:pStyle w:val="BodyText"/>
              <w:spacing w:before="60" w:after="60"/>
              <w:jc w:val="right"/>
              <w:rPr>
                <w:sz w:val="20"/>
              </w:rPr>
            </w:pPr>
            <w:r>
              <w:rPr>
                <w:sz w:val="20"/>
              </w:rPr>
              <w:t>-</w:t>
            </w:r>
          </w:p>
        </w:tc>
        <w:tc>
          <w:tcPr>
            <w:tcW w:w="1462" w:type="dxa"/>
            <w:gridSpan w:val="2"/>
            <w:shd w:val="clear" w:color="auto" w:fill="D9D9D9" w:themeFill="background1" w:themeFillShade="D9"/>
            <w:vAlign w:val="center"/>
          </w:tcPr>
          <w:p w:rsidR="0085085D" w:rsidRDefault="00C71F07">
            <w:pPr>
              <w:pStyle w:val="BodyText"/>
              <w:spacing w:before="60" w:after="60"/>
              <w:jc w:val="right"/>
              <w:rPr>
                <w:sz w:val="20"/>
              </w:rPr>
            </w:pPr>
            <w:r>
              <w:rPr>
                <w:sz w:val="20"/>
              </w:rPr>
              <w:t>10 per cent lower</w:t>
            </w:r>
            <w:r>
              <w:rPr>
                <w:sz w:val="20"/>
              </w:rPr>
              <w:br/>
              <w:t>(13 participants)</w:t>
            </w:r>
          </w:p>
        </w:tc>
        <w:tc>
          <w:tcPr>
            <w:tcW w:w="1454" w:type="dxa"/>
            <w:gridSpan w:val="2"/>
            <w:shd w:val="clear" w:color="auto" w:fill="D9D9D9" w:themeFill="background1" w:themeFillShade="D9"/>
            <w:vAlign w:val="center"/>
          </w:tcPr>
          <w:p w:rsidR="0085085D" w:rsidRDefault="00C71F07">
            <w:pPr>
              <w:pStyle w:val="BodyText"/>
              <w:spacing w:before="60" w:after="60"/>
              <w:jc w:val="right"/>
              <w:rPr>
                <w:sz w:val="20"/>
              </w:rPr>
            </w:pPr>
            <w:r>
              <w:rPr>
                <w:sz w:val="20"/>
              </w:rPr>
              <w:t>10 per cent lower</w:t>
            </w:r>
            <w:r>
              <w:rPr>
                <w:sz w:val="20"/>
              </w:rPr>
              <w:br/>
              <w:t>(26 liable parties)</w:t>
            </w:r>
          </w:p>
        </w:tc>
        <w:tc>
          <w:tcPr>
            <w:tcW w:w="1458" w:type="dxa"/>
            <w:shd w:val="clear" w:color="auto" w:fill="D9D9D9" w:themeFill="background1" w:themeFillShade="D9"/>
            <w:vAlign w:val="center"/>
          </w:tcPr>
          <w:p w:rsidR="0085085D" w:rsidRDefault="00C71F07">
            <w:pPr>
              <w:pStyle w:val="BodyText"/>
              <w:spacing w:before="60" w:after="60"/>
              <w:jc w:val="right"/>
              <w:rPr>
                <w:sz w:val="20"/>
              </w:rPr>
            </w:pPr>
            <w:r>
              <w:rPr>
                <w:sz w:val="20"/>
              </w:rPr>
              <w:t>10 per cent lower</w:t>
            </w:r>
            <w:r>
              <w:rPr>
                <w:sz w:val="20"/>
              </w:rPr>
              <w:br/>
              <w:t>(679 licence holders)</w:t>
            </w:r>
          </w:p>
        </w:tc>
      </w:tr>
      <w:tr w:rsidR="00FC34C1" w:rsidRPr="00B47AA0" w:rsidTr="00663469">
        <w:tc>
          <w:tcPr>
            <w:tcW w:w="8495" w:type="dxa"/>
            <w:gridSpan w:val="9"/>
            <w:shd w:val="clear" w:color="auto" w:fill="C6D9F1" w:themeFill="text2" w:themeFillTint="33"/>
          </w:tcPr>
          <w:p w:rsidR="0081406E" w:rsidRDefault="00E10441">
            <w:pPr>
              <w:pStyle w:val="BodyText"/>
              <w:spacing w:before="60" w:after="60"/>
              <w:jc w:val="left"/>
              <w:rPr>
                <w:b/>
                <w:sz w:val="20"/>
              </w:rPr>
            </w:pPr>
            <w:r w:rsidRPr="00E10441">
              <w:rPr>
                <w:b/>
                <w:sz w:val="20"/>
              </w:rPr>
              <w:t>High</w:t>
            </w:r>
            <w:r w:rsidR="001D4A5E">
              <w:rPr>
                <w:b/>
                <w:sz w:val="20"/>
              </w:rPr>
              <w:t xml:space="preserve"> participation and recovery</w:t>
            </w:r>
          </w:p>
        </w:tc>
      </w:tr>
      <w:tr w:rsidR="00C71F07" w:rsidRPr="00B47AA0" w:rsidTr="00663469">
        <w:tc>
          <w:tcPr>
            <w:tcW w:w="2691" w:type="dxa"/>
            <w:gridSpan w:val="2"/>
            <w:vAlign w:val="center"/>
          </w:tcPr>
          <w:p w:rsidR="00C71F07" w:rsidRPr="00B47AA0" w:rsidRDefault="00C71F07" w:rsidP="00DC2AD4">
            <w:pPr>
              <w:pStyle w:val="BodyText"/>
              <w:spacing w:before="60" w:after="60"/>
              <w:jc w:val="left"/>
              <w:rPr>
                <w:b/>
                <w:sz w:val="20"/>
              </w:rPr>
            </w:pPr>
            <w:r>
              <w:rPr>
                <w:sz w:val="20"/>
              </w:rPr>
              <w:t>Waste diverted to landfill – refrigerators</w:t>
            </w:r>
          </w:p>
        </w:tc>
        <w:tc>
          <w:tcPr>
            <w:tcW w:w="1430" w:type="dxa"/>
            <w:gridSpan w:val="2"/>
            <w:vAlign w:val="center"/>
          </w:tcPr>
          <w:p w:rsidR="00C71F07" w:rsidRPr="00A810F9" w:rsidRDefault="00C71F07" w:rsidP="00B519F2">
            <w:pPr>
              <w:pStyle w:val="BodyText"/>
              <w:spacing w:before="60" w:after="60"/>
              <w:jc w:val="right"/>
              <w:rPr>
                <w:sz w:val="20"/>
              </w:rPr>
            </w:pPr>
            <w:r>
              <w:rPr>
                <w:sz w:val="20"/>
              </w:rPr>
              <w:t>100 per cent</w:t>
            </w:r>
          </w:p>
        </w:tc>
        <w:tc>
          <w:tcPr>
            <w:tcW w:w="1462" w:type="dxa"/>
            <w:gridSpan w:val="2"/>
            <w:shd w:val="clear" w:color="auto" w:fill="D9D9D9" w:themeFill="background1" w:themeFillShade="D9"/>
            <w:vAlign w:val="center"/>
          </w:tcPr>
          <w:p w:rsidR="0085085D" w:rsidRPr="0085085D" w:rsidRDefault="00E10441">
            <w:pPr>
              <w:pStyle w:val="BodyText"/>
              <w:spacing w:before="60" w:after="60"/>
              <w:jc w:val="right"/>
              <w:rPr>
                <w:sz w:val="20"/>
              </w:rPr>
            </w:pPr>
            <w:r w:rsidRPr="00E10441">
              <w:rPr>
                <w:sz w:val="20"/>
              </w:rPr>
              <w:t>9</w:t>
            </w:r>
            <w:r w:rsidR="00C71F07">
              <w:rPr>
                <w:sz w:val="20"/>
              </w:rPr>
              <w:t>0</w:t>
            </w:r>
            <w:r w:rsidRPr="00E10441">
              <w:rPr>
                <w:sz w:val="20"/>
              </w:rPr>
              <w:t xml:space="preserve"> per cent</w:t>
            </w:r>
          </w:p>
        </w:tc>
        <w:tc>
          <w:tcPr>
            <w:tcW w:w="1454" w:type="dxa"/>
            <w:gridSpan w:val="2"/>
            <w:shd w:val="clear" w:color="auto" w:fill="D9D9D9" w:themeFill="background1" w:themeFillShade="D9"/>
            <w:vAlign w:val="center"/>
          </w:tcPr>
          <w:p w:rsidR="00C71F07" w:rsidRPr="00B47AA0" w:rsidRDefault="00C71F07" w:rsidP="00DC2AD4">
            <w:pPr>
              <w:pStyle w:val="BodyText"/>
              <w:spacing w:before="60" w:after="60"/>
              <w:jc w:val="right"/>
              <w:rPr>
                <w:sz w:val="20"/>
              </w:rPr>
            </w:pPr>
            <w:r>
              <w:rPr>
                <w:sz w:val="20"/>
              </w:rPr>
              <w:t>70</w:t>
            </w:r>
            <w:r w:rsidR="00E10441" w:rsidRPr="00E10441">
              <w:rPr>
                <w:sz w:val="20"/>
              </w:rPr>
              <w:t xml:space="preserve"> per cent</w:t>
            </w:r>
          </w:p>
        </w:tc>
        <w:tc>
          <w:tcPr>
            <w:tcW w:w="1458" w:type="dxa"/>
            <w:shd w:val="clear" w:color="auto" w:fill="D9D9D9" w:themeFill="background1" w:themeFillShade="D9"/>
            <w:vAlign w:val="center"/>
          </w:tcPr>
          <w:p w:rsidR="00C71F07" w:rsidRPr="00B47AA0" w:rsidRDefault="00C71F07" w:rsidP="00DC2AD4">
            <w:pPr>
              <w:pStyle w:val="BodyText"/>
              <w:spacing w:before="60" w:after="60"/>
              <w:jc w:val="right"/>
              <w:rPr>
                <w:sz w:val="20"/>
              </w:rPr>
            </w:pPr>
            <w:r>
              <w:rPr>
                <w:sz w:val="20"/>
              </w:rPr>
              <w:t>20</w:t>
            </w:r>
            <w:r w:rsidR="00E10441" w:rsidRPr="00E10441">
              <w:rPr>
                <w:sz w:val="20"/>
              </w:rPr>
              <w:t xml:space="preserve"> per cent</w:t>
            </w:r>
          </w:p>
        </w:tc>
      </w:tr>
      <w:tr w:rsidR="00C71F07" w:rsidRPr="00B47AA0" w:rsidTr="00663469">
        <w:tc>
          <w:tcPr>
            <w:tcW w:w="2691" w:type="dxa"/>
            <w:gridSpan w:val="2"/>
            <w:vAlign w:val="center"/>
          </w:tcPr>
          <w:p w:rsidR="00C71F07" w:rsidRDefault="00C71F07" w:rsidP="00DC2AD4">
            <w:pPr>
              <w:pStyle w:val="BodyText"/>
              <w:spacing w:before="60" w:after="60"/>
              <w:jc w:val="left"/>
              <w:rPr>
                <w:sz w:val="20"/>
              </w:rPr>
            </w:pPr>
            <w:r>
              <w:rPr>
                <w:sz w:val="20"/>
              </w:rPr>
              <w:t>Waste diverted to landfill – air conditioners</w:t>
            </w:r>
          </w:p>
        </w:tc>
        <w:tc>
          <w:tcPr>
            <w:tcW w:w="1430" w:type="dxa"/>
            <w:gridSpan w:val="2"/>
            <w:vAlign w:val="center"/>
          </w:tcPr>
          <w:p w:rsidR="00C71F07" w:rsidRPr="00A810F9" w:rsidRDefault="00C71F07" w:rsidP="00B519F2">
            <w:pPr>
              <w:pStyle w:val="BodyText"/>
              <w:spacing w:before="60" w:after="60"/>
              <w:jc w:val="right"/>
              <w:rPr>
                <w:sz w:val="20"/>
              </w:rPr>
            </w:pPr>
            <w:r>
              <w:rPr>
                <w:sz w:val="20"/>
              </w:rPr>
              <w:t>100 per cent</w:t>
            </w:r>
          </w:p>
        </w:tc>
        <w:tc>
          <w:tcPr>
            <w:tcW w:w="1462" w:type="dxa"/>
            <w:gridSpan w:val="2"/>
            <w:shd w:val="clear" w:color="auto" w:fill="D9D9D9" w:themeFill="background1" w:themeFillShade="D9"/>
            <w:vAlign w:val="center"/>
          </w:tcPr>
          <w:p w:rsidR="00C71F07" w:rsidRPr="00A810F9" w:rsidRDefault="00C71F07" w:rsidP="00B519F2">
            <w:pPr>
              <w:pStyle w:val="BodyText"/>
              <w:spacing w:before="60" w:after="60"/>
              <w:jc w:val="right"/>
              <w:rPr>
                <w:sz w:val="20"/>
              </w:rPr>
            </w:pPr>
            <w:r w:rsidRPr="00A810F9">
              <w:rPr>
                <w:sz w:val="20"/>
              </w:rPr>
              <w:t>9</w:t>
            </w:r>
            <w:r>
              <w:rPr>
                <w:sz w:val="20"/>
              </w:rPr>
              <w:t>0</w:t>
            </w:r>
            <w:r w:rsidRPr="00A810F9">
              <w:rPr>
                <w:sz w:val="20"/>
              </w:rPr>
              <w:t xml:space="preserve"> per cent</w:t>
            </w:r>
          </w:p>
        </w:tc>
        <w:tc>
          <w:tcPr>
            <w:tcW w:w="1454" w:type="dxa"/>
            <w:gridSpan w:val="2"/>
            <w:shd w:val="clear" w:color="auto" w:fill="D9D9D9" w:themeFill="background1" w:themeFillShade="D9"/>
            <w:vAlign w:val="center"/>
          </w:tcPr>
          <w:p w:rsidR="00C71F07" w:rsidRDefault="00C71F07" w:rsidP="00DC2AD4">
            <w:pPr>
              <w:pStyle w:val="BodyText"/>
              <w:spacing w:before="60" w:after="60"/>
              <w:jc w:val="right"/>
              <w:rPr>
                <w:sz w:val="20"/>
              </w:rPr>
            </w:pPr>
            <w:r>
              <w:rPr>
                <w:sz w:val="20"/>
              </w:rPr>
              <w:t>70</w:t>
            </w:r>
            <w:r w:rsidRPr="00A810F9">
              <w:rPr>
                <w:sz w:val="20"/>
              </w:rPr>
              <w:t xml:space="preserve"> per cent</w:t>
            </w:r>
          </w:p>
        </w:tc>
        <w:tc>
          <w:tcPr>
            <w:tcW w:w="1458" w:type="dxa"/>
            <w:shd w:val="clear" w:color="auto" w:fill="D9D9D9" w:themeFill="background1" w:themeFillShade="D9"/>
            <w:vAlign w:val="center"/>
          </w:tcPr>
          <w:p w:rsidR="00C71F07" w:rsidRPr="00A810F9" w:rsidRDefault="00C71F07" w:rsidP="00DC2AD4">
            <w:pPr>
              <w:pStyle w:val="BodyText"/>
              <w:spacing w:before="60" w:after="60"/>
              <w:jc w:val="right"/>
              <w:rPr>
                <w:sz w:val="20"/>
              </w:rPr>
            </w:pPr>
            <w:r>
              <w:rPr>
                <w:sz w:val="20"/>
              </w:rPr>
              <w:t>40 per cent</w:t>
            </w:r>
          </w:p>
        </w:tc>
      </w:tr>
      <w:tr w:rsidR="00C71F07" w:rsidRPr="00B47AA0" w:rsidTr="00663469">
        <w:tc>
          <w:tcPr>
            <w:tcW w:w="2691" w:type="dxa"/>
            <w:gridSpan w:val="2"/>
          </w:tcPr>
          <w:p w:rsidR="00C71F07" w:rsidRPr="00B47AA0" w:rsidRDefault="00C71F07" w:rsidP="00DC2AD4">
            <w:pPr>
              <w:pStyle w:val="BodyText"/>
              <w:spacing w:before="60" w:after="60"/>
              <w:jc w:val="left"/>
              <w:rPr>
                <w:b/>
                <w:sz w:val="20"/>
              </w:rPr>
            </w:pPr>
            <w:r>
              <w:rPr>
                <w:sz w:val="20"/>
              </w:rPr>
              <w:t>Recovery of refrigerant gases – refrigerator</w:t>
            </w:r>
          </w:p>
        </w:tc>
        <w:tc>
          <w:tcPr>
            <w:tcW w:w="1430" w:type="dxa"/>
            <w:gridSpan w:val="2"/>
            <w:vAlign w:val="center"/>
          </w:tcPr>
          <w:p w:rsidR="00C71F07" w:rsidRPr="00A810F9" w:rsidRDefault="00C71F07" w:rsidP="00DC2AD4">
            <w:pPr>
              <w:pStyle w:val="BodyText"/>
              <w:spacing w:before="60" w:after="60"/>
              <w:jc w:val="right"/>
              <w:rPr>
                <w:sz w:val="20"/>
              </w:rPr>
            </w:pPr>
            <w:r>
              <w:rPr>
                <w:sz w:val="20"/>
              </w:rPr>
              <w:t>35 per cent</w:t>
            </w:r>
          </w:p>
        </w:tc>
        <w:tc>
          <w:tcPr>
            <w:tcW w:w="1462" w:type="dxa"/>
            <w:gridSpan w:val="2"/>
            <w:shd w:val="clear" w:color="auto" w:fill="D9D9D9" w:themeFill="background1" w:themeFillShade="D9"/>
            <w:vAlign w:val="center"/>
          </w:tcPr>
          <w:p w:rsidR="00C71F07" w:rsidRPr="00B47AA0" w:rsidRDefault="00E10441" w:rsidP="00DC2AD4">
            <w:pPr>
              <w:pStyle w:val="BodyText"/>
              <w:spacing w:before="60" w:after="60"/>
              <w:jc w:val="right"/>
              <w:rPr>
                <w:sz w:val="20"/>
              </w:rPr>
            </w:pPr>
            <w:r w:rsidRPr="00E10441">
              <w:rPr>
                <w:sz w:val="20"/>
              </w:rPr>
              <w:t>45 per cent</w:t>
            </w:r>
          </w:p>
        </w:tc>
        <w:tc>
          <w:tcPr>
            <w:tcW w:w="1454" w:type="dxa"/>
            <w:gridSpan w:val="2"/>
            <w:shd w:val="clear" w:color="auto" w:fill="D9D9D9" w:themeFill="background1" w:themeFillShade="D9"/>
            <w:vAlign w:val="center"/>
          </w:tcPr>
          <w:p w:rsidR="00C71F07" w:rsidRPr="00B47AA0" w:rsidRDefault="00E10441" w:rsidP="00DC2AD4">
            <w:pPr>
              <w:pStyle w:val="BodyText"/>
              <w:spacing w:before="60" w:after="60"/>
              <w:jc w:val="right"/>
              <w:rPr>
                <w:sz w:val="20"/>
              </w:rPr>
            </w:pPr>
            <w:r w:rsidRPr="00E10441">
              <w:rPr>
                <w:sz w:val="20"/>
              </w:rPr>
              <w:t>45 per cent</w:t>
            </w:r>
          </w:p>
        </w:tc>
        <w:tc>
          <w:tcPr>
            <w:tcW w:w="1458" w:type="dxa"/>
            <w:shd w:val="clear" w:color="auto" w:fill="D9D9D9" w:themeFill="background1" w:themeFillShade="D9"/>
            <w:vAlign w:val="center"/>
          </w:tcPr>
          <w:p w:rsidR="00C71F07" w:rsidRPr="00B47AA0" w:rsidRDefault="004B3F67" w:rsidP="00DC2AD4">
            <w:pPr>
              <w:pStyle w:val="BodyText"/>
              <w:spacing w:before="60" w:after="60"/>
              <w:jc w:val="right"/>
              <w:rPr>
                <w:sz w:val="20"/>
              </w:rPr>
            </w:pPr>
            <w:r>
              <w:rPr>
                <w:sz w:val="20"/>
              </w:rPr>
              <w:t>75</w:t>
            </w:r>
            <w:r w:rsidR="00E10441" w:rsidRPr="00E10441">
              <w:rPr>
                <w:sz w:val="20"/>
              </w:rPr>
              <w:t xml:space="preserve"> per cent</w:t>
            </w:r>
          </w:p>
        </w:tc>
      </w:tr>
      <w:tr w:rsidR="00C71F07" w:rsidRPr="00B47AA0" w:rsidTr="00663469">
        <w:tc>
          <w:tcPr>
            <w:tcW w:w="2691" w:type="dxa"/>
            <w:gridSpan w:val="2"/>
          </w:tcPr>
          <w:p w:rsidR="00C71F07" w:rsidRPr="00B47AA0" w:rsidRDefault="00C71F07" w:rsidP="00DC2AD4">
            <w:pPr>
              <w:pStyle w:val="BodyText"/>
              <w:spacing w:before="60" w:after="60"/>
              <w:jc w:val="left"/>
              <w:rPr>
                <w:sz w:val="20"/>
              </w:rPr>
            </w:pPr>
            <w:r>
              <w:rPr>
                <w:sz w:val="20"/>
              </w:rPr>
              <w:t>Recovery of refrigerant gases – air conditioners</w:t>
            </w:r>
          </w:p>
        </w:tc>
        <w:tc>
          <w:tcPr>
            <w:tcW w:w="1430" w:type="dxa"/>
            <w:gridSpan w:val="2"/>
            <w:vAlign w:val="center"/>
          </w:tcPr>
          <w:p w:rsidR="00C71F07" w:rsidRPr="00A810F9" w:rsidRDefault="00C71F07" w:rsidP="00DC2AD4">
            <w:pPr>
              <w:pStyle w:val="BodyText"/>
              <w:spacing w:before="60" w:after="60"/>
              <w:jc w:val="right"/>
              <w:rPr>
                <w:sz w:val="20"/>
              </w:rPr>
            </w:pPr>
            <w:r w:rsidRPr="00A810F9">
              <w:rPr>
                <w:sz w:val="20"/>
              </w:rPr>
              <w:t>80 per cent</w:t>
            </w:r>
          </w:p>
        </w:tc>
        <w:tc>
          <w:tcPr>
            <w:tcW w:w="1462" w:type="dxa"/>
            <w:gridSpan w:val="2"/>
            <w:shd w:val="clear" w:color="auto" w:fill="D9D9D9" w:themeFill="background1" w:themeFillShade="D9"/>
            <w:vAlign w:val="center"/>
          </w:tcPr>
          <w:p w:rsidR="0085085D" w:rsidRPr="0085085D" w:rsidRDefault="004B3F67">
            <w:pPr>
              <w:pStyle w:val="BodyText"/>
              <w:spacing w:before="60" w:after="60"/>
              <w:jc w:val="right"/>
              <w:rPr>
                <w:sz w:val="20"/>
              </w:rPr>
            </w:pPr>
            <w:r>
              <w:rPr>
                <w:sz w:val="20"/>
              </w:rPr>
              <w:t>85</w:t>
            </w:r>
            <w:r w:rsidR="00E10441" w:rsidRPr="00E10441">
              <w:rPr>
                <w:sz w:val="20"/>
              </w:rPr>
              <w:t xml:space="preserve"> per cent</w:t>
            </w:r>
          </w:p>
        </w:tc>
        <w:tc>
          <w:tcPr>
            <w:tcW w:w="1454" w:type="dxa"/>
            <w:gridSpan w:val="2"/>
            <w:shd w:val="clear" w:color="auto" w:fill="D9D9D9" w:themeFill="background1" w:themeFillShade="D9"/>
            <w:vAlign w:val="center"/>
          </w:tcPr>
          <w:p w:rsidR="00C71F07" w:rsidRPr="00B47AA0" w:rsidRDefault="004B3F67" w:rsidP="00DC2AD4">
            <w:pPr>
              <w:pStyle w:val="BodyText"/>
              <w:spacing w:before="60" w:after="60"/>
              <w:jc w:val="right"/>
              <w:rPr>
                <w:sz w:val="20"/>
              </w:rPr>
            </w:pPr>
            <w:r>
              <w:rPr>
                <w:sz w:val="20"/>
              </w:rPr>
              <w:t>85</w:t>
            </w:r>
            <w:r w:rsidR="00E10441" w:rsidRPr="00E10441">
              <w:rPr>
                <w:sz w:val="20"/>
              </w:rPr>
              <w:t xml:space="preserve"> per cent</w:t>
            </w:r>
          </w:p>
        </w:tc>
        <w:tc>
          <w:tcPr>
            <w:tcW w:w="1458" w:type="dxa"/>
            <w:shd w:val="clear" w:color="auto" w:fill="D9D9D9" w:themeFill="background1" w:themeFillShade="D9"/>
            <w:vAlign w:val="center"/>
          </w:tcPr>
          <w:p w:rsidR="00C71F07" w:rsidRPr="00B47AA0" w:rsidRDefault="004B3F67" w:rsidP="00DC2AD4">
            <w:pPr>
              <w:pStyle w:val="BodyText"/>
              <w:spacing w:before="60" w:after="60"/>
              <w:jc w:val="right"/>
              <w:rPr>
                <w:sz w:val="20"/>
              </w:rPr>
            </w:pPr>
            <w:r>
              <w:rPr>
                <w:sz w:val="20"/>
              </w:rPr>
              <w:t>85</w:t>
            </w:r>
            <w:r w:rsidR="00E10441" w:rsidRPr="00E10441">
              <w:rPr>
                <w:sz w:val="20"/>
              </w:rPr>
              <w:t xml:space="preserve"> per cent</w:t>
            </w:r>
          </w:p>
        </w:tc>
      </w:tr>
      <w:tr w:rsidR="00C71F07" w:rsidRPr="00B47AA0" w:rsidTr="00663469">
        <w:tc>
          <w:tcPr>
            <w:tcW w:w="2691" w:type="dxa"/>
            <w:gridSpan w:val="2"/>
          </w:tcPr>
          <w:p w:rsidR="00C71F07" w:rsidRPr="00B47AA0" w:rsidRDefault="00C71F07" w:rsidP="00DC2AD4">
            <w:pPr>
              <w:pStyle w:val="BodyText"/>
              <w:spacing w:before="60" w:after="60"/>
              <w:jc w:val="left"/>
              <w:rPr>
                <w:b/>
                <w:sz w:val="20"/>
              </w:rPr>
            </w:pPr>
            <w:r>
              <w:rPr>
                <w:sz w:val="20"/>
              </w:rPr>
              <w:t>Level of compliance and associated cost</w:t>
            </w:r>
          </w:p>
        </w:tc>
        <w:tc>
          <w:tcPr>
            <w:tcW w:w="1430" w:type="dxa"/>
            <w:gridSpan w:val="2"/>
            <w:vAlign w:val="center"/>
          </w:tcPr>
          <w:p w:rsidR="00C71F07" w:rsidRDefault="00C71F07">
            <w:pPr>
              <w:pStyle w:val="BodyText"/>
              <w:spacing w:before="60" w:after="60"/>
              <w:jc w:val="right"/>
              <w:rPr>
                <w:sz w:val="20"/>
              </w:rPr>
            </w:pPr>
            <w:r>
              <w:rPr>
                <w:sz w:val="20"/>
              </w:rPr>
              <w:t>-</w:t>
            </w:r>
          </w:p>
        </w:tc>
        <w:tc>
          <w:tcPr>
            <w:tcW w:w="1462" w:type="dxa"/>
            <w:gridSpan w:val="2"/>
            <w:shd w:val="clear" w:color="auto" w:fill="D9D9D9" w:themeFill="background1" w:themeFillShade="D9"/>
            <w:vAlign w:val="center"/>
          </w:tcPr>
          <w:p w:rsidR="00C71F07" w:rsidRDefault="00C71F07">
            <w:pPr>
              <w:pStyle w:val="BodyText"/>
              <w:spacing w:before="60" w:after="60"/>
              <w:jc w:val="right"/>
              <w:rPr>
                <w:sz w:val="20"/>
                <w:highlight w:val="yellow"/>
              </w:rPr>
            </w:pPr>
            <w:r>
              <w:rPr>
                <w:sz w:val="20"/>
              </w:rPr>
              <w:t>10 per cent higher</w:t>
            </w:r>
            <w:r>
              <w:rPr>
                <w:sz w:val="20"/>
              </w:rPr>
              <w:br/>
              <w:t>(17 participants)</w:t>
            </w:r>
          </w:p>
        </w:tc>
        <w:tc>
          <w:tcPr>
            <w:tcW w:w="1454" w:type="dxa"/>
            <w:gridSpan w:val="2"/>
            <w:shd w:val="clear" w:color="auto" w:fill="D9D9D9" w:themeFill="background1" w:themeFillShade="D9"/>
            <w:vAlign w:val="center"/>
          </w:tcPr>
          <w:p w:rsidR="00C71F07" w:rsidRDefault="00C71F07">
            <w:pPr>
              <w:pStyle w:val="BodyText"/>
              <w:spacing w:before="60" w:after="60"/>
              <w:jc w:val="right"/>
              <w:rPr>
                <w:sz w:val="20"/>
                <w:highlight w:val="yellow"/>
              </w:rPr>
            </w:pPr>
            <w:r>
              <w:rPr>
                <w:sz w:val="20"/>
              </w:rPr>
              <w:t>10 per cent higher</w:t>
            </w:r>
            <w:r>
              <w:rPr>
                <w:sz w:val="20"/>
              </w:rPr>
              <w:br/>
              <w:t>(32 liable parties)</w:t>
            </w:r>
          </w:p>
        </w:tc>
        <w:tc>
          <w:tcPr>
            <w:tcW w:w="1458" w:type="dxa"/>
            <w:shd w:val="clear" w:color="auto" w:fill="D9D9D9" w:themeFill="background1" w:themeFillShade="D9"/>
            <w:vAlign w:val="center"/>
          </w:tcPr>
          <w:p w:rsidR="00C71F07" w:rsidRDefault="00C71F07">
            <w:pPr>
              <w:pStyle w:val="BodyText"/>
              <w:spacing w:before="60" w:after="60"/>
              <w:jc w:val="right"/>
              <w:rPr>
                <w:sz w:val="20"/>
                <w:highlight w:val="yellow"/>
              </w:rPr>
            </w:pPr>
            <w:r>
              <w:rPr>
                <w:sz w:val="20"/>
              </w:rPr>
              <w:t>10 per cent higher</w:t>
            </w:r>
            <w:r>
              <w:rPr>
                <w:sz w:val="20"/>
              </w:rPr>
              <w:br/>
              <w:t>(829 liable parties)</w:t>
            </w:r>
          </w:p>
        </w:tc>
      </w:tr>
    </w:tbl>
    <w:p w:rsidR="006F5750" w:rsidRPr="006F5750" w:rsidRDefault="00E10441" w:rsidP="00AD54B5">
      <w:pPr>
        <w:pStyle w:val="BodyText"/>
      </w:pPr>
      <w:r w:rsidRPr="00E10441">
        <w:t xml:space="preserve">The results under the sensitivity analysis are outlined in </w:t>
      </w:r>
      <w:fldSimple w:instr=" REF _Ref392485011 \h  \* MERGEFORMAT ">
        <w:r w:rsidR="001E5D7A">
          <w:t xml:space="preserve">Table </w:t>
        </w:r>
        <w:r w:rsidR="001E5D7A">
          <w:rPr>
            <w:noProof/>
          </w:rPr>
          <w:t>5</w:t>
        </w:r>
        <w:r w:rsidR="001E5D7A">
          <w:rPr>
            <w:noProof/>
          </w:rPr>
          <w:noBreakHyphen/>
          <w:t>7</w:t>
        </w:r>
      </w:fldSimple>
      <w:r w:rsidR="000E1658">
        <w:t>.</w:t>
      </w:r>
      <w:r w:rsidR="00612435">
        <w:t xml:space="preserve"> The results of the sensitivity analysis include the willingness to pay benefits. </w:t>
      </w:r>
    </w:p>
    <w:p w:rsidR="006F5750" w:rsidRDefault="006F5750" w:rsidP="006F5750">
      <w:pPr>
        <w:pStyle w:val="Caption"/>
      </w:pPr>
      <w:bookmarkStart w:id="91" w:name="_Ref392485011"/>
      <w:r>
        <w:t xml:space="preserve">Table </w:t>
      </w:r>
      <w:r w:rsidR="00586F30">
        <w:fldChar w:fldCharType="begin"/>
      </w:r>
      <w:r w:rsidR="00C478AE">
        <w:instrText xml:space="preserve"> STYLEREF 1 \s </w:instrText>
      </w:r>
      <w:r w:rsidR="00586F30">
        <w:fldChar w:fldCharType="separate"/>
      </w:r>
      <w:r w:rsidR="001E5D7A">
        <w:rPr>
          <w:noProof/>
        </w:rPr>
        <w:t>5</w:t>
      </w:r>
      <w:r w:rsidR="00586F30">
        <w:rPr>
          <w:noProof/>
        </w:rPr>
        <w:fldChar w:fldCharType="end"/>
      </w:r>
      <w:r w:rsidR="00CE3BAC">
        <w:noBreakHyphen/>
      </w:r>
      <w:r w:rsidR="00586F30">
        <w:fldChar w:fldCharType="begin"/>
      </w:r>
      <w:r w:rsidR="00C478AE">
        <w:instrText xml:space="preserve"> SEQ Table \* ARABIC \s 1 </w:instrText>
      </w:r>
      <w:r w:rsidR="00586F30">
        <w:fldChar w:fldCharType="separate"/>
      </w:r>
      <w:r w:rsidR="001E5D7A">
        <w:rPr>
          <w:noProof/>
        </w:rPr>
        <w:t>7</w:t>
      </w:r>
      <w:r w:rsidR="00586F30">
        <w:rPr>
          <w:noProof/>
        </w:rPr>
        <w:fldChar w:fldCharType="end"/>
      </w:r>
      <w:bookmarkEnd w:id="91"/>
      <w:r>
        <w:t xml:space="preserve">: </w:t>
      </w:r>
      <w:r w:rsidR="003C2E6C">
        <w:t>Sensitivity analysis</w:t>
      </w:r>
      <w:r>
        <w:t xml:space="preserve"> results</w:t>
      </w:r>
      <w:r w:rsidR="00245322">
        <w:t>- participation and recovery</w:t>
      </w:r>
      <w:r>
        <w:t xml:space="preserve"> (NPV @ 7% $million 2014)</w:t>
      </w:r>
    </w:p>
    <w:tbl>
      <w:tblPr>
        <w:tblStyle w:val="TableGrid"/>
        <w:tblW w:w="0" w:type="auto"/>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tblPr>
      <w:tblGrid>
        <w:gridCol w:w="2943"/>
        <w:gridCol w:w="1926"/>
        <w:gridCol w:w="1926"/>
        <w:gridCol w:w="1926"/>
      </w:tblGrid>
      <w:tr w:rsidR="00612435" w:rsidRPr="000E144F" w:rsidTr="00612435">
        <w:trPr>
          <w:tblHeader/>
        </w:trPr>
        <w:tc>
          <w:tcPr>
            <w:tcW w:w="2943" w:type="dxa"/>
            <w:vMerge w:val="restart"/>
            <w:shd w:val="clear" w:color="auto" w:fill="1F497D" w:themeFill="text2"/>
          </w:tcPr>
          <w:p w:rsidR="00612435" w:rsidRPr="000E144F" w:rsidRDefault="00612435" w:rsidP="00DC2AD4">
            <w:pPr>
              <w:pStyle w:val="BodyText"/>
              <w:spacing w:before="60" w:after="60"/>
              <w:rPr>
                <w:sz w:val="20"/>
              </w:rPr>
            </w:pPr>
          </w:p>
        </w:tc>
        <w:tc>
          <w:tcPr>
            <w:tcW w:w="5778" w:type="dxa"/>
            <w:gridSpan w:val="3"/>
            <w:shd w:val="clear" w:color="auto" w:fill="1F497D" w:themeFill="text2"/>
            <w:vAlign w:val="center"/>
          </w:tcPr>
          <w:p w:rsidR="00586D48" w:rsidRDefault="00612435">
            <w:pPr>
              <w:pStyle w:val="BodyText"/>
              <w:spacing w:before="60" w:after="60"/>
              <w:jc w:val="center"/>
              <w:rPr>
                <w:b/>
                <w:color w:val="FFFFFF" w:themeColor="background1"/>
                <w:sz w:val="20"/>
              </w:rPr>
            </w:pPr>
            <w:r>
              <w:rPr>
                <w:b/>
                <w:color w:val="FFFFFF" w:themeColor="background1"/>
                <w:sz w:val="20"/>
              </w:rPr>
              <w:t>NPV @ 7% $ million</w:t>
            </w:r>
          </w:p>
        </w:tc>
      </w:tr>
      <w:tr w:rsidR="00612435" w:rsidRPr="000E144F" w:rsidTr="00B519F2">
        <w:trPr>
          <w:tblHeader/>
        </w:trPr>
        <w:tc>
          <w:tcPr>
            <w:tcW w:w="2943" w:type="dxa"/>
            <w:vMerge/>
            <w:shd w:val="clear" w:color="auto" w:fill="1F497D" w:themeFill="text2"/>
          </w:tcPr>
          <w:p w:rsidR="00612435" w:rsidRPr="000E144F" w:rsidRDefault="00612435" w:rsidP="00DC2AD4">
            <w:pPr>
              <w:pStyle w:val="BodyText"/>
              <w:spacing w:before="60" w:after="60"/>
              <w:rPr>
                <w:sz w:val="20"/>
              </w:rPr>
            </w:pPr>
          </w:p>
        </w:tc>
        <w:tc>
          <w:tcPr>
            <w:tcW w:w="1926" w:type="dxa"/>
            <w:shd w:val="clear" w:color="auto" w:fill="1F497D" w:themeFill="text2"/>
          </w:tcPr>
          <w:p w:rsidR="00612435" w:rsidRPr="000E144F" w:rsidRDefault="00612435" w:rsidP="00DC2AD4">
            <w:pPr>
              <w:pStyle w:val="BodyText"/>
              <w:spacing w:before="60" w:after="60"/>
              <w:jc w:val="right"/>
              <w:rPr>
                <w:b/>
                <w:color w:val="FFFFFF" w:themeColor="background1"/>
                <w:sz w:val="20"/>
              </w:rPr>
            </w:pPr>
            <w:r w:rsidRPr="000E144F">
              <w:rPr>
                <w:b/>
                <w:color w:val="FFFFFF" w:themeColor="background1"/>
                <w:sz w:val="20"/>
              </w:rPr>
              <w:t xml:space="preserve">Option 1 – Voluntary </w:t>
            </w:r>
            <w:r>
              <w:rPr>
                <w:b/>
                <w:color w:val="FFFFFF" w:themeColor="background1"/>
                <w:sz w:val="20"/>
              </w:rPr>
              <w:br/>
            </w:r>
            <w:r w:rsidRPr="000E144F">
              <w:rPr>
                <w:b/>
                <w:color w:val="FFFFFF" w:themeColor="background1"/>
                <w:sz w:val="20"/>
              </w:rPr>
              <w:t>Scheme</w:t>
            </w:r>
          </w:p>
        </w:tc>
        <w:tc>
          <w:tcPr>
            <w:tcW w:w="1926" w:type="dxa"/>
            <w:shd w:val="clear" w:color="auto" w:fill="1F497D" w:themeFill="text2"/>
          </w:tcPr>
          <w:p w:rsidR="00612435" w:rsidRPr="000E144F" w:rsidRDefault="00612435" w:rsidP="00DC2AD4">
            <w:pPr>
              <w:pStyle w:val="BodyText"/>
              <w:spacing w:before="60" w:after="60"/>
              <w:jc w:val="right"/>
              <w:rPr>
                <w:b/>
                <w:color w:val="FFFFFF" w:themeColor="background1"/>
                <w:sz w:val="20"/>
              </w:rPr>
            </w:pPr>
            <w:r w:rsidRPr="000E144F">
              <w:rPr>
                <w:b/>
                <w:color w:val="FFFFFF" w:themeColor="background1"/>
                <w:sz w:val="20"/>
              </w:rPr>
              <w:t xml:space="preserve">Option 2 – </w:t>
            </w:r>
            <w:r>
              <w:rPr>
                <w:b/>
                <w:color w:val="FFFFFF" w:themeColor="background1"/>
                <w:sz w:val="20"/>
              </w:rPr>
              <w:br/>
            </w:r>
            <w:r w:rsidRPr="000E144F">
              <w:rPr>
                <w:b/>
                <w:color w:val="FFFFFF" w:themeColor="background1"/>
                <w:sz w:val="20"/>
              </w:rPr>
              <w:t>Co-Regulatory Approach</w:t>
            </w:r>
          </w:p>
        </w:tc>
        <w:tc>
          <w:tcPr>
            <w:tcW w:w="1926" w:type="dxa"/>
            <w:shd w:val="clear" w:color="auto" w:fill="1F497D" w:themeFill="text2"/>
          </w:tcPr>
          <w:p w:rsidR="00612435" w:rsidRPr="000E144F" w:rsidRDefault="00612435" w:rsidP="00DC2AD4">
            <w:pPr>
              <w:pStyle w:val="BodyText"/>
              <w:spacing w:before="60" w:after="60"/>
              <w:jc w:val="right"/>
              <w:rPr>
                <w:b/>
                <w:color w:val="FFFFFF" w:themeColor="background1"/>
                <w:sz w:val="20"/>
              </w:rPr>
            </w:pPr>
            <w:r w:rsidRPr="000E144F">
              <w:rPr>
                <w:b/>
                <w:color w:val="FFFFFF" w:themeColor="background1"/>
                <w:sz w:val="20"/>
              </w:rPr>
              <w:t xml:space="preserve">Option 3 – Mandatory </w:t>
            </w:r>
            <w:r>
              <w:rPr>
                <w:b/>
                <w:color w:val="FFFFFF" w:themeColor="background1"/>
                <w:sz w:val="20"/>
              </w:rPr>
              <w:br/>
            </w:r>
            <w:r w:rsidRPr="000E144F">
              <w:rPr>
                <w:b/>
                <w:color w:val="FFFFFF" w:themeColor="background1"/>
                <w:sz w:val="20"/>
              </w:rPr>
              <w:t>Scheme</w:t>
            </w:r>
          </w:p>
        </w:tc>
      </w:tr>
      <w:tr w:rsidR="004A4B83" w:rsidRPr="000E144F" w:rsidTr="00DC2AD4">
        <w:tc>
          <w:tcPr>
            <w:tcW w:w="8721" w:type="dxa"/>
            <w:gridSpan w:val="4"/>
            <w:shd w:val="clear" w:color="auto" w:fill="C6D9F1" w:themeFill="text2" w:themeFillTint="33"/>
          </w:tcPr>
          <w:p w:rsidR="004A4B83" w:rsidRDefault="004A4B83" w:rsidP="00DC2AD4">
            <w:pPr>
              <w:pStyle w:val="BodyText"/>
              <w:spacing w:before="60" w:after="60"/>
              <w:rPr>
                <w:b/>
                <w:sz w:val="20"/>
              </w:rPr>
            </w:pPr>
            <w:r>
              <w:rPr>
                <w:b/>
                <w:sz w:val="20"/>
              </w:rPr>
              <w:t>Central Assumption</w:t>
            </w:r>
          </w:p>
        </w:tc>
      </w:tr>
      <w:tr w:rsidR="00DA6B3F" w:rsidRPr="000E144F" w:rsidTr="00DA6B3F">
        <w:trPr>
          <w:trHeight w:val="323"/>
        </w:trPr>
        <w:tc>
          <w:tcPr>
            <w:tcW w:w="2943" w:type="dxa"/>
            <w:shd w:val="clear" w:color="auto" w:fill="auto"/>
          </w:tcPr>
          <w:p w:rsidR="00DA6B3F" w:rsidRPr="00245322" w:rsidRDefault="00DA6B3F" w:rsidP="005413FE">
            <w:pPr>
              <w:pStyle w:val="BodyText"/>
              <w:spacing w:before="60" w:after="60"/>
              <w:rPr>
                <w:b/>
                <w:bCs/>
                <w:color w:val="000000"/>
                <w:sz w:val="20"/>
              </w:rPr>
            </w:pPr>
            <w:r w:rsidRPr="00245322">
              <w:rPr>
                <w:b/>
                <w:bCs/>
                <w:color w:val="000000"/>
                <w:sz w:val="20"/>
              </w:rPr>
              <w:t>Total Costs</w:t>
            </w:r>
            <w:r>
              <w:rPr>
                <w:b/>
                <w:bCs/>
                <w:color w:val="000000"/>
                <w:sz w:val="20"/>
              </w:rPr>
              <w:t xml:space="preserve"> </w:t>
            </w:r>
            <w:r w:rsidRPr="00245322">
              <w:rPr>
                <w:b/>
                <w:bCs/>
                <w:color w:val="000000"/>
                <w:sz w:val="20"/>
              </w:rPr>
              <w:t xml:space="preserve">($ </w:t>
            </w:r>
            <w:proofErr w:type="spellStart"/>
            <w:r w:rsidRPr="00245322">
              <w:rPr>
                <w:b/>
                <w:bCs/>
                <w:color w:val="000000"/>
                <w:sz w:val="20"/>
              </w:rPr>
              <w:t>million</w:t>
            </w:r>
            <w:proofErr w:type="spellEnd"/>
            <w:r w:rsidRPr="00245322">
              <w:rPr>
                <w:b/>
                <w:bCs/>
                <w:color w:val="000000"/>
                <w:sz w:val="20"/>
              </w:rPr>
              <w:t>)</w:t>
            </w:r>
          </w:p>
        </w:tc>
        <w:tc>
          <w:tcPr>
            <w:tcW w:w="1926" w:type="dxa"/>
            <w:shd w:val="clear" w:color="auto" w:fill="auto"/>
            <w:vAlign w:val="center"/>
          </w:tcPr>
          <w:p w:rsidR="00DA6B3F" w:rsidRPr="00671098" w:rsidRDefault="00DA6B3F" w:rsidP="00DA6B3F">
            <w:pPr>
              <w:jc w:val="right"/>
              <w:rPr>
                <w:bCs/>
                <w:sz w:val="20"/>
              </w:rPr>
            </w:pPr>
            <w:r>
              <w:rPr>
                <w:b/>
                <w:bCs/>
                <w:color w:val="000000"/>
                <w:sz w:val="20"/>
              </w:rPr>
              <w:t>$39.0</w:t>
            </w:r>
          </w:p>
        </w:tc>
        <w:tc>
          <w:tcPr>
            <w:tcW w:w="1926" w:type="dxa"/>
            <w:shd w:val="clear" w:color="auto" w:fill="auto"/>
            <w:vAlign w:val="center"/>
          </w:tcPr>
          <w:p w:rsidR="00DA6B3F" w:rsidRPr="00671098" w:rsidRDefault="00DA6B3F" w:rsidP="00DA6B3F">
            <w:pPr>
              <w:jc w:val="right"/>
              <w:rPr>
                <w:bCs/>
                <w:sz w:val="20"/>
              </w:rPr>
            </w:pPr>
            <w:r>
              <w:rPr>
                <w:b/>
                <w:bCs/>
                <w:color w:val="000000"/>
                <w:sz w:val="20"/>
              </w:rPr>
              <w:t>$97.6</w:t>
            </w:r>
          </w:p>
        </w:tc>
        <w:tc>
          <w:tcPr>
            <w:tcW w:w="1926" w:type="dxa"/>
            <w:shd w:val="clear" w:color="auto" w:fill="auto"/>
            <w:vAlign w:val="center"/>
          </w:tcPr>
          <w:p w:rsidR="00DA6B3F" w:rsidRPr="00671098" w:rsidRDefault="00DA6B3F" w:rsidP="00DA6B3F">
            <w:pPr>
              <w:jc w:val="right"/>
              <w:rPr>
                <w:bCs/>
                <w:sz w:val="20"/>
              </w:rPr>
            </w:pPr>
            <w:r>
              <w:rPr>
                <w:b/>
                <w:bCs/>
                <w:color w:val="000000"/>
                <w:sz w:val="20"/>
              </w:rPr>
              <w:t>$325.8</w:t>
            </w:r>
          </w:p>
        </w:tc>
      </w:tr>
      <w:tr w:rsidR="00DA6B3F" w:rsidRPr="000E144F" w:rsidTr="00DA6B3F">
        <w:trPr>
          <w:trHeight w:val="323"/>
        </w:trPr>
        <w:tc>
          <w:tcPr>
            <w:tcW w:w="2943" w:type="dxa"/>
            <w:shd w:val="clear" w:color="auto" w:fill="auto"/>
          </w:tcPr>
          <w:p w:rsidR="00DA6B3F" w:rsidRPr="00245322" w:rsidRDefault="00DA6B3F" w:rsidP="005413FE">
            <w:pPr>
              <w:pStyle w:val="BodyText"/>
              <w:spacing w:before="60" w:after="60"/>
              <w:rPr>
                <w:b/>
                <w:bCs/>
                <w:color w:val="000000"/>
                <w:sz w:val="20"/>
              </w:rPr>
            </w:pPr>
            <w:r w:rsidRPr="00245322">
              <w:rPr>
                <w:b/>
                <w:bCs/>
                <w:color w:val="000000"/>
                <w:sz w:val="20"/>
              </w:rPr>
              <w:t>Total Benefits</w:t>
            </w:r>
            <w:r>
              <w:rPr>
                <w:b/>
                <w:bCs/>
                <w:color w:val="000000"/>
                <w:sz w:val="20"/>
              </w:rPr>
              <w:t xml:space="preserve"> </w:t>
            </w:r>
            <w:r w:rsidRPr="00245322">
              <w:rPr>
                <w:b/>
                <w:bCs/>
                <w:color w:val="000000"/>
                <w:sz w:val="20"/>
              </w:rPr>
              <w:t xml:space="preserve">($ </w:t>
            </w:r>
            <w:proofErr w:type="spellStart"/>
            <w:r w:rsidRPr="00245322">
              <w:rPr>
                <w:b/>
                <w:bCs/>
                <w:color w:val="000000"/>
                <w:sz w:val="20"/>
              </w:rPr>
              <w:t>million</w:t>
            </w:r>
            <w:proofErr w:type="spellEnd"/>
            <w:r w:rsidRPr="00245322">
              <w:rPr>
                <w:b/>
                <w:bCs/>
                <w:color w:val="000000"/>
                <w:sz w:val="20"/>
              </w:rPr>
              <w:t>)</w:t>
            </w:r>
          </w:p>
        </w:tc>
        <w:tc>
          <w:tcPr>
            <w:tcW w:w="1926" w:type="dxa"/>
            <w:shd w:val="clear" w:color="auto" w:fill="auto"/>
            <w:vAlign w:val="center"/>
          </w:tcPr>
          <w:p w:rsidR="00DA6B3F" w:rsidRPr="00671098" w:rsidRDefault="00DA6B3F" w:rsidP="00DA6B3F">
            <w:pPr>
              <w:jc w:val="right"/>
              <w:rPr>
                <w:bCs/>
                <w:sz w:val="20"/>
              </w:rPr>
            </w:pPr>
            <w:r>
              <w:rPr>
                <w:b/>
                <w:bCs/>
                <w:color w:val="000000"/>
                <w:sz w:val="20"/>
              </w:rPr>
              <w:t>$11.5</w:t>
            </w:r>
          </w:p>
        </w:tc>
        <w:tc>
          <w:tcPr>
            <w:tcW w:w="1926" w:type="dxa"/>
            <w:shd w:val="clear" w:color="auto" w:fill="auto"/>
            <w:vAlign w:val="center"/>
          </w:tcPr>
          <w:p w:rsidR="00DA6B3F" w:rsidRPr="00671098" w:rsidRDefault="00DA6B3F" w:rsidP="00DA6B3F">
            <w:pPr>
              <w:jc w:val="right"/>
              <w:rPr>
                <w:bCs/>
                <w:sz w:val="20"/>
              </w:rPr>
            </w:pPr>
            <w:r>
              <w:rPr>
                <w:b/>
                <w:bCs/>
                <w:color w:val="000000"/>
                <w:sz w:val="20"/>
              </w:rPr>
              <w:t>$33.5</w:t>
            </w:r>
          </w:p>
        </w:tc>
        <w:tc>
          <w:tcPr>
            <w:tcW w:w="1926" w:type="dxa"/>
            <w:shd w:val="clear" w:color="auto" w:fill="auto"/>
            <w:vAlign w:val="center"/>
          </w:tcPr>
          <w:p w:rsidR="00DA6B3F" w:rsidRPr="00671098" w:rsidRDefault="00DA6B3F" w:rsidP="00DA6B3F">
            <w:pPr>
              <w:jc w:val="right"/>
              <w:rPr>
                <w:bCs/>
                <w:sz w:val="20"/>
              </w:rPr>
            </w:pPr>
            <w:r>
              <w:rPr>
                <w:b/>
                <w:bCs/>
                <w:color w:val="000000"/>
                <w:sz w:val="20"/>
              </w:rPr>
              <w:t>$170.6</w:t>
            </w:r>
          </w:p>
        </w:tc>
      </w:tr>
      <w:tr w:rsidR="00DA6B3F" w:rsidRPr="000E144F" w:rsidTr="00DA6B3F">
        <w:trPr>
          <w:trHeight w:val="323"/>
        </w:trPr>
        <w:tc>
          <w:tcPr>
            <w:tcW w:w="2943" w:type="dxa"/>
            <w:shd w:val="clear" w:color="auto" w:fill="auto"/>
          </w:tcPr>
          <w:p w:rsidR="00DA6B3F" w:rsidRPr="00245322" w:rsidRDefault="00DA6B3F" w:rsidP="005413FE">
            <w:pPr>
              <w:pStyle w:val="BodyText"/>
              <w:spacing w:before="60" w:after="60"/>
              <w:rPr>
                <w:b/>
                <w:sz w:val="20"/>
              </w:rPr>
            </w:pPr>
            <w:r w:rsidRPr="00245322">
              <w:rPr>
                <w:b/>
                <w:bCs/>
                <w:color w:val="000000"/>
                <w:sz w:val="20"/>
              </w:rPr>
              <w:t xml:space="preserve">NPV ($ </w:t>
            </w:r>
            <w:proofErr w:type="spellStart"/>
            <w:r w:rsidRPr="00245322">
              <w:rPr>
                <w:b/>
                <w:bCs/>
                <w:color w:val="000000"/>
                <w:sz w:val="20"/>
              </w:rPr>
              <w:t>million</w:t>
            </w:r>
            <w:proofErr w:type="spellEnd"/>
            <w:r w:rsidRPr="00245322">
              <w:rPr>
                <w:b/>
                <w:bCs/>
                <w:color w:val="000000"/>
                <w:sz w:val="20"/>
              </w:rPr>
              <w:t>)</w:t>
            </w:r>
          </w:p>
        </w:tc>
        <w:tc>
          <w:tcPr>
            <w:tcW w:w="1926" w:type="dxa"/>
            <w:shd w:val="clear" w:color="auto" w:fill="auto"/>
            <w:vAlign w:val="center"/>
          </w:tcPr>
          <w:p w:rsidR="00DA6B3F" w:rsidRPr="002744CB" w:rsidRDefault="00DA6B3F" w:rsidP="00DA6B3F">
            <w:pPr>
              <w:jc w:val="right"/>
              <w:rPr>
                <w:sz w:val="20"/>
              </w:rPr>
            </w:pPr>
            <w:r w:rsidRPr="002744CB">
              <w:rPr>
                <w:sz w:val="20"/>
              </w:rPr>
              <w:t>-$27.4</w:t>
            </w:r>
          </w:p>
        </w:tc>
        <w:tc>
          <w:tcPr>
            <w:tcW w:w="1926" w:type="dxa"/>
            <w:shd w:val="clear" w:color="auto" w:fill="auto"/>
            <w:vAlign w:val="center"/>
          </w:tcPr>
          <w:p w:rsidR="00DA6B3F" w:rsidRPr="002744CB" w:rsidRDefault="00DA6B3F" w:rsidP="00DA6B3F">
            <w:pPr>
              <w:jc w:val="right"/>
              <w:rPr>
                <w:sz w:val="20"/>
              </w:rPr>
            </w:pPr>
            <w:r w:rsidRPr="002744CB">
              <w:rPr>
                <w:sz w:val="20"/>
              </w:rPr>
              <w:t>-$64.1</w:t>
            </w:r>
          </w:p>
        </w:tc>
        <w:tc>
          <w:tcPr>
            <w:tcW w:w="1926" w:type="dxa"/>
            <w:shd w:val="clear" w:color="auto" w:fill="auto"/>
            <w:vAlign w:val="center"/>
          </w:tcPr>
          <w:p w:rsidR="00DA6B3F" w:rsidRPr="002744CB" w:rsidRDefault="00DA6B3F" w:rsidP="00DA6B3F">
            <w:pPr>
              <w:jc w:val="right"/>
              <w:rPr>
                <w:sz w:val="20"/>
              </w:rPr>
            </w:pPr>
            <w:r w:rsidRPr="002744CB">
              <w:rPr>
                <w:sz w:val="20"/>
              </w:rPr>
              <w:t>-$155.2</w:t>
            </w:r>
          </w:p>
        </w:tc>
      </w:tr>
      <w:tr w:rsidR="00DA6B3F" w:rsidRPr="000E144F" w:rsidTr="00DA6B3F">
        <w:trPr>
          <w:trHeight w:val="321"/>
        </w:trPr>
        <w:tc>
          <w:tcPr>
            <w:tcW w:w="2943" w:type="dxa"/>
            <w:shd w:val="clear" w:color="auto" w:fill="auto"/>
          </w:tcPr>
          <w:p w:rsidR="00DA6B3F" w:rsidRPr="00245322" w:rsidRDefault="00DA6B3F" w:rsidP="005413FE">
            <w:pPr>
              <w:pStyle w:val="BodyText"/>
              <w:spacing w:before="60" w:after="60"/>
              <w:rPr>
                <w:b/>
                <w:sz w:val="20"/>
              </w:rPr>
            </w:pPr>
            <w:r w:rsidRPr="00245322">
              <w:rPr>
                <w:b/>
                <w:bCs/>
                <w:color w:val="000000"/>
                <w:sz w:val="20"/>
              </w:rPr>
              <w:t xml:space="preserve">BCR </w:t>
            </w:r>
          </w:p>
        </w:tc>
        <w:tc>
          <w:tcPr>
            <w:tcW w:w="1926" w:type="dxa"/>
            <w:shd w:val="clear" w:color="auto" w:fill="auto"/>
            <w:vAlign w:val="center"/>
          </w:tcPr>
          <w:p w:rsidR="00DA6B3F" w:rsidRPr="002744CB" w:rsidRDefault="00DA6B3F" w:rsidP="00DA6B3F">
            <w:pPr>
              <w:jc w:val="right"/>
              <w:rPr>
                <w:sz w:val="20"/>
              </w:rPr>
            </w:pPr>
            <w:r w:rsidRPr="002744CB">
              <w:rPr>
                <w:sz w:val="20"/>
              </w:rPr>
              <w:t>0.30</w:t>
            </w:r>
          </w:p>
        </w:tc>
        <w:tc>
          <w:tcPr>
            <w:tcW w:w="1926" w:type="dxa"/>
            <w:shd w:val="clear" w:color="auto" w:fill="auto"/>
            <w:vAlign w:val="center"/>
          </w:tcPr>
          <w:p w:rsidR="00DA6B3F" w:rsidRPr="002744CB" w:rsidRDefault="00DA6B3F" w:rsidP="00DA6B3F">
            <w:pPr>
              <w:jc w:val="right"/>
              <w:rPr>
                <w:sz w:val="20"/>
              </w:rPr>
            </w:pPr>
            <w:r w:rsidRPr="002744CB">
              <w:rPr>
                <w:sz w:val="20"/>
              </w:rPr>
              <w:t>0.34</w:t>
            </w:r>
          </w:p>
        </w:tc>
        <w:tc>
          <w:tcPr>
            <w:tcW w:w="1926" w:type="dxa"/>
            <w:shd w:val="clear" w:color="auto" w:fill="auto"/>
            <w:vAlign w:val="center"/>
          </w:tcPr>
          <w:p w:rsidR="00DA6B3F" w:rsidRPr="002744CB" w:rsidRDefault="00DA6B3F" w:rsidP="00DA6B3F">
            <w:pPr>
              <w:jc w:val="right"/>
              <w:rPr>
                <w:sz w:val="20"/>
              </w:rPr>
            </w:pPr>
            <w:r w:rsidRPr="002744CB">
              <w:rPr>
                <w:sz w:val="20"/>
              </w:rPr>
              <w:t>0.52</w:t>
            </w:r>
          </w:p>
        </w:tc>
      </w:tr>
      <w:tr w:rsidR="0060312D" w:rsidRPr="000E144F" w:rsidTr="00DA6B3F">
        <w:tc>
          <w:tcPr>
            <w:tcW w:w="8721" w:type="dxa"/>
            <w:gridSpan w:val="4"/>
            <w:shd w:val="clear" w:color="auto" w:fill="C6D9F1" w:themeFill="text2" w:themeFillTint="33"/>
            <w:vAlign w:val="center"/>
          </w:tcPr>
          <w:p w:rsidR="0060312D" w:rsidRPr="000E144F" w:rsidRDefault="0060312D" w:rsidP="00DA6B3F">
            <w:pPr>
              <w:pStyle w:val="BodyText"/>
              <w:spacing w:before="60" w:after="60"/>
              <w:jc w:val="left"/>
              <w:rPr>
                <w:sz w:val="20"/>
              </w:rPr>
            </w:pPr>
            <w:r>
              <w:rPr>
                <w:b/>
                <w:sz w:val="20"/>
              </w:rPr>
              <w:t>Low participation and recovery</w:t>
            </w:r>
          </w:p>
        </w:tc>
      </w:tr>
      <w:tr w:rsidR="00594660" w:rsidRPr="000E144F" w:rsidTr="00DA6B3F">
        <w:tc>
          <w:tcPr>
            <w:tcW w:w="2943" w:type="dxa"/>
          </w:tcPr>
          <w:p w:rsidR="00594660" w:rsidRPr="00245322" w:rsidRDefault="00594660" w:rsidP="005413FE">
            <w:pPr>
              <w:pStyle w:val="BodyText"/>
              <w:spacing w:before="60" w:after="60"/>
              <w:rPr>
                <w:b/>
                <w:bCs/>
                <w:color w:val="000000"/>
                <w:sz w:val="20"/>
              </w:rPr>
            </w:pPr>
            <w:r w:rsidRPr="00245322">
              <w:rPr>
                <w:b/>
                <w:bCs/>
                <w:color w:val="000000"/>
                <w:sz w:val="20"/>
              </w:rPr>
              <w:lastRenderedPageBreak/>
              <w:t>Total Costs</w:t>
            </w:r>
            <w:r>
              <w:rPr>
                <w:b/>
                <w:bCs/>
                <w:color w:val="000000"/>
                <w:sz w:val="20"/>
              </w:rPr>
              <w:t xml:space="preserve"> </w:t>
            </w:r>
            <w:r w:rsidRPr="00245322">
              <w:rPr>
                <w:b/>
                <w:bCs/>
                <w:color w:val="000000"/>
                <w:sz w:val="20"/>
              </w:rPr>
              <w:t xml:space="preserve">($ </w:t>
            </w:r>
            <w:proofErr w:type="spellStart"/>
            <w:r w:rsidRPr="00245322">
              <w:rPr>
                <w:b/>
                <w:bCs/>
                <w:color w:val="000000"/>
                <w:sz w:val="20"/>
              </w:rPr>
              <w:t>million</w:t>
            </w:r>
            <w:proofErr w:type="spellEnd"/>
            <w:r w:rsidRPr="00245322">
              <w:rPr>
                <w:b/>
                <w:bCs/>
                <w:color w:val="000000"/>
                <w:sz w:val="20"/>
              </w:rPr>
              <w:t>)</w:t>
            </w:r>
          </w:p>
        </w:tc>
        <w:tc>
          <w:tcPr>
            <w:tcW w:w="1926" w:type="dxa"/>
            <w:vAlign w:val="center"/>
          </w:tcPr>
          <w:p w:rsidR="00594660" w:rsidRPr="0060312D" w:rsidRDefault="00594660" w:rsidP="00DA6B3F">
            <w:pPr>
              <w:pStyle w:val="BodyText"/>
              <w:spacing w:before="60" w:after="60"/>
              <w:jc w:val="right"/>
              <w:rPr>
                <w:sz w:val="20"/>
              </w:rPr>
            </w:pPr>
            <w:r>
              <w:rPr>
                <w:b/>
                <w:bCs/>
                <w:color w:val="000000"/>
                <w:sz w:val="20"/>
              </w:rPr>
              <w:t>$29.8</w:t>
            </w:r>
          </w:p>
        </w:tc>
        <w:tc>
          <w:tcPr>
            <w:tcW w:w="1926" w:type="dxa"/>
            <w:vAlign w:val="center"/>
          </w:tcPr>
          <w:p w:rsidR="00594660" w:rsidRPr="0060312D" w:rsidRDefault="00594660" w:rsidP="00DA6B3F">
            <w:pPr>
              <w:pStyle w:val="BodyText"/>
              <w:spacing w:before="60" w:after="60"/>
              <w:jc w:val="right"/>
              <w:rPr>
                <w:sz w:val="20"/>
              </w:rPr>
            </w:pPr>
            <w:r>
              <w:rPr>
                <w:b/>
                <w:bCs/>
                <w:color w:val="000000"/>
                <w:sz w:val="20"/>
              </w:rPr>
              <w:t>$70.0</w:t>
            </w:r>
          </w:p>
        </w:tc>
        <w:tc>
          <w:tcPr>
            <w:tcW w:w="1926" w:type="dxa"/>
            <w:vAlign w:val="center"/>
          </w:tcPr>
          <w:p w:rsidR="00594660" w:rsidRPr="0060312D" w:rsidRDefault="00594660" w:rsidP="00DA6B3F">
            <w:pPr>
              <w:pStyle w:val="BodyText"/>
              <w:spacing w:before="60" w:after="60"/>
              <w:jc w:val="right"/>
              <w:rPr>
                <w:sz w:val="20"/>
              </w:rPr>
            </w:pPr>
            <w:r>
              <w:rPr>
                <w:b/>
                <w:bCs/>
                <w:color w:val="000000"/>
                <w:sz w:val="20"/>
              </w:rPr>
              <w:t>$275.7</w:t>
            </w:r>
          </w:p>
        </w:tc>
      </w:tr>
      <w:tr w:rsidR="00594660" w:rsidRPr="000E144F" w:rsidTr="00DA6B3F">
        <w:tc>
          <w:tcPr>
            <w:tcW w:w="2943" w:type="dxa"/>
          </w:tcPr>
          <w:p w:rsidR="00594660" w:rsidRPr="00245322" w:rsidRDefault="00594660" w:rsidP="005413FE">
            <w:pPr>
              <w:pStyle w:val="BodyText"/>
              <w:spacing w:before="60" w:after="60"/>
              <w:rPr>
                <w:b/>
                <w:bCs/>
                <w:color w:val="000000"/>
                <w:sz w:val="20"/>
              </w:rPr>
            </w:pPr>
            <w:r w:rsidRPr="00245322">
              <w:rPr>
                <w:b/>
                <w:bCs/>
                <w:color w:val="000000"/>
                <w:sz w:val="20"/>
              </w:rPr>
              <w:t>Total Benefits</w:t>
            </w:r>
            <w:r>
              <w:rPr>
                <w:b/>
                <w:bCs/>
                <w:color w:val="000000"/>
                <w:sz w:val="20"/>
              </w:rPr>
              <w:t xml:space="preserve"> </w:t>
            </w:r>
            <w:r w:rsidRPr="00245322">
              <w:rPr>
                <w:b/>
                <w:bCs/>
                <w:color w:val="000000"/>
                <w:sz w:val="20"/>
              </w:rPr>
              <w:t xml:space="preserve">($ </w:t>
            </w:r>
            <w:proofErr w:type="spellStart"/>
            <w:r w:rsidRPr="00245322">
              <w:rPr>
                <w:b/>
                <w:bCs/>
                <w:color w:val="000000"/>
                <w:sz w:val="20"/>
              </w:rPr>
              <w:t>million</w:t>
            </w:r>
            <w:proofErr w:type="spellEnd"/>
            <w:r w:rsidRPr="00245322">
              <w:rPr>
                <w:b/>
                <w:bCs/>
                <w:color w:val="000000"/>
                <w:sz w:val="20"/>
              </w:rPr>
              <w:t>)</w:t>
            </w:r>
          </w:p>
        </w:tc>
        <w:tc>
          <w:tcPr>
            <w:tcW w:w="1926" w:type="dxa"/>
            <w:vAlign w:val="center"/>
          </w:tcPr>
          <w:p w:rsidR="00594660" w:rsidRPr="0060312D" w:rsidRDefault="00594660" w:rsidP="00DA6B3F">
            <w:pPr>
              <w:pStyle w:val="BodyText"/>
              <w:spacing w:before="60" w:after="60"/>
              <w:jc w:val="right"/>
              <w:rPr>
                <w:sz w:val="20"/>
              </w:rPr>
            </w:pPr>
            <w:r>
              <w:rPr>
                <w:b/>
                <w:bCs/>
                <w:color w:val="000000"/>
                <w:sz w:val="20"/>
              </w:rPr>
              <w:t>$5.7</w:t>
            </w:r>
          </w:p>
        </w:tc>
        <w:tc>
          <w:tcPr>
            <w:tcW w:w="1926" w:type="dxa"/>
            <w:vAlign w:val="center"/>
          </w:tcPr>
          <w:p w:rsidR="00594660" w:rsidRPr="0060312D" w:rsidRDefault="00594660" w:rsidP="00DA6B3F">
            <w:pPr>
              <w:pStyle w:val="BodyText"/>
              <w:spacing w:before="60" w:after="60"/>
              <w:jc w:val="right"/>
              <w:rPr>
                <w:sz w:val="20"/>
              </w:rPr>
            </w:pPr>
            <w:r>
              <w:rPr>
                <w:b/>
                <w:bCs/>
                <w:color w:val="000000"/>
                <w:sz w:val="20"/>
              </w:rPr>
              <w:t>$17.4</w:t>
            </w:r>
          </w:p>
        </w:tc>
        <w:tc>
          <w:tcPr>
            <w:tcW w:w="1926" w:type="dxa"/>
            <w:vAlign w:val="center"/>
          </w:tcPr>
          <w:p w:rsidR="00594660" w:rsidRPr="0060312D" w:rsidRDefault="00594660" w:rsidP="00DA6B3F">
            <w:pPr>
              <w:pStyle w:val="BodyText"/>
              <w:spacing w:before="60" w:after="60"/>
              <w:jc w:val="right"/>
              <w:rPr>
                <w:sz w:val="20"/>
              </w:rPr>
            </w:pPr>
            <w:r>
              <w:rPr>
                <w:b/>
                <w:bCs/>
                <w:color w:val="000000"/>
                <w:sz w:val="20"/>
              </w:rPr>
              <w:t>$121.1</w:t>
            </w:r>
          </w:p>
        </w:tc>
      </w:tr>
      <w:tr w:rsidR="00594660" w:rsidRPr="000E144F" w:rsidTr="00DA6B3F">
        <w:tc>
          <w:tcPr>
            <w:tcW w:w="2943" w:type="dxa"/>
          </w:tcPr>
          <w:p w:rsidR="00594660" w:rsidRPr="00245322" w:rsidRDefault="00594660" w:rsidP="005413FE">
            <w:pPr>
              <w:pStyle w:val="BodyText"/>
              <w:spacing w:before="60" w:after="60"/>
              <w:rPr>
                <w:b/>
                <w:sz w:val="20"/>
              </w:rPr>
            </w:pPr>
            <w:r w:rsidRPr="00245322">
              <w:rPr>
                <w:b/>
                <w:bCs/>
                <w:color w:val="000000"/>
                <w:sz w:val="20"/>
              </w:rPr>
              <w:t xml:space="preserve">NPV ($ </w:t>
            </w:r>
            <w:proofErr w:type="spellStart"/>
            <w:r w:rsidRPr="00245322">
              <w:rPr>
                <w:b/>
                <w:bCs/>
                <w:color w:val="000000"/>
                <w:sz w:val="20"/>
              </w:rPr>
              <w:t>million</w:t>
            </w:r>
            <w:proofErr w:type="spellEnd"/>
            <w:r w:rsidRPr="00245322">
              <w:rPr>
                <w:b/>
                <w:bCs/>
                <w:color w:val="000000"/>
                <w:sz w:val="20"/>
              </w:rPr>
              <w:t>)</w:t>
            </w:r>
          </w:p>
        </w:tc>
        <w:tc>
          <w:tcPr>
            <w:tcW w:w="1926" w:type="dxa"/>
            <w:vAlign w:val="center"/>
          </w:tcPr>
          <w:p w:rsidR="00594660" w:rsidRPr="002744CB" w:rsidRDefault="00594660" w:rsidP="00DA6B3F">
            <w:pPr>
              <w:pStyle w:val="BodyText"/>
              <w:spacing w:before="60" w:after="60"/>
              <w:jc w:val="right"/>
              <w:rPr>
                <w:sz w:val="20"/>
              </w:rPr>
            </w:pPr>
            <w:r w:rsidRPr="002744CB">
              <w:rPr>
                <w:sz w:val="20"/>
              </w:rPr>
              <w:t>-$24.0</w:t>
            </w:r>
          </w:p>
        </w:tc>
        <w:tc>
          <w:tcPr>
            <w:tcW w:w="1926" w:type="dxa"/>
            <w:vAlign w:val="center"/>
          </w:tcPr>
          <w:p w:rsidR="00594660" w:rsidRPr="002744CB" w:rsidRDefault="00594660" w:rsidP="00DA6B3F">
            <w:pPr>
              <w:pStyle w:val="BodyText"/>
              <w:spacing w:before="60" w:after="60"/>
              <w:jc w:val="right"/>
              <w:rPr>
                <w:sz w:val="20"/>
              </w:rPr>
            </w:pPr>
            <w:r w:rsidRPr="002744CB">
              <w:rPr>
                <w:sz w:val="20"/>
              </w:rPr>
              <w:t>-$52.6</w:t>
            </w:r>
          </w:p>
        </w:tc>
        <w:tc>
          <w:tcPr>
            <w:tcW w:w="1926" w:type="dxa"/>
            <w:vAlign w:val="center"/>
          </w:tcPr>
          <w:p w:rsidR="00594660" w:rsidRPr="002744CB" w:rsidRDefault="00594660" w:rsidP="00DA6B3F">
            <w:pPr>
              <w:pStyle w:val="BodyText"/>
              <w:spacing w:before="60" w:after="60"/>
              <w:jc w:val="right"/>
              <w:rPr>
                <w:sz w:val="20"/>
              </w:rPr>
            </w:pPr>
            <w:r w:rsidRPr="002744CB">
              <w:rPr>
                <w:sz w:val="20"/>
              </w:rPr>
              <w:t>-$154.6</w:t>
            </w:r>
          </w:p>
        </w:tc>
      </w:tr>
      <w:tr w:rsidR="00594660" w:rsidRPr="000E144F" w:rsidTr="00DA6B3F">
        <w:tc>
          <w:tcPr>
            <w:tcW w:w="2943" w:type="dxa"/>
          </w:tcPr>
          <w:p w:rsidR="00594660" w:rsidRPr="00245322" w:rsidRDefault="00594660" w:rsidP="005413FE">
            <w:pPr>
              <w:pStyle w:val="BodyText"/>
              <w:spacing w:before="60" w:after="60"/>
              <w:rPr>
                <w:b/>
                <w:sz w:val="20"/>
              </w:rPr>
            </w:pPr>
            <w:r w:rsidRPr="00245322">
              <w:rPr>
                <w:b/>
                <w:bCs/>
                <w:color w:val="000000"/>
                <w:sz w:val="20"/>
              </w:rPr>
              <w:t xml:space="preserve">BCR </w:t>
            </w:r>
          </w:p>
        </w:tc>
        <w:tc>
          <w:tcPr>
            <w:tcW w:w="1926" w:type="dxa"/>
            <w:vAlign w:val="center"/>
          </w:tcPr>
          <w:p w:rsidR="00594660" w:rsidRPr="002744CB" w:rsidRDefault="00594660" w:rsidP="00DA6B3F">
            <w:pPr>
              <w:pStyle w:val="BodyText"/>
              <w:spacing w:before="60" w:after="60"/>
              <w:jc w:val="right"/>
              <w:rPr>
                <w:sz w:val="20"/>
              </w:rPr>
            </w:pPr>
            <w:r w:rsidRPr="002744CB">
              <w:rPr>
                <w:sz w:val="20"/>
              </w:rPr>
              <w:t>0.19</w:t>
            </w:r>
          </w:p>
        </w:tc>
        <w:tc>
          <w:tcPr>
            <w:tcW w:w="1926" w:type="dxa"/>
            <w:vAlign w:val="center"/>
          </w:tcPr>
          <w:p w:rsidR="00594660" w:rsidRPr="002744CB" w:rsidRDefault="00594660" w:rsidP="00DA6B3F">
            <w:pPr>
              <w:pStyle w:val="BodyText"/>
              <w:spacing w:before="60" w:after="60"/>
              <w:jc w:val="right"/>
              <w:rPr>
                <w:sz w:val="20"/>
                <w:highlight w:val="yellow"/>
              </w:rPr>
            </w:pPr>
            <w:r w:rsidRPr="002744CB">
              <w:rPr>
                <w:sz w:val="20"/>
              </w:rPr>
              <w:t>0.25</w:t>
            </w:r>
          </w:p>
        </w:tc>
        <w:tc>
          <w:tcPr>
            <w:tcW w:w="1926" w:type="dxa"/>
            <w:vAlign w:val="center"/>
          </w:tcPr>
          <w:p w:rsidR="00594660" w:rsidRPr="002744CB" w:rsidRDefault="00594660" w:rsidP="00DA6B3F">
            <w:pPr>
              <w:pStyle w:val="BodyText"/>
              <w:spacing w:before="60" w:after="60"/>
              <w:jc w:val="right"/>
              <w:rPr>
                <w:sz w:val="20"/>
                <w:highlight w:val="yellow"/>
              </w:rPr>
            </w:pPr>
            <w:r w:rsidRPr="002744CB">
              <w:rPr>
                <w:sz w:val="20"/>
              </w:rPr>
              <w:t>0.44</w:t>
            </w:r>
          </w:p>
        </w:tc>
      </w:tr>
      <w:tr w:rsidR="0060312D" w:rsidRPr="000E144F" w:rsidTr="00DA6B3F">
        <w:tc>
          <w:tcPr>
            <w:tcW w:w="8721" w:type="dxa"/>
            <w:gridSpan w:val="4"/>
            <w:shd w:val="clear" w:color="auto" w:fill="C6D9F1" w:themeFill="text2" w:themeFillTint="33"/>
            <w:vAlign w:val="center"/>
          </w:tcPr>
          <w:p w:rsidR="0060312D" w:rsidRPr="000E144F" w:rsidRDefault="0060312D" w:rsidP="00DA6B3F">
            <w:pPr>
              <w:pStyle w:val="BodyText"/>
              <w:spacing w:before="60" w:after="60"/>
              <w:jc w:val="left"/>
              <w:rPr>
                <w:sz w:val="20"/>
              </w:rPr>
            </w:pPr>
            <w:r w:rsidRPr="0085085D">
              <w:rPr>
                <w:b/>
                <w:sz w:val="20"/>
              </w:rPr>
              <w:t>High</w:t>
            </w:r>
            <w:r>
              <w:rPr>
                <w:b/>
                <w:sz w:val="20"/>
              </w:rPr>
              <w:t xml:space="preserve"> participation and recovery</w:t>
            </w:r>
          </w:p>
        </w:tc>
      </w:tr>
      <w:tr w:rsidR="00DA6B3F" w:rsidRPr="000E144F" w:rsidTr="00DA6B3F">
        <w:tc>
          <w:tcPr>
            <w:tcW w:w="2943" w:type="dxa"/>
            <w:shd w:val="clear" w:color="auto" w:fill="auto"/>
          </w:tcPr>
          <w:p w:rsidR="00DA6B3F" w:rsidRPr="00245322" w:rsidRDefault="00DA6B3F" w:rsidP="005413FE">
            <w:pPr>
              <w:pStyle w:val="BodyText"/>
              <w:spacing w:before="60" w:after="60"/>
              <w:rPr>
                <w:b/>
                <w:bCs/>
                <w:color w:val="000000"/>
                <w:sz w:val="20"/>
              </w:rPr>
            </w:pPr>
            <w:r w:rsidRPr="00245322">
              <w:rPr>
                <w:b/>
                <w:bCs/>
                <w:color w:val="000000"/>
                <w:sz w:val="20"/>
              </w:rPr>
              <w:t>Total Costs</w:t>
            </w:r>
            <w:r>
              <w:rPr>
                <w:b/>
                <w:bCs/>
                <w:color w:val="000000"/>
                <w:sz w:val="20"/>
              </w:rPr>
              <w:t xml:space="preserve"> </w:t>
            </w:r>
            <w:r w:rsidRPr="00245322">
              <w:rPr>
                <w:b/>
                <w:bCs/>
                <w:color w:val="000000"/>
                <w:sz w:val="20"/>
              </w:rPr>
              <w:t xml:space="preserve">($ </w:t>
            </w:r>
            <w:proofErr w:type="spellStart"/>
            <w:r w:rsidRPr="00245322">
              <w:rPr>
                <w:b/>
                <w:bCs/>
                <w:color w:val="000000"/>
                <w:sz w:val="20"/>
              </w:rPr>
              <w:t>million</w:t>
            </w:r>
            <w:proofErr w:type="spellEnd"/>
            <w:r w:rsidRPr="00245322">
              <w:rPr>
                <w:b/>
                <w:bCs/>
                <w:color w:val="000000"/>
                <w:sz w:val="20"/>
              </w:rPr>
              <w:t>)</w:t>
            </w:r>
          </w:p>
        </w:tc>
        <w:tc>
          <w:tcPr>
            <w:tcW w:w="1926" w:type="dxa"/>
            <w:shd w:val="clear" w:color="auto" w:fill="auto"/>
            <w:vAlign w:val="center"/>
          </w:tcPr>
          <w:p w:rsidR="00DA6B3F" w:rsidRPr="002744CB" w:rsidRDefault="00DA6B3F" w:rsidP="00DA6B3F">
            <w:pPr>
              <w:pStyle w:val="BodyText"/>
              <w:spacing w:before="60" w:after="60"/>
              <w:jc w:val="right"/>
              <w:rPr>
                <w:sz w:val="20"/>
              </w:rPr>
            </w:pPr>
            <w:r w:rsidRPr="002744CB">
              <w:rPr>
                <w:b/>
                <w:bCs/>
                <w:sz w:val="20"/>
              </w:rPr>
              <w:t>$41.7</w:t>
            </w:r>
          </w:p>
        </w:tc>
        <w:tc>
          <w:tcPr>
            <w:tcW w:w="1926" w:type="dxa"/>
            <w:shd w:val="clear" w:color="auto" w:fill="auto"/>
            <w:vAlign w:val="center"/>
          </w:tcPr>
          <w:p w:rsidR="00DA6B3F" w:rsidRPr="002744CB" w:rsidRDefault="00DA6B3F" w:rsidP="00DA6B3F">
            <w:pPr>
              <w:pStyle w:val="BodyText"/>
              <w:spacing w:before="60" w:after="60"/>
              <w:jc w:val="right"/>
              <w:rPr>
                <w:sz w:val="20"/>
              </w:rPr>
            </w:pPr>
            <w:r w:rsidRPr="002744CB">
              <w:rPr>
                <w:b/>
                <w:bCs/>
                <w:sz w:val="20"/>
              </w:rPr>
              <w:t>$105.9</w:t>
            </w:r>
          </w:p>
        </w:tc>
        <w:tc>
          <w:tcPr>
            <w:tcW w:w="1926" w:type="dxa"/>
            <w:shd w:val="clear" w:color="auto" w:fill="auto"/>
            <w:vAlign w:val="center"/>
          </w:tcPr>
          <w:p w:rsidR="00DA6B3F" w:rsidRPr="002744CB" w:rsidRDefault="00DA6B3F" w:rsidP="00DA6B3F">
            <w:pPr>
              <w:pStyle w:val="BodyText"/>
              <w:spacing w:before="60" w:after="60"/>
              <w:jc w:val="right"/>
              <w:rPr>
                <w:sz w:val="20"/>
              </w:rPr>
            </w:pPr>
            <w:r w:rsidRPr="002744CB">
              <w:rPr>
                <w:b/>
                <w:bCs/>
                <w:sz w:val="20"/>
              </w:rPr>
              <w:t>$323.5</w:t>
            </w:r>
          </w:p>
        </w:tc>
      </w:tr>
      <w:tr w:rsidR="00DA6B3F" w:rsidRPr="000E144F" w:rsidTr="00DA6B3F">
        <w:tc>
          <w:tcPr>
            <w:tcW w:w="2943" w:type="dxa"/>
            <w:shd w:val="clear" w:color="auto" w:fill="auto"/>
          </w:tcPr>
          <w:p w:rsidR="00DA6B3F" w:rsidRPr="00245322" w:rsidRDefault="00DA6B3F" w:rsidP="005413FE">
            <w:pPr>
              <w:pStyle w:val="BodyText"/>
              <w:spacing w:before="60" w:after="60"/>
              <w:rPr>
                <w:b/>
                <w:bCs/>
                <w:color w:val="000000"/>
                <w:sz w:val="20"/>
              </w:rPr>
            </w:pPr>
            <w:r w:rsidRPr="00245322">
              <w:rPr>
                <w:b/>
                <w:bCs/>
                <w:color w:val="000000"/>
                <w:sz w:val="20"/>
              </w:rPr>
              <w:t>Total Benefits</w:t>
            </w:r>
            <w:r>
              <w:rPr>
                <w:b/>
                <w:bCs/>
                <w:color w:val="000000"/>
                <w:sz w:val="20"/>
              </w:rPr>
              <w:t xml:space="preserve"> </w:t>
            </w:r>
            <w:r w:rsidRPr="00245322">
              <w:rPr>
                <w:b/>
                <w:bCs/>
                <w:color w:val="000000"/>
                <w:sz w:val="20"/>
              </w:rPr>
              <w:t xml:space="preserve">($ </w:t>
            </w:r>
            <w:proofErr w:type="spellStart"/>
            <w:r w:rsidRPr="00245322">
              <w:rPr>
                <w:b/>
                <w:bCs/>
                <w:color w:val="000000"/>
                <w:sz w:val="20"/>
              </w:rPr>
              <w:t>million</w:t>
            </w:r>
            <w:proofErr w:type="spellEnd"/>
            <w:r w:rsidRPr="00245322">
              <w:rPr>
                <w:b/>
                <w:bCs/>
                <w:color w:val="000000"/>
                <w:sz w:val="20"/>
              </w:rPr>
              <w:t>)</w:t>
            </w:r>
          </w:p>
        </w:tc>
        <w:tc>
          <w:tcPr>
            <w:tcW w:w="1926" w:type="dxa"/>
            <w:shd w:val="clear" w:color="auto" w:fill="auto"/>
            <w:vAlign w:val="center"/>
          </w:tcPr>
          <w:p w:rsidR="00DA6B3F" w:rsidRPr="002744CB" w:rsidRDefault="00DA6B3F" w:rsidP="00DA6B3F">
            <w:pPr>
              <w:pStyle w:val="BodyText"/>
              <w:spacing w:before="60" w:after="60"/>
              <w:jc w:val="right"/>
              <w:rPr>
                <w:sz w:val="20"/>
              </w:rPr>
            </w:pPr>
            <w:r w:rsidRPr="002744CB">
              <w:rPr>
                <w:b/>
                <w:bCs/>
                <w:sz w:val="20"/>
              </w:rPr>
              <w:t>$27.5</w:t>
            </w:r>
          </w:p>
        </w:tc>
        <w:tc>
          <w:tcPr>
            <w:tcW w:w="1926" w:type="dxa"/>
            <w:shd w:val="clear" w:color="auto" w:fill="auto"/>
            <w:vAlign w:val="center"/>
          </w:tcPr>
          <w:p w:rsidR="00DA6B3F" w:rsidRPr="002744CB" w:rsidRDefault="00DA6B3F" w:rsidP="00DA6B3F">
            <w:pPr>
              <w:pStyle w:val="BodyText"/>
              <w:spacing w:before="60" w:after="60"/>
              <w:jc w:val="right"/>
              <w:rPr>
                <w:sz w:val="20"/>
              </w:rPr>
            </w:pPr>
            <w:r w:rsidRPr="002744CB">
              <w:rPr>
                <w:b/>
                <w:bCs/>
                <w:sz w:val="20"/>
              </w:rPr>
              <w:t>$53.7</w:t>
            </w:r>
          </w:p>
        </w:tc>
        <w:tc>
          <w:tcPr>
            <w:tcW w:w="1926" w:type="dxa"/>
            <w:shd w:val="clear" w:color="auto" w:fill="auto"/>
            <w:vAlign w:val="center"/>
          </w:tcPr>
          <w:p w:rsidR="00DA6B3F" w:rsidRPr="002744CB" w:rsidRDefault="00DA6B3F" w:rsidP="00DA6B3F">
            <w:pPr>
              <w:pStyle w:val="BodyText"/>
              <w:spacing w:before="60" w:after="60"/>
              <w:jc w:val="right"/>
              <w:rPr>
                <w:sz w:val="20"/>
              </w:rPr>
            </w:pPr>
            <w:r w:rsidRPr="002744CB">
              <w:rPr>
                <w:b/>
                <w:bCs/>
                <w:sz w:val="20"/>
              </w:rPr>
              <w:t>$167.2</w:t>
            </w:r>
          </w:p>
        </w:tc>
      </w:tr>
      <w:tr w:rsidR="00DA6B3F" w:rsidRPr="000E144F" w:rsidTr="00DA6B3F">
        <w:tc>
          <w:tcPr>
            <w:tcW w:w="2943" w:type="dxa"/>
            <w:shd w:val="clear" w:color="auto" w:fill="auto"/>
          </w:tcPr>
          <w:p w:rsidR="00DA6B3F" w:rsidRPr="00245322" w:rsidRDefault="00DA6B3F" w:rsidP="005413FE">
            <w:pPr>
              <w:pStyle w:val="BodyText"/>
              <w:spacing w:before="60" w:after="60"/>
              <w:rPr>
                <w:b/>
                <w:sz w:val="20"/>
              </w:rPr>
            </w:pPr>
            <w:r w:rsidRPr="00245322">
              <w:rPr>
                <w:b/>
                <w:bCs/>
                <w:color w:val="000000"/>
                <w:sz w:val="20"/>
              </w:rPr>
              <w:t xml:space="preserve">NPV ($ </w:t>
            </w:r>
            <w:proofErr w:type="spellStart"/>
            <w:r w:rsidRPr="00245322">
              <w:rPr>
                <w:b/>
                <w:bCs/>
                <w:color w:val="000000"/>
                <w:sz w:val="20"/>
              </w:rPr>
              <w:t>million</w:t>
            </w:r>
            <w:proofErr w:type="spellEnd"/>
            <w:r w:rsidRPr="00245322">
              <w:rPr>
                <w:b/>
                <w:bCs/>
                <w:color w:val="000000"/>
                <w:sz w:val="20"/>
              </w:rPr>
              <w:t>)</w:t>
            </w:r>
          </w:p>
        </w:tc>
        <w:tc>
          <w:tcPr>
            <w:tcW w:w="1926" w:type="dxa"/>
            <w:shd w:val="clear" w:color="auto" w:fill="auto"/>
            <w:vAlign w:val="center"/>
          </w:tcPr>
          <w:p w:rsidR="00DA6B3F" w:rsidRPr="002744CB" w:rsidRDefault="00DA6B3F" w:rsidP="00DA6B3F">
            <w:pPr>
              <w:pStyle w:val="BodyText"/>
              <w:spacing w:before="60" w:after="60"/>
              <w:jc w:val="right"/>
              <w:rPr>
                <w:sz w:val="20"/>
              </w:rPr>
            </w:pPr>
            <w:r w:rsidRPr="002744CB">
              <w:rPr>
                <w:sz w:val="20"/>
              </w:rPr>
              <w:t>-$14.3</w:t>
            </w:r>
          </w:p>
        </w:tc>
        <w:tc>
          <w:tcPr>
            <w:tcW w:w="1926" w:type="dxa"/>
            <w:shd w:val="clear" w:color="auto" w:fill="auto"/>
            <w:vAlign w:val="center"/>
          </w:tcPr>
          <w:p w:rsidR="00DA6B3F" w:rsidRPr="002744CB" w:rsidRDefault="00DA6B3F" w:rsidP="00DA6B3F">
            <w:pPr>
              <w:pStyle w:val="BodyText"/>
              <w:spacing w:before="60" w:after="60"/>
              <w:jc w:val="right"/>
              <w:rPr>
                <w:sz w:val="20"/>
              </w:rPr>
            </w:pPr>
            <w:r w:rsidRPr="002744CB">
              <w:rPr>
                <w:sz w:val="20"/>
              </w:rPr>
              <w:t>-$52.2</w:t>
            </w:r>
          </w:p>
        </w:tc>
        <w:tc>
          <w:tcPr>
            <w:tcW w:w="1926" w:type="dxa"/>
            <w:shd w:val="clear" w:color="auto" w:fill="auto"/>
            <w:vAlign w:val="center"/>
          </w:tcPr>
          <w:p w:rsidR="00DA6B3F" w:rsidRPr="002744CB" w:rsidRDefault="00DA6B3F" w:rsidP="00DA6B3F">
            <w:pPr>
              <w:pStyle w:val="BodyText"/>
              <w:spacing w:before="60" w:after="60"/>
              <w:jc w:val="right"/>
              <w:rPr>
                <w:sz w:val="20"/>
              </w:rPr>
            </w:pPr>
            <w:r w:rsidRPr="002744CB">
              <w:rPr>
                <w:sz w:val="20"/>
              </w:rPr>
              <w:t>-$156.4</w:t>
            </w:r>
          </w:p>
        </w:tc>
      </w:tr>
      <w:tr w:rsidR="00DA6B3F" w:rsidRPr="000E144F" w:rsidTr="00DA6B3F">
        <w:tc>
          <w:tcPr>
            <w:tcW w:w="2943" w:type="dxa"/>
            <w:shd w:val="clear" w:color="auto" w:fill="auto"/>
          </w:tcPr>
          <w:p w:rsidR="00DA6B3F" w:rsidRPr="00245322" w:rsidRDefault="00DA6B3F" w:rsidP="005413FE">
            <w:pPr>
              <w:pStyle w:val="BodyText"/>
              <w:spacing w:before="60" w:after="60"/>
              <w:rPr>
                <w:b/>
                <w:sz w:val="20"/>
              </w:rPr>
            </w:pPr>
            <w:r w:rsidRPr="00245322">
              <w:rPr>
                <w:b/>
                <w:bCs/>
                <w:color w:val="000000"/>
                <w:sz w:val="20"/>
              </w:rPr>
              <w:t xml:space="preserve">BCR </w:t>
            </w:r>
          </w:p>
        </w:tc>
        <w:tc>
          <w:tcPr>
            <w:tcW w:w="1926" w:type="dxa"/>
            <w:shd w:val="clear" w:color="auto" w:fill="auto"/>
            <w:vAlign w:val="center"/>
          </w:tcPr>
          <w:p w:rsidR="00DA6B3F" w:rsidRPr="002744CB" w:rsidRDefault="00DA6B3F" w:rsidP="00DA6B3F">
            <w:pPr>
              <w:pStyle w:val="BodyText"/>
              <w:spacing w:before="60" w:after="60"/>
              <w:jc w:val="right"/>
              <w:rPr>
                <w:sz w:val="20"/>
              </w:rPr>
            </w:pPr>
            <w:r w:rsidRPr="002744CB">
              <w:rPr>
                <w:sz w:val="20"/>
              </w:rPr>
              <w:t>0.66</w:t>
            </w:r>
          </w:p>
        </w:tc>
        <w:tc>
          <w:tcPr>
            <w:tcW w:w="1926" w:type="dxa"/>
            <w:shd w:val="clear" w:color="auto" w:fill="auto"/>
            <w:vAlign w:val="center"/>
          </w:tcPr>
          <w:p w:rsidR="00DA6B3F" w:rsidRPr="002744CB" w:rsidRDefault="00DA6B3F" w:rsidP="00DA6B3F">
            <w:pPr>
              <w:pStyle w:val="BodyText"/>
              <w:spacing w:before="60" w:after="60"/>
              <w:jc w:val="right"/>
              <w:rPr>
                <w:sz w:val="20"/>
              </w:rPr>
            </w:pPr>
            <w:r w:rsidRPr="002744CB">
              <w:rPr>
                <w:sz w:val="20"/>
              </w:rPr>
              <w:t>0.51</w:t>
            </w:r>
          </w:p>
        </w:tc>
        <w:tc>
          <w:tcPr>
            <w:tcW w:w="1926" w:type="dxa"/>
            <w:shd w:val="clear" w:color="auto" w:fill="auto"/>
            <w:vAlign w:val="center"/>
          </w:tcPr>
          <w:p w:rsidR="00DA6B3F" w:rsidRPr="002744CB" w:rsidRDefault="00DA6B3F" w:rsidP="00DA6B3F">
            <w:pPr>
              <w:pStyle w:val="BodyText"/>
              <w:spacing w:before="60" w:after="60"/>
              <w:jc w:val="right"/>
              <w:rPr>
                <w:sz w:val="20"/>
              </w:rPr>
            </w:pPr>
            <w:r w:rsidRPr="002744CB">
              <w:rPr>
                <w:sz w:val="20"/>
              </w:rPr>
              <w:t>0.52</w:t>
            </w:r>
          </w:p>
        </w:tc>
      </w:tr>
    </w:tbl>
    <w:p w:rsidR="006F5750" w:rsidRDefault="006F5750" w:rsidP="006F5750">
      <w:pPr>
        <w:pStyle w:val="Source"/>
      </w:pPr>
      <w:r>
        <w:t>NOTE: Totals may not sum due to rounding. All values are incremental to the base case.</w:t>
      </w:r>
    </w:p>
    <w:p w:rsidR="006F5750" w:rsidRDefault="006F5750" w:rsidP="006F5750">
      <w:pPr>
        <w:pStyle w:val="Source"/>
      </w:pPr>
      <w:r>
        <w:t>Source: KPMG analysis</w:t>
      </w:r>
    </w:p>
    <w:p w:rsidR="006F5750" w:rsidRPr="00A028D0" w:rsidRDefault="00E10441" w:rsidP="00AD54B5">
      <w:pPr>
        <w:pStyle w:val="BodyText"/>
      </w:pPr>
      <w:r w:rsidRPr="00A028D0">
        <w:t>Under the lower rates of participation and recovery, costs under each option are lower due to lower costs of regulatory compliance (lower levels of participation) and the reduction in recovery activities and associated costs of disassembly. The benefits under each option are also lower due to the lower level of recovery of</w:t>
      </w:r>
      <w:r w:rsidR="00A028D0" w:rsidRPr="00A028D0">
        <w:t xml:space="preserve"> plastics and</w:t>
      </w:r>
      <w:r w:rsidRPr="00A028D0">
        <w:t xml:space="preserve"> refrigerant gas and higher level of landfill relative to the central assumptions. </w:t>
      </w:r>
    </w:p>
    <w:p w:rsidR="006F5750" w:rsidRPr="004911FE" w:rsidRDefault="00E10441" w:rsidP="00AD54B5">
      <w:pPr>
        <w:pStyle w:val="BodyText"/>
      </w:pPr>
      <w:r w:rsidRPr="005367FB">
        <w:t>Under the higher rates of participation and recovery, the costs under each option are higher than under the central assumptions due to higher costs of regulatory compliance (higher levels of participation) and a high rate of recovery of materials and associated costs. The benefits under each option are also higher, in particular</w:t>
      </w:r>
      <w:r w:rsidR="004B3F67" w:rsidRPr="005367FB">
        <w:t xml:space="preserve"> </w:t>
      </w:r>
      <w:r w:rsidR="005367FB" w:rsidRPr="005367FB">
        <w:t>the higher recovery of plastics (lower landfill).</w:t>
      </w:r>
    </w:p>
    <w:p w:rsidR="0081406E" w:rsidRDefault="00AD1417">
      <w:pPr>
        <w:pStyle w:val="Heading3"/>
      </w:pPr>
      <w:r>
        <w:t>Costs associated with compliance and recovery activities</w:t>
      </w:r>
    </w:p>
    <w:p w:rsidR="0081406E" w:rsidRDefault="00BF08BF">
      <w:pPr>
        <w:pStyle w:val="BodyText"/>
      </w:pPr>
      <w:r>
        <w:t xml:space="preserve">Sensitivity analysis was undertaken to highlight the effect </w:t>
      </w:r>
      <w:r w:rsidR="00735AD9">
        <w:t xml:space="preserve">of </w:t>
      </w:r>
      <w:r>
        <w:t xml:space="preserve">changes </w:t>
      </w:r>
      <w:r w:rsidR="00735AD9">
        <w:t xml:space="preserve">in costs under each option. The results of the analysis are summarised in </w:t>
      </w:r>
      <w:r w:rsidR="00586F30">
        <w:fldChar w:fldCharType="begin"/>
      </w:r>
      <w:r w:rsidR="00AE06D7">
        <w:instrText xml:space="preserve"> REF _Ref393092689 \h </w:instrText>
      </w:r>
      <w:r w:rsidR="00586F30">
        <w:fldChar w:fldCharType="separate"/>
      </w:r>
      <w:r w:rsidR="001E5D7A">
        <w:t xml:space="preserve">Table </w:t>
      </w:r>
      <w:r w:rsidR="001E5D7A">
        <w:rPr>
          <w:noProof/>
        </w:rPr>
        <w:t>5</w:t>
      </w:r>
      <w:r w:rsidR="001E5D7A">
        <w:noBreakHyphen/>
      </w:r>
      <w:r w:rsidR="001E5D7A">
        <w:rPr>
          <w:noProof/>
        </w:rPr>
        <w:t>8</w:t>
      </w:r>
      <w:r w:rsidR="00586F30">
        <w:fldChar w:fldCharType="end"/>
      </w:r>
      <w:r w:rsidR="00735AD9">
        <w:t>.</w:t>
      </w:r>
    </w:p>
    <w:p w:rsidR="00245322" w:rsidRDefault="00245322" w:rsidP="00245322">
      <w:pPr>
        <w:pStyle w:val="Caption"/>
      </w:pPr>
      <w:bookmarkStart w:id="92" w:name="_Ref393092689"/>
      <w:r>
        <w:t xml:space="preserve">Table </w:t>
      </w:r>
      <w:r w:rsidR="00586F30">
        <w:fldChar w:fldCharType="begin"/>
      </w:r>
      <w:r w:rsidR="00C478AE">
        <w:instrText xml:space="preserve"> STYLEREF 1 \s </w:instrText>
      </w:r>
      <w:r w:rsidR="00586F30">
        <w:fldChar w:fldCharType="separate"/>
      </w:r>
      <w:r w:rsidR="001E5D7A">
        <w:rPr>
          <w:noProof/>
        </w:rPr>
        <w:t>5</w:t>
      </w:r>
      <w:r w:rsidR="00586F30">
        <w:rPr>
          <w:noProof/>
        </w:rPr>
        <w:fldChar w:fldCharType="end"/>
      </w:r>
      <w:r w:rsidR="00CE3BAC">
        <w:noBreakHyphen/>
      </w:r>
      <w:r w:rsidR="00586F30">
        <w:fldChar w:fldCharType="begin"/>
      </w:r>
      <w:r w:rsidR="00C478AE">
        <w:instrText xml:space="preserve"> SEQ Table \* ARABIC \s 1 </w:instrText>
      </w:r>
      <w:r w:rsidR="00586F30">
        <w:fldChar w:fldCharType="separate"/>
      </w:r>
      <w:r w:rsidR="001E5D7A">
        <w:rPr>
          <w:noProof/>
        </w:rPr>
        <w:t>8</w:t>
      </w:r>
      <w:r w:rsidR="00586F30">
        <w:rPr>
          <w:noProof/>
        </w:rPr>
        <w:fldChar w:fldCharType="end"/>
      </w:r>
      <w:bookmarkEnd w:id="92"/>
      <w:r>
        <w:t>: Sensitivity analysis results- costs (NPV @ 7% $million 2014)</w:t>
      </w:r>
    </w:p>
    <w:tbl>
      <w:tblPr>
        <w:tblStyle w:val="TableGrid"/>
        <w:tblW w:w="0" w:type="auto"/>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tblPr>
      <w:tblGrid>
        <w:gridCol w:w="2943"/>
        <w:gridCol w:w="1926"/>
        <w:gridCol w:w="1926"/>
        <w:gridCol w:w="1926"/>
      </w:tblGrid>
      <w:tr w:rsidR="00245322" w:rsidRPr="00245322" w:rsidTr="0081406E">
        <w:trPr>
          <w:tblHeader/>
        </w:trPr>
        <w:tc>
          <w:tcPr>
            <w:tcW w:w="2943" w:type="dxa"/>
            <w:shd w:val="clear" w:color="auto" w:fill="1F497D" w:themeFill="text2"/>
          </w:tcPr>
          <w:p w:rsidR="00245322" w:rsidRPr="00245322" w:rsidRDefault="00245322" w:rsidP="0081406E">
            <w:pPr>
              <w:pStyle w:val="BodyText"/>
              <w:spacing w:before="60" w:after="60"/>
              <w:rPr>
                <w:sz w:val="20"/>
              </w:rPr>
            </w:pPr>
          </w:p>
        </w:tc>
        <w:tc>
          <w:tcPr>
            <w:tcW w:w="1926" w:type="dxa"/>
            <w:shd w:val="clear" w:color="auto" w:fill="1F497D" w:themeFill="text2"/>
          </w:tcPr>
          <w:p w:rsidR="00245322" w:rsidRPr="00245322" w:rsidRDefault="00245322" w:rsidP="0081406E">
            <w:pPr>
              <w:pStyle w:val="BodyText"/>
              <w:spacing w:before="60" w:after="60"/>
              <w:jc w:val="right"/>
              <w:rPr>
                <w:b/>
                <w:color w:val="FFFFFF" w:themeColor="background1"/>
                <w:sz w:val="20"/>
              </w:rPr>
            </w:pPr>
            <w:r w:rsidRPr="00245322">
              <w:rPr>
                <w:b/>
                <w:color w:val="FFFFFF" w:themeColor="background1"/>
                <w:sz w:val="20"/>
              </w:rPr>
              <w:t xml:space="preserve">Option 1 – Voluntary </w:t>
            </w:r>
            <w:r w:rsidRPr="00245322">
              <w:rPr>
                <w:b/>
                <w:color w:val="FFFFFF" w:themeColor="background1"/>
                <w:sz w:val="20"/>
              </w:rPr>
              <w:br/>
              <w:t>Scheme</w:t>
            </w:r>
          </w:p>
        </w:tc>
        <w:tc>
          <w:tcPr>
            <w:tcW w:w="1926" w:type="dxa"/>
            <w:shd w:val="clear" w:color="auto" w:fill="1F497D" w:themeFill="text2"/>
          </w:tcPr>
          <w:p w:rsidR="00245322" w:rsidRPr="00245322" w:rsidRDefault="00245322" w:rsidP="0081406E">
            <w:pPr>
              <w:pStyle w:val="BodyText"/>
              <w:spacing w:before="60" w:after="60"/>
              <w:jc w:val="right"/>
              <w:rPr>
                <w:b/>
                <w:color w:val="FFFFFF" w:themeColor="background1"/>
                <w:sz w:val="20"/>
              </w:rPr>
            </w:pPr>
            <w:r w:rsidRPr="00245322">
              <w:rPr>
                <w:b/>
                <w:color w:val="FFFFFF" w:themeColor="background1"/>
                <w:sz w:val="20"/>
              </w:rPr>
              <w:t xml:space="preserve">Option 2 – </w:t>
            </w:r>
            <w:r w:rsidRPr="00245322">
              <w:rPr>
                <w:b/>
                <w:color w:val="FFFFFF" w:themeColor="background1"/>
                <w:sz w:val="20"/>
              </w:rPr>
              <w:br/>
              <w:t>Co-Regulatory Approach</w:t>
            </w:r>
          </w:p>
        </w:tc>
        <w:tc>
          <w:tcPr>
            <w:tcW w:w="1926" w:type="dxa"/>
            <w:shd w:val="clear" w:color="auto" w:fill="1F497D" w:themeFill="text2"/>
          </w:tcPr>
          <w:p w:rsidR="00245322" w:rsidRPr="00245322" w:rsidRDefault="00245322" w:rsidP="0081406E">
            <w:pPr>
              <w:pStyle w:val="BodyText"/>
              <w:spacing w:before="60" w:after="60"/>
              <w:jc w:val="right"/>
              <w:rPr>
                <w:b/>
                <w:color w:val="FFFFFF" w:themeColor="background1"/>
                <w:sz w:val="20"/>
              </w:rPr>
            </w:pPr>
            <w:r w:rsidRPr="00245322">
              <w:rPr>
                <w:b/>
                <w:color w:val="FFFFFF" w:themeColor="background1"/>
                <w:sz w:val="20"/>
              </w:rPr>
              <w:t xml:space="preserve">Option 3 – Mandatory </w:t>
            </w:r>
            <w:r w:rsidRPr="00245322">
              <w:rPr>
                <w:b/>
                <w:color w:val="FFFFFF" w:themeColor="background1"/>
                <w:sz w:val="20"/>
              </w:rPr>
              <w:br/>
              <w:t>Scheme</w:t>
            </w:r>
          </w:p>
        </w:tc>
      </w:tr>
      <w:tr w:rsidR="00245322" w:rsidRPr="00245322" w:rsidTr="0081406E">
        <w:tc>
          <w:tcPr>
            <w:tcW w:w="8721" w:type="dxa"/>
            <w:gridSpan w:val="4"/>
            <w:shd w:val="clear" w:color="auto" w:fill="C6D9F1" w:themeFill="text2" w:themeFillTint="33"/>
          </w:tcPr>
          <w:p w:rsidR="00245322" w:rsidRPr="00245322" w:rsidRDefault="00245322" w:rsidP="0081406E">
            <w:pPr>
              <w:pStyle w:val="BodyText"/>
              <w:spacing w:before="60" w:after="60"/>
              <w:rPr>
                <w:b/>
                <w:sz w:val="20"/>
              </w:rPr>
            </w:pPr>
            <w:r w:rsidRPr="00245322">
              <w:rPr>
                <w:b/>
                <w:sz w:val="20"/>
              </w:rPr>
              <w:t>Central Assumption</w:t>
            </w:r>
          </w:p>
        </w:tc>
      </w:tr>
      <w:tr w:rsidR="00671098" w:rsidRPr="00245322" w:rsidTr="00601BF3">
        <w:trPr>
          <w:trHeight w:val="323"/>
        </w:trPr>
        <w:tc>
          <w:tcPr>
            <w:tcW w:w="2943" w:type="dxa"/>
            <w:shd w:val="clear" w:color="auto" w:fill="auto"/>
          </w:tcPr>
          <w:p w:rsidR="00671098" w:rsidRPr="00245322" w:rsidRDefault="00671098" w:rsidP="0081406E">
            <w:pPr>
              <w:pStyle w:val="BodyText"/>
              <w:spacing w:before="60" w:after="60"/>
              <w:rPr>
                <w:b/>
                <w:bCs/>
                <w:color w:val="000000"/>
                <w:sz w:val="20"/>
              </w:rPr>
            </w:pPr>
            <w:r w:rsidRPr="00245322">
              <w:rPr>
                <w:b/>
                <w:bCs/>
                <w:color w:val="000000"/>
                <w:sz w:val="20"/>
              </w:rPr>
              <w:t>Total Costs</w:t>
            </w:r>
            <w:r>
              <w:rPr>
                <w:b/>
                <w:bCs/>
                <w:color w:val="000000"/>
                <w:sz w:val="20"/>
              </w:rPr>
              <w:t xml:space="preserve"> </w:t>
            </w:r>
            <w:r w:rsidRPr="00245322">
              <w:rPr>
                <w:b/>
                <w:bCs/>
                <w:color w:val="000000"/>
                <w:sz w:val="20"/>
              </w:rPr>
              <w:t xml:space="preserve">($ </w:t>
            </w:r>
            <w:proofErr w:type="spellStart"/>
            <w:r w:rsidRPr="00245322">
              <w:rPr>
                <w:b/>
                <w:bCs/>
                <w:color w:val="000000"/>
                <w:sz w:val="20"/>
              </w:rPr>
              <w:t>million</w:t>
            </w:r>
            <w:proofErr w:type="spellEnd"/>
            <w:r w:rsidRPr="00245322">
              <w:rPr>
                <w:b/>
                <w:bCs/>
                <w:color w:val="000000"/>
                <w:sz w:val="20"/>
              </w:rPr>
              <w:t>)</w:t>
            </w:r>
          </w:p>
        </w:tc>
        <w:tc>
          <w:tcPr>
            <w:tcW w:w="1926" w:type="dxa"/>
            <w:shd w:val="clear" w:color="auto" w:fill="auto"/>
            <w:vAlign w:val="center"/>
          </w:tcPr>
          <w:p w:rsidR="00671098" w:rsidRPr="00671098" w:rsidRDefault="00671098" w:rsidP="00A850F5">
            <w:pPr>
              <w:jc w:val="right"/>
              <w:rPr>
                <w:bCs/>
                <w:sz w:val="20"/>
              </w:rPr>
            </w:pPr>
            <w:r w:rsidRPr="00671098">
              <w:rPr>
                <w:bCs/>
                <w:sz w:val="20"/>
              </w:rPr>
              <w:t>$</w:t>
            </w:r>
            <w:r w:rsidR="00A850F5">
              <w:rPr>
                <w:bCs/>
                <w:sz w:val="20"/>
              </w:rPr>
              <w:t>39.0</w:t>
            </w:r>
          </w:p>
        </w:tc>
        <w:tc>
          <w:tcPr>
            <w:tcW w:w="1926" w:type="dxa"/>
            <w:shd w:val="clear" w:color="auto" w:fill="auto"/>
            <w:vAlign w:val="center"/>
          </w:tcPr>
          <w:p w:rsidR="00671098" w:rsidRPr="00671098" w:rsidRDefault="00671098" w:rsidP="00A850F5">
            <w:pPr>
              <w:jc w:val="right"/>
              <w:rPr>
                <w:bCs/>
                <w:sz w:val="20"/>
              </w:rPr>
            </w:pPr>
            <w:r w:rsidRPr="00671098">
              <w:rPr>
                <w:bCs/>
                <w:sz w:val="20"/>
              </w:rPr>
              <w:t>$</w:t>
            </w:r>
            <w:r w:rsidR="00A850F5">
              <w:rPr>
                <w:bCs/>
                <w:sz w:val="20"/>
              </w:rPr>
              <w:t>97.6</w:t>
            </w:r>
          </w:p>
        </w:tc>
        <w:tc>
          <w:tcPr>
            <w:tcW w:w="1926" w:type="dxa"/>
            <w:shd w:val="clear" w:color="auto" w:fill="auto"/>
            <w:vAlign w:val="center"/>
          </w:tcPr>
          <w:p w:rsidR="00671098" w:rsidRPr="00671098" w:rsidRDefault="00671098" w:rsidP="00A850F5">
            <w:pPr>
              <w:jc w:val="right"/>
              <w:rPr>
                <w:bCs/>
                <w:sz w:val="20"/>
              </w:rPr>
            </w:pPr>
            <w:r w:rsidRPr="00671098">
              <w:rPr>
                <w:bCs/>
                <w:sz w:val="20"/>
              </w:rPr>
              <w:t>$</w:t>
            </w:r>
            <w:r w:rsidR="00A850F5">
              <w:rPr>
                <w:bCs/>
                <w:sz w:val="20"/>
              </w:rPr>
              <w:t>325.8</w:t>
            </w:r>
          </w:p>
        </w:tc>
      </w:tr>
      <w:tr w:rsidR="00671098" w:rsidRPr="00245322" w:rsidTr="00601BF3">
        <w:trPr>
          <w:trHeight w:val="323"/>
        </w:trPr>
        <w:tc>
          <w:tcPr>
            <w:tcW w:w="2943" w:type="dxa"/>
            <w:shd w:val="clear" w:color="auto" w:fill="auto"/>
          </w:tcPr>
          <w:p w:rsidR="00671098" w:rsidRPr="00245322" w:rsidRDefault="00671098" w:rsidP="0081406E">
            <w:pPr>
              <w:pStyle w:val="BodyText"/>
              <w:spacing w:before="60" w:after="60"/>
              <w:rPr>
                <w:b/>
                <w:bCs/>
                <w:color w:val="000000"/>
                <w:sz w:val="20"/>
              </w:rPr>
            </w:pPr>
            <w:r w:rsidRPr="00245322">
              <w:rPr>
                <w:b/>
                <w:bCs/>
                <w:color w:val="000000"/>
                <w:sz w:val="20"/>
              </w:rPr>
              <w:t>Total Benefits</w:t>
            </w:r>
            <w:r>
              <w:rPr>
                <w:b/>
                <w:bCs/>
                <w:color w:val="000000"/>
                <w:sz w:val="20"/>
              </w:rPr>
              <w:t xml:space="preserve"> </w:t>
            </w:r>
            <w:r w:rsidRPr="00245322">
              <w:rPr>
                <w:b/>
                <w:bCs/>
                <w:color w:val="000000"/>
                <w:sz w:val="20"/>
              </w:rPr>
              <w:t xml:space="preserve">($ </w:t>
            </w:r>
            <w:proofErr w:type="spellStart"/>
            <w:r w:rsidRPr="00245322">
              <w:rPr>
                <w:b/>
                <w:bCs/>
                <w:color w:val="000000"/>
                <w:sz w:val="20"/>
              </w:rPr>
              <w:t>million</w:t>
            </w:r>
            <w:proofErr w:type="spellEnd"/>
            <w:r w:rsidRPr="00245322">
              <w:rPr>
                <w:b/>
                <w:bCs/>
                <w:color w:val="000000"/>
                <w:sz w:val="20"/>
              </w:rPr>
              <w:t>)</w:t>
            </w:r>
          </w:p>
        </w:tc>
        <w:tc>
          <w:tcPr>
            <w:tcW w:w="1926" w:type="dxa"/>
            <w:shd w:val="clear" w:color="auto" w:fill="auto"/>
            <w:vAlign w:val="center"/>
          </w:tcPr>
          <w:p w:rsidR="00671098" w:rsidRPr="00671098" w:rsidRDefault="00671098" w:rsidP="00A850F5">
            <w:pPr>
              <w:jc w:val="right"/>
              <w:rPr>
                <w:bCs/>
                <w:sz w:val="20"/>
              </w:rPr>
            </w:pPr>
            <w:r w:rsidRPr="00671098">
              <w:rPr>
                <w:bCs/>
                <w:sz w:val="20"/>
              </w:rPr>
              <w:t>$11.</w:t>
            </w:r>
            <w:r w:rsidR="00A850F5">
              <w:rPr>
                <w:bCs/>
                <w:sz w:val="20"/>
              </w:rPr>
              <w:t>5</w:t>
            </w:r>
          </w:p>
        </w:tc>
        <w:tc>
          <w:tcPr>
            <w:tcW w:w="1926" w:type="dxa"/>
            <w:shd w:val="clear" w:color="auto" w:fill="auto"/>
            <w:vAlign w:val="center"/>
          </w:tcPr>
          <w:p w:rsidR="00671098" w:rsidRPr="00671098" w:rsidRDefault="00671098" w:rsidP="00A850F5">
            <w:pPr>
              <w:jc w:val="right"/>
              <w:rPr>
                <w:bCs/>
                <w:sz w:val="20"/>
              </w:rPr>
            </w:pPr>
            <w:r w:rsidRPr="00671098">
              <w:rPr>
                <w:bCs/>
                <w:sz w:val="20"/>
              </w:rPr>
              <w:t>$</w:t>
            </w:r>
            <w:r w:rsidR="00A850F5">
              <w:rPr>
                <w:bCs/>
                <w:sz w:val="20"/>
              </w:rPr>
              <w:t>33.5</w:t>
            </w:r>
          </w:p>
        </w:tc>
        <w:tc>
          <w:tcPr>
            <w:tcW w:w="1926" w:type="dxa"/>
            <w:shd w:val="clear" w:color="auto" w:fill="auto"/>
            <w:vAlign w:val="center"/>
          </w:tcPr>
          <w:p w:rsidR="00671098" w:rsidRPr="00671098" w:rsidRDefault="00671098" w:rsidP="00A850F5">
            <w:pPr>
              <w:jc w:val="right"/>
              <w:rPr>
                <w:bCs/>
                <w:sz w:val="20"/>
              </w:rPr>
            </w:pPr>
            <w:r w:rsidRPr="00671098">
              <w:rPr>
                <w:bCs/>
                <w:sz w:val="20"/>
              </w:rPr>
              <w:t>$</w:t>
            </w:r>
            <w:r w:rsidR="00A850F5">
              <w:rPr>
                <w:bCs/>
                <w:sz w:val="20"/>
              </w:rPr>
              <w:t>170.6</w:t>
            </w:r>
          </w:p>
        </w:tc>
      </w:tr>
      <w:tr w:rsidR="00671098" w:rsidRPr="00245322" w:rsidTr="00601BF3">
        <w:trPr>
          <w:trHeight w:val="323"/>
        </w:trPr>
        <w:tc>
          <w:tcPr>
            <w:tcW w:w="2943" w:type="dxa"/>
            <w:shd w:val="clear" w:color="auto" w:fill="auto"/>
          </w:tcPr>
          <w:p w:rsidR="00671098" w:rsidRPr="00245322" w:rsidRDefault="00671098" w:rsidP="0081406E">
            <w:pPr>
              <w:pStyle w:val="BodyText"/>
              <w:spacing w:before="60" w:after="60"/>
              <w:rPr>
                <w:b/>
                <w:sz w:val="20"/>
              </w:rPr>
            </w:pPr>
            <w:r w:rsidRPr="00245322">
              <w:rPr>
                <w:b/>
                <w:bCs/>
                <w:color w:val="000000"/>
                <w:sz w:val="20"/>
              </w:rPr>
              <w:t xml:space="preserve">NPV ($ </w:t>
            </w:r>
            <w:proofErr w:type="spellStart"/>
            <w:r w:rsidRPr="00245322">
              <w:rPr>
                <w:b/>
                <w:bCs/>
                <w:color w:val="000000"/>
                <w:sz w:val="20"/>
              </w:rPr>
              <w:t>million</w:t>
            </w:r>
            <w:proofErr w:type="spellEnd"/>
            <w:r w:rsidRPr="00245322">
              <w:rPr>
                <w:b/>
                <w:bCs/>
                <w:color w:val="000000"/>
                <w:sz w:val="20"/>
              </w:rPr>
              <w:t>)</w:t>
            </w:r>
          </w:p>
        </w:tc>
        <w:tc>
          <w:tcPr>
            <w:tcW w:w="1926" w:type="dxa"/>
            <w:shd w:val="clear" w:color="auto" w:fill="auto"/>
            <w:vAlign w:val="center"/>
          </w:tcPr>
          <w:p w:rsidR="00671098" w:rsidRPr="00671098" w:rsidRDefault="00671098" w:rsidP="00A850F5">
            <w:pPr>
              <w:jc w:val="right"/>
              <w:rPr>
                <w:sz w:val="20"/>
              </w:rPr>
            </w:pPr>
            <w:r w:rsidRPr="00671098">
              <w:rPr>
                <w:sz w:val="20"/>
              </w:rPr>
              <w:t>-$</w:t>
            </w:r>
            <w:r w:rsidR="00A850F5">
              <w:rPr>
                <w:sz w:val="20"/>
              </w:rPr>
              <w:t>27.4</w:t>
            </w:r>
          </w:p>
        </w:tc>
        <w:tc>
          <w:tcPr>
            <w:tcW w:w="1926" w:type="dxa"/>
            <w:shd w:val="clear" w:color="auto" w:fill="auto"/>
            <w:vAlign w:val="center"/>
          </w:tcPr>
          <w:p w:rsidR="00671098" w:rsidRPr="00671098" w:rsidRDefault="00671098" w:rsidP="00A850F5">
            <w:pPr>
              <w:jc w:val="right"/>
              <w:rPr>
                <w:sz w:val="20"/>
              </w:rPr>
            </w:pPr>
            <w:r w:rsidRPr="00671098">
              <w:rPr>
                <w:sz w:val="20"/>
              </w:rPr>
              <w:t>-$</w:t>
            </w:r>
            <w:r w:rsidR="00A850F5">
              <w:rPr>
                <w:sz w:val="20"/>
              </w:rPr>
              <w:t>64.1</w:t>
            </w:r>
          </w:p>
        </w:tc>
        <w:tc>
          <w:tcPr>
            <w:tcW w:w="1926" w:type="dxa"/>
            <w:shd w:val="clear" w:color="auto" w:fill="auto"/>
            <w:vAlign w:val="center"/>
          </w:tcPr>
          <w:p w:rsidR="00671098" w:rsidRPr="00671098" w:rsidRDefault="00671098" w:rsidP="00A850F5">
            <w:pPr>
              <w:jc w:val="right"/>
              <w:rPr>
                <w:sz w:val="20"/>
              </w:rPr>
            </w:pPr>
            <w:r w:rsidRPr="00671098">
              <w:rPr>
                <w:sz w:val="20"/>
              </w:rPr>
              <w:t>-$</w:t>
            </w:r>
            <w:r w:rsidR="00A850F5">
              <w:rPr>
                <w:sz w:val="20"/>
              </w:rPr>
              <w:t>155.2</w:t>
            </w:r>
          </w:p>
        </w:tc>
      </w:tr>
      <w:tr w:rsidR="00671098" w:rsidRPr="00245322" w:rsidTr="00601BF3">
        <w:trPr>
          <w:trHeight w:val="321"/>
        </w:trPr>
        <w:tc>
          <w:tcPr>
            <w:tcW w:w="2943" w:type="dxa"/>
            <w:shd w:val="clear" w:color="auto" w:fill="auto"/>
          </w:tcPr>
          <w:p w:rsidR="00671098" w:rsidRPr="00245322" w:rsidRDefault="00671098" w:rsidP="0081406E">
            <w:pPr>
              <w:pStyle w:val="BodyText"/>
              <w:spacing w:before="60" w:after="60"/>
              <w:rPr>
                <w:b/>
                <w:sz w:val="20"/>
              </w:rPr>
            </w:pPr>
            <w:r w:rsidRPr="00245322">
              <w:rPr>
                <w:b/>
                <w:bCs/>
                <w:color w:val="000000"/>
                <w:sz w:val="20"/>
              </w:rPr>
              <w:t xml:space="preserve">BCR </w:t>
            </w:r>
          </w:p>
        </w:tc>
        <w:tc>
          <w:tcPr>
            <w:tcW w:w="1926" w:type="dxa"/>
            <w:shd w:val="clear" w:color="auto" w:fill="auto"/>
            <w:vAlign w:val="center"/>
          </w:tcPr>
          <w:p w:rsidR="00671098" w:rsidRPr="00671098" w:rsidRDefault="00671098" w:rsidP="00A850F5">
            <w:pPr>
              <w:jc w:val="right"/>
              <w:rPr>
                <w:sz w:val="20"/>
              </w:rPr>
            </w:pPr>
            <w:r w:rsidRPr="00671098">
              <w:rPr>
                <w:sz w:val="20"/>
              </w:rPr>
              <w:t>0.</w:t>
            </w:r>
            <w:r w:rsidR="00A850F5">
              <w:rPr>
                <w:sz w:val="20"/>
              </w:rPr>
              <w:t>30</w:t>
            </w:r>
          </w:p>
        </w:tc>
        <w:tc>
          <w:tcPr>
            <w:tcW w:w="1926" w:type="dxa"/>
            <w:shd w:val="clear" w:color="auto" w:fill="auto"/>
            <w:vAlign w:val="center"/>
          </w:tcPr>
          <w:p w:rsidR="00671098" w:rsidRPr="00671098" w:rsidRDefault="00671098" w:rsidP="00A850F5">
            <w:pPr>
              <w:jc w:val="right"/>
              <w:rPr>
                <w:sz w:val="20"/>
              </w:rPr>
            </w:pPr>
            <w:r w:rsidRPr="00671098">
              <w:rPr>
                <w:sz w:val="20"/>
              </w:rPr>
              <w:t>0.</w:t>
            </w:r>
            <w:r w:rsidR="00A850F5">
              <w:rPr>
                <w:sz w:val="20"/>
              </w:rPr>
              <w:t>34</w:t>
            </w:r>
          </w:p>
        </w:tc>
        <w:tc>
          <w:tcPr>
            <w:tcW w:w="1926" w:type="dxa"/>
            <w:shd w:val="clear" w:color="auto" w:fill="auto"/>
            <w:vAlign w:val="center"/>
          </w:tcPr>
          <w:p w:rsidR="00671098" w:rsidRPr="00671098" w:rsidRDefault="00671098" w:rsidP="00A850F5">
            <w:pPr>
              <w:jc w:val="right"/>
              <w:rPr>
                <w:sz w:val="20"/>
              </w:rPr>
            </w:pPr>
            <w:r w:rsidRPr="00671098">
              <w:rPr>
                <w:sz w:val="20"/>
              </w:rPr>
              <w:t>0.</w:t>
            </w:r>
            <w:r w:rsidR="00A850F5">
              <w:rPr>
                <w:sz w:val="20"/>
              </w:rPr>
              <w:t>52</w:t>
            </w:r>
          </w:p>
        </w:tc>
      </w:tr>
      <w:tr w:rsidR="00245322" w:rsidRPr="00245322" w:rsidTr="0081406E">
        <w:tc>
          <w:tcPr>
            <w:tcW w:w="8721" w:type="dxa"/>
            <w:gridSpan w:val="4"/>
            <w:shd w:val="clear" w:color="auto" w:fill="C6D9F1" w:themeFill="text2" w:themeFillTint="33"/>
          </w:tcPr>
          <w:p w:rsidR="00245322" w:rsidRPr="00245322" w:rsidRDefault="00245322" w:rsidP="00245322">
            <w:pPr>
              <w:pStyle w:val="BodyText"/>
              <w:spacing w:before="60" w:after="60"/>
              <w:rPr>
                <w:sz w:val="20"/>
              </w:rPr>
            </w:pPr>
            <w:r w:rsidRPr="00245322">
              <w:rPr>
                <w:b/>
                <w:sz w:val="20"/>
              </w:rPr>
              <w:t>Lower costs (-15 per cent)</w:t>
            </w:r>
          </w:p>
        </w:tc>
      </w:tr>
      <w:tr w:rsidR="00671098" w:rsidRPr="00245322" w:rsidTr="005B1616">
        <w:tc>
          <w:tcPr>
            <w:tcW w:w="2943" w:type="dxa"/>
          </w:tcPr>
          <w:p w:rsidR="00671098" w:rsidRPr="00245322" w:rsidRDefault="00671098" w:rsidP="0081406E">
            <w:pPr>
              <w:pStyle w:val="BodyText"/>
              <w:spacing w:before="60" w:after="60"/>
              <w:jc w:val="left"/>
              <w:rPr>
                <w:b/>
                <w:bCs/>
                <w:color w:val="000000"/>
                <w:sz w:val="20"/>
              </w:rPr>
            </w:pPr>
            <w:r w:rsidRPr="00245322">
              <w:rPr>
                <w:b/>
                <w:bCs/>
                <w:color w:val="000000"/>
                <w:sz w:val="20"/>
              </w:rPr>
              <w:lastRenderedPageBreak/>
              <w:t>Total Costs</w:t>
            </w:r>
            <w:r>
              <w:rPr>
                <w:b/>
                <w:bCs/>
                <w:color w:val="000000"/>
                <w:sz w:val="20"/>
              </w:rPr>
              <w:t xml:space="preserve"> </w:t>
            </w:r>
            <w:r w:rsidRPr="00245322">
              <w:rPr>
                <w:b/>
                <w:bCs/>
                <w:color w:val="000000"/>
                <w:sz w:val="20"/>
              </w:rPr>
              <w:t xml:space="preserve">($ </w:t>
            </w:r>
            <w:proofErr w:type="spellStart"/>
            <w:r w:rsidRPr="00245322">
              <w:rPr>
                <w:b/>
                <w:bCs/>
                <w:color w:val="000000"/>
                <w:sz w:val="20"/>
              </w:rPr>
              <w:t>million</w:t>
            </w:r>
            <w:proofErr w:type="spellEnd"/>
            <w:r w:rsidRPr="00245322">
              <w:rPr>
                <w:b/>
                <w:bCs/>
                <w:color w:val="000000"/>
                <w:sz w:val="20"/>
              </w:rPr>
              <w:t>)</w:t>
            </w:r>
          </w:p>
        </w:tc>
        <w:tc>
          <w:tcPr>
            <w:tcW w:w="1926" w:type="dxa"/>
            <w:vAlign w:val="center"/>
          </w:tcPr>
          <w:p w:rsidR="00671098" w:rsidRPr="005B1616" w:rsidRDefault="005B1616" w:rsidP="00A850F5">
            <w:pPr>
              <w:jc w:val="right"/>
              <w:rPr>
                <w:color w:val="000000"/>
                <w:sz w:val="20"/>
              </w:rPr>
            </w:pPr>
            <w:r>
              <w:rPr>
                <w:color w:val="000000"/>
                <w:sz w:val="20"/>
              </w:rPr>
              <w:t>$</w:t>
            </w:r>
            <w:r w:rsidR="00A850F5">
              <w:rPr>
                <w:color w:val="000000"/>
                <w:sz w:val="20"/>
              </w:rPr>
              <w:t>33.1</w:t>
            </w:r>
          </w:p>
        </w:tc>
        <w:tc>
          <w:tcPr>
            <w:tcW w:w="1926" w:type="dxa"/>
            <w:vAlign w:val="center"/>
          </w:tcPr>
          <w:p w:rsidR="00671098" w:rsidRPr="005B1616" w:rsidRDefault="005B1616" w:rsidP="00A850F5">
            <w:pPr>
              <w:jc w:val="right"/>
              <w:rPr>
                <w:color w:val="000000"/>
                <w:sz w:val="20"/>
              </w:rPr>
            </w:pPr>
            <w:r>
              <w:rPr>
                <w:color w:val="000000"/>
                <w:sz w:val="20"/>
              </w:rPr>
              <w:t>$</w:t>
            </w:r>
            <w:r w:rsidR="00A850F5">
              <w:rPr>
                <w:color w:val="000000"/>
                <w:sz w:val="20"/>
              </w:rPr>
              <w:t>82.9</w:t>
            </w:r>
          </w:p>
        </w:tc>
        <w:tc>
          <w:tcPr>
            <w:tcW w:w="1926" w:type="dxa"/>
            <w:vAlign w:val="center"/>
          </w:tcPr>
          <w:p w:rsidR="00671098" w:rsidRPr="005B1616" w:rsidRDefault="005B1616" w:rsidP="00A850F5">
            <w:pPr>
              <w:jc w:val="right"/>
              <w:rPr>
                <w:color w:val="000000"/>
                <w:sz w:val="20"/>
              </w:rPr>
            </w:pPr>
            <w:r>
              <w:rPr>
                <w:color w:val="000000"/>
                <w:sz w:val="20"/>
              </w:rPr>
              <w:t>$</w:t>
            </w:r>
            <w:r w:rsidR="00A850F5">
              <w:rPr>
                <w:color w:val="000000"/>
                <w:sz w:val="20"/>
              </w:rPr>
              <w:t>276.9</w:t>
            </w:r>
          </w:p>
        </w:tc>
      </w:tr>
      <w:tr w:rsidR="00A850F5" w:rsidRPr="00245322" w:rsidTr="005B1616">
        <w:tc>
          <w:tcPr>
            <w:tcW w:w="2943" w:type="dxa"/>
          </w:tcPr>
          <w:p w:rsidR="00A850F5" w:rsidRPr="00245322" w:rsidRDefault="00A850F5" w:rsidP="0081406E">
            <w:pPr>
              <w:pStyle w:val="BodyText"/>
              <w:spacing w:before="60" w:after="60"/>
              <w:jc w:val="left"/>
              <w:rPr>
                <w:b/>
                <w:bCs/>
                <w:color w:val="000000"/>
                <w:sz w:val="20"/>
              </w:rPr>
            </w:pPr>
            <w:r w:rsidRPr="00245322">
              <w:rPr>
                <w:b/>
                <w:bCs/>
                <w:color w:val="000000"/>
                <w:sz w:val="20"/>
              </w:rPr>
              <w:t>Total Benefits</w:t>
            </w:r>
            <w:r>
              <w:rPr>
                <w:b/>
                <w:bCs/>
                <w:color w:val="000000"/>
                <w:sz w:val="20"/>
              </w:rPr>
              <w:t xml:space="preserve"> </w:t>
            </w:r>
            <w:r w:rsidRPr="00245322">
              <w:rPr>
                <w:b/>
                <w:bCs/>
                <w:color w:val="000000"/>
                <w:sz w:val="20"/>
              </w:rPr>
              <w:t xml:space="preserve">($ </w:t>
            </w:r>
            <w:proofErr w:type="spellStart"/>
            <w:r w:rsidRPr="00245322">
              <w:rPr>
                <w:b/>
                <w:bCs/>
                <w:color w:val="000000"/>
                <w:sz w:val="20"/>
              </w:rPr>
              <w:t>million</w:t>
            </w:r>
            <w:proofErr w:type="spellEnd"/>
            <w:r w:rsidRPr="00245322">
              <w:rPr>
                <w:b/>
                <w:bCs/>
                <w:color w:val="000000"/>
                <w:sz w:val="20"/>
              </w:rPr>
              <w:t>)</w:t>
            </w:r>
          </w:p>
        </w:tc>
        <w:tc>
          <w:tcPr>
            <w:tcW w:w="1926" w:type="dxa"/>
            <w:vAlign w:val="center"/>
          </w:tcPr>
          <w:p w:rsidR="00A850F5" w:rsidRPr="005B1616" w:rsidRDefault="00A850F5" w:rsidP="00A850F5">
            <w:pPr>
              <w:jc w:val="right"/>
              <w:rPr>
                <w:color w:val="000000"/>
                <w:sz w:val="20"/>
              </w:rPr>
            </w:pPr>
            <w:r w:rsidRPr="00671098">
              <w:rPr>
                <w:bCs/>
                <w:sz w:val="20"/>
              </w:rPr>
              <w:t>$11.</w:t>
            </w:r>
            <w:r>
              <w:rPr>
                <w:bCs/>
                <w:sz w:val="20"/>
              </w:rPr>
              <w:t>5</w:t>
            </w:r>
          </w:p>
        </w:tc>
        <w:tc>
          <w:tcPr>
            <w:tcW w:w="1926" w:type="dxa"/>
            <w:vAlign w:val="center"/>
          </w:tcPr>
          <w:p w:rsidR="00A850F5" w:rsidRPr="005B1616" w:rsidRDefault="00A850F5" w:rsidP="005B1616">
            <w:pPr>
              <w:jc w:val="right"/>
              <w:rPr>
                <w:color w:val="000000"/>
                <w:sz w:val="20"/>
              </w:rPr>
            </w:pPr>
            <w:r w:rsidRPr="00671098">
              <w:rPr>
                <w:bCs/>
                <w:sz w:val="20"/>
              </w:rPr>
              <w:t>$</w:t>
            </w:r>
            <w:r>
              <w:rPr>
                <w:bCs/>
                <w:sz w:val="20"/>
              </w:rPr>
              <w:t>33.5</w:t>
            </w:r>
          </w:p>
        </w:tc>
        <w:tc>
          <w:tcPr>
            <w:tcW w:w="1926" w:type="dxa"/>
            <w:vAlign w:val="center"/>
          </w:tcPr>
          <w:p w:rsidR="00A850F5" w:rsidRPr="005B1616" w:rsidRDefault="00A850F5" w:rsidP="005B1616">
            <w:pPr>
              <w:jc w:val="right"/>
              <w:rPr>
                <w:color w:val="000000"/>
                <w:sz w:val="20"/>
              </w:rPr>
            </w:pPr>
            <w:r w:rsidRPr="00671098">
              <w:rPr>
                <w:bCs/>
                <w:sz w:val="20"/>
              </w:rPr>
              <w:t>$</w:t>
            </w:r>
            <w:r>
              <w:rPr>
                <w:bCs/>
                <w:sz w:val="20"/>
              </w:rPr>
              <w:t>170.6</w:t>
            </w:r>
          </w:p>
        </w:tc>
      </w:tr>
      <w:tr w:rsidR="00671098" w:rsidRPr="00245322" w:rsidTr="005B1616">
        <w:tc>
          <w:tcPr>
            <w:tcW w:w="2943" w:type="dxa"/>
          </w:tcPr>
          <w:p w:rsidR="00671098" w:rsidRPr="00245322" w:rsidRDefault="00671098" w:rsidP="0081406E">
            <w:pPr>
              <w:pStyle w:val="BodyText"/>
              <w:spacing w:before="60" w:after="60"/>
              <w:jc w:val="left"/>
              <w:rPr>
                <w:sz w:val="20"/>
              </w:rPr>
            </w:pPr>
            <w:r w:rsidRPr="00245322">
              <w:rPr>
                <w:b/>
                <w:bCs/>
                <w:color w:val="000000"/>
                <w:sz w:val="20"/>
              </w:rPr>
              <w:t xml:space="preserve">NPV ($ </w:t>
            </w:r>
            <w:proofErr w:type="spellStart"/>
            <w:r w:rsidRPr="00245322">
              <w:rPr>
                <w:b/>
                <w:bCs/>
                <w:color w:val="000000"/>
                <w:sz w:val="20"/>
              </w:rPr>
              <w:t>million</w:t>
            </w:r>
            <w:proofErr w:type="spellEnd"/>
            <w:r w:rsidRPr="00245322">
              <w:rPr>
                <w:b/>
                <w:bCs/>
                <w:color w:val="000000"/>
                <w:sz w:val="20"/>
              </w:rPr>
              <w:t>)</w:t>
            </w:r>
          </w:p>
        </w:tc>
        <w:tc>
          <w:tcPr>
            <w:tcW w:w="1926" w:type="dxa"/>
            <w:vAlign w:val="center"/>
          </w:tcPr>
          <w:p w:rsidR="00671098" w:rsidRPr="005B1616" w:rsidRDefault="00671098" w:rsidP="00D55184">
            <w:pPr>
              <w:jc w:val="right"/>
              <w:rPr>
                <w:color w:val="000000"/>
                <w:sz w:val="20"/>
              </w:rPr>
            </w:pPr>
            <w:r w:rsidRPr="005B1616">
              <w:rPr>
                <w:color w:val="000000"/>
                <w:sz w:val="20"/>
              </w:rPr>
              <w:t>-</w:t>
            </w:r>
            <w:r w:rsidR="005B1616">
              <w:rPr>
                <w:color w:val="000000"/>
                <w:sz w:val="20"/>
              </w:rPr>
              <w:t>$</w:t>
            </w:r>
            <w:r w:rsidRPr="005B1616">
              <w:rPr>
                <w:color w:val="000000"/>
                <w:sz w:val="20"/>
              </w:rPr>
              <w:t>2</w:t>
            </w:r>
            <w:r w:rsidR="00D55184">
              <w:rPr>
                <w:color w:val="000000"/>
                <w:sz w:val="20"/>
              </w:rPr>
              <w:t>1.6</w:t>
            </w:r>
          </w:p>
        </w:tc>
        <w:tc>
          <w:tcPr>
            <w:tcW w:w="1926" w:type="dxa"/>
            <w:vAlign w:val="center"/>
          </w:tcPr>
          <w:p w:rsidR="00671098" w:rsidRPr="005B1616" w:rsidRDefault="00671098" w:rsidP="00D55184">
            <w:pPr>
              <w:jc w:val="right"/>
              <w:rPr>
                <w:color w:val="000000"/>
                <w:sz w:val="20"/>
              </w:rPr>
            </w:pPr>
            <w:r w:rsidRPr="005B1616">
              <w:rPr>
                <w:color w:val="000000"/>
                <w:sz w:val="20"/>
              </w:rPr>
              <w:t>-</w:t>
            </w:r>
            <w:r w:rsidR="005B1616">
              <w:rPr>
                <w:color w:val="000000"/>
                <w:sz w:val="20"/>
              </w:rPr>
              <w:t>$</w:t>
            </w:r>
            <w:r w:rsidR="00D55184">
              <w:rPr>
                <w:color w:val="000000"/>
                <w:sz w:val="20"/>
              </w:rPr>
              <w:t>49.5</w:t>
            </w:r>
          </w:p>
        </w:tc>
        <w:tc>
          <w:tcPr>
            <w:tcW w:w="1926" w:type="dxa"/>
            <w:vAlign w:val="center"/>
          </w:tcPr>
          <w:p w:rsidR="00671098" w:rsidRPr="005B1616" w:rsidRDefault="00671098" w:rsidP="00D55184">
            <w:pPr>
              <w:jc w:val="right"/>
              <w:rPr>
                <w:color w:val="000000"/>
                <w:sz w:val="20"/>
              </w:rPr>
            </w:pPr>
            <w:r w:rsidRPr="005B1616">
              <w:rPr>
                <w:color w:val="000000"/>
                <w:sz w:val="20"/>
              </w:rPr>
              <w:t>-</w:t>
            </w:r>
            <w:r w:rsidR="005B1616">
              <w:rPr>
                <w:color w:val="000000"/>
                <w:sz w:val="20"/>
              </w:rPr>
              <w:t>$</w:t>
            </w:r>
            <w:r w:rsidR="00D55184">
              <w:rPr>
                <w:color w:val="000000"/>
                <w:sz w:val="20"/>
              </w:rPr>
              <w:t>106.3</w:t>
            </w:r>
          </w:p>
        </w:tc>
      </w:tr>
      <w:tr w:rsidR="00671098" w:rsidRPr="00245322" w:rsidTr="005B1616">
        <w:tc>
          <w:tcPr>
            <w:tcW w:w="2943" w:type="dxa"/>
          </w:tcPr>
          <w:p w:rsidR="00671098" w:rsidRPr="00245322" w:rsidRDefault="00671098" w:rsidP="0081406E">
            <w:pPr>
              <w:pStyle w:val="BodyText"/>
              <w:spacing w:before="60" w:after="60"/>
              <w:jc w:val="left"/>
              <w:rPr>
                <w:b/>
                <w:sz w:val="20"/>
              </w:rPr>
            </w:pPr>
            <w:r w:rsidRPr="00245322">
              <w:rPr>
                <w:b/>
                <w:bCs/>
                <w:color w:val="000000"/>
                <w:sz w:val="20"/>
              </w:rPr>
              <w:t xml:space="preserve">BCR </w:t>
            </w:r>
          </w:p>
        </w:tc>
        <w:tc>
          <w:tcPr>
            <w:tcW w:w="1926" w:type="dxa"/>
            <w:vAlign w:val="center"/>
          </w:tcPr>
          <w:p w:rsidR="00671098" w:rsidRPr="005B1616" w:rsidRDefault="00671098" w:rsidP="005B1616">
            <w:pPr>
              <w:jc w:val="right"/>
              <w:rPr>
                <w:color w:val="000000"/>
                <w:sz w:val="20"/>
              </w:rPr>
            </w:pPr>
            <w:r w:rsidRPr="005B1616">
              <w:rPr>
                <w:color w:val="000000"/>
                <w:sz w:val="20"/>
              </w:rPr>
              <w:t>0.3</w:t>
            </w:r>
            <w:r w:rsidR="00D55184">
              <w:rPr>
                <w:color w:val="000000"/>
                <w:sz w:val="20"/>
              </w:rPr>
              <w:t>5</w:t>
            </w:r>
          </w:p>
        </w:tc>
        <w:tc>
          <w:tcPr>
            <w:tcW w:w="1926" w:type="dxa"/>
            <w:vAlign w:val="center"/>
          </w:tcPr>
          <w:p w:rsidR="00671098" w:rsidRPr="005B1616" w:rsidRDefault="00671098" w:rsidP="00D55184">
            <w:pPr>
              <w:jc w:val="right"/>
              <w:rPr>
                <w:color w:val="000000"/>
                <w:sz w:val="20"/>
              </w:rPr>
            </w:pPr>
            <w:r w:rsidRPr="005B1616">
              <w:rPr>
                <w:color w:val="000000"/>
                <w:sz w:val="20"/>
              </w:rPr>
              <w:t>0.</w:t>
            </w:r>
            <w:r w:rsidR="00D55184">
              <w:rPr>
                <w:color w:val="000000"/>
                <w:sz w:val="20"/>
              </w:rPr>
              <w:t>40</w:t>
            </w:r>
          </w:p>
        </w:tc>
        <w:tc>
          <w:tcPr>
            <w:tcW w:w="1926" w:type="dxa"/>
            <w:vAlign w:val="center"/>
          </w:tcPr>
          <w:p w:rsidR="00671098" w:rsidRPr="005B1616" w:rsidRDefault="00671098" w:rsidP="00D55184">
            <w:pPr>
              <w:jc w:val="right"/>
              <w:rPr>
                <w:color w:val="000000"/>
                <w:sz w:val="20"/>
              </w:rPr>
            </w:pPr>
            <w:r w:rsidRPr="005B1616">
              <w:rPr>
                <w:color w:val="000000"/>
                <w:sz w:val="20"/>
              </w:rPr>
              <w:t>0.</w:t>
            </w:r>
            <w:r w:rsidR="00D55184">
              <w:rPr>
                <w:color w:val="000000"/>
                <w:sz w:val="20"/>
              </w:rPr>
              <w:t>62</w:t>
            </w:r>
          </w:p>
        </w:tc>
      </w:tr>
      <w:tr w:rsidR="00245322" w:rsidRPr="00245322" w:rsidTr="0081406E">
        <w:tc>
          <w:tcPr>
            <w:tcW w:w="8721" w:type="dxa"/>
            <w:gridSpan w:val="4"/>
            <w:shd w:val="clear" w:color="auto" w:fill="C6D9F1" w:themeFill="text2" w:themeFillTint="33"/>
          </w:tcPr>
          <w:p w:rsidR="00245322" w:rsidRPr="005B1616" w:rsidRDefault="00245322" w:rsidP="0081406E">
            <w:pPr>
              <w:pStyle w:val="BodyText"/>
              <w:spacing w:before="60" w:after="60"/>
              <w:jc w:val="left"/>
              <w:rPr>
                <w:sz w:val="20"/>
              </w:rPr>
            </w:pPr>
            <w:r w:rsidRPr="005B1616">
              <w:rPr>
                <w:b/>
                <w:sz w:val="20"/>
              </w:rPr>
              <w:t>Higher costs (+15 per cent)</w:t>
            </w:r>
          </w:p>
        </w:tc>
      </w:tr>
      <w:tr w:rsidR="00671098" w:rsidRPr="00245322" w:rsidTr="0081406E">
        <w:tc>
          <w:tcPr>
            <w:tcW w:w="2943" w:type="dxa"/>
            <w:shd w:val="clear" w:color="auto" w:fill="auto"/>
          </w:tcPr>
          <w:p w:rsidR="00671098" w:rsidRPr="00245322" w:rsidRDefault="00671098" w:rsidP="0081406E">
            <w:pPr>
              <w:pStyle w:val="BodyText"/>
              <w:spacing w:before="60" w:after="60"/>
              <w:jc w:val="left"/>
              <w:rPr>
                <w:b/>
                <w:bCs/>
                <w:color w:val="000000"/>
                <w:sz w:val="20"/>
              </w:rPr>
            </w:pPr>
            <w:r w:rsidRPr="00245322">
              <w:rPr>
                <w:b/>
                <w:bCs/>
                <w:color w:val="000000"/>
                <w:sz w:val="20"/>
              </w:rPr>
              <w:t>Total Costs</w:t>
            </w:r>
            <w:r>
              <w:rPr>
                <w:b/>
                <w:bCs/>
                <w:color w:val="000000"/>
                <w:sz w:val="20"/>
              </w:rPr>
              <w:t xml:space="preserve"> </w:t>
            </w:r>
            <w:r w:rsidRPr="00245322">
              <w:rPr>
                <w:b/>
                <w:bCs/>
                <w:color w:val="000000"/>
                <w:sz w:val="20"/>
              </w:rPr>
              <w:t xml:space="preserve">($ </w:t>
            </w:r>
            <w:proofErr w:type="spellStart"/>
            <w:r w:rsidRPr="00245322">
              <w:rPr>
                <w:b/>
                <w:bCs/>
                <w:color w:val="000000"/>
                <w:sz w:val="20"/>
              </w:rPr>
              <w:t>million</w:t>
            </w:r>
            <w:proofErr w:type="spellEnd"/>
            <w:r w:rsidRPr="00245322">
              <w:rPr>
                <w:b/>
                <w:bCs/>
                <w:color w:val="000000"/>
                <w:sz w:val="20"/>
              </w:rPr>
              <w:t>)</w:t>
            </w:r>
          </w:p>
        </w:tc>
        <w:tc>
          <w:tcPr>
            <w:tcW w:w="1926" w:type="dxa"/>
            <w:shd w:val="clear" w:color="auto" w:fill="auto"/>
            <w:vAlign w:val="bottom"/>
          </w:tcPr>
          <w:p w:rsidR="00671098" w:rsidRPr="005B1616" w:rsidRDefault="005B1616" w:rsidP="00D55184">
            <w:pPr>
              <w:jc w:val="right"/>
              <w:rPr>
                <w:color w:val="000000"/>
                <w:sz w:val="20"/>
              </w:rPr>
            </w:pPr>
            <w:r>
              <w:rPr>
                <w:color w:val="000000"/>
                <w:sz w:val="20"/>
              </w:rPr>
              <w:t>$</w:t>
            </w:r>
            <w:r w:rsidR="00D55184">
              <w:rPr>
                <w:color w:val="000000"/>
                <w:sz w:val="20"/>
              </w:rPr>
              <w:t>44.8</w:t>
            </w:r>
          </w:p>
        </w:tc>
        <w:tc>
          <w:tcPr>
            <w:tcW w:w="1926" w:type="dxa"/>
            <w:shd w:val="clear" w:color="auto" w:fill="auto"/>
            <w:vAlign w:val="bottom"/>
          </w:tcPr>
          <w:p w:rsidR="00671098" w:rsidRPr="005B1616" w:rsidRDefault="005B1616" w:rsidP="00D55184">
            <w:pPr>
              <w:jc w:val="right"/>
              <w:rPr>
                <w:color w:val="000000"/>
                <w:sz w:val="20"/>
              </w:rPr>
            </w:pPr>
            <w:r>
              <w:rPr>
                <w:color w:val="000000"/>
                <w:sz w:val="20"/>
              </w:rPr>
              <w:t>$</w:t>
            </w:r>
            <w:r w:rsidR="00671098" w:rsidRPr="005B1616">
              <w:rPr>
                <w:color w:val="000000"/>
                <w:sz w:val="20"/>
              </w:rPr>
              <w:t>1</w:t>
            </w:r>
            <w:r w:rsidR="00D55184">
              <w:rPr>
                <w:color w:val="000000"/>
                <w:sz w:val="20"/>
              </w:rPr>
              <w:t>12.2</w:t>
            </w:r>
          </w:p>
        </w:tc>
        <w:tc>
          <w:tcPr>
            <w:tcW w:w="1926" w:type="dxa"/>
            <w:shd w:val="clear" w:color="auto" w:fill="auto"/>
            <w:vAlign w:val="bottom"/>
          </w:tcPr>
          <w:p w:rsidR="00671098" w:rsidRPr="005B1616" w:rsidRDefault="005B1616" w:rsidP="00D55184">
            <w:pPr>
              <w:jc w:val="right"/>
              <w:rPr>
                <w:color w:val="000000"/>
                <w:sz w:val="20"/>
              </w:rPr>
            </w:pPr>
            <w:r>
              <w:rPr>
                <w:color w:val="000000"/>
                <w:sz w:val="20"/>
              </w:rPr>
              <w:t>$</w:t>
            </w:r>
            <w:r w:rsidR="00D55184">
              <w:rPr>
                <w:color w:val="000000"/>
                <w:sz w:val="20"/>
              </w:rPr>
              <w:t>374.6</w:t>
            </w:r>
          </w:p>
        </w:tc>
      </w:tr>
      <w:tr w:rsidR="00D55184" w:rsidRPr="00245322" w:rsidTr="00586D48">
        <w:tc>
          <w:tcPr>
            <w:tcW w:w="2943" w:type="dxa"/>
            <w:shd w:val="clear" w:color="auto" w:fill="auto"/>
          </w:tcPr>
          <w:p w:rsidR="00D55184" w:rsidRPr="00245322" w:rsidRDefault="00D55184" w:rsidP="0081406E">
            <w:pPr>
              <w:pStyle w:val="BodyText"/>
              <w:spacing w:before="60" w:after="60"/>
              <w:jc w:val="left"/>
              <w:rPr>
                <w:b/>
                <w:bCs/>
                <w:color w:val="000000"/>
                <w:sz w:val="20"/>
              </w:rPr>
            </w:pPr>
            <w:r w:rsidRPr="00245322">
              <w:rPr>
                <w:b/>
                <w:bCs/>
                <w:color w:val="000000"/>
                <w:sz w:val="20"/>
              </w:rPr>
              <w:t>Total Benefits</w:t>
            </w:r>
            <w:r>
              <w:rPr>
                <w:b/>
                <w:bCs/>
                <w:color w:val="000000"/>
                <w:sz w:val="20"/>
              </w:rPr>
              <w:t xml:space="preserve"> </w:t>
            </w:r>
            <w:r w:rsidRPr="00245322">
              <w:rPr>
                <w:b/>
                <w:bCs/>
                <w:color w:val="000000"/>
                <w:sz w:val="20"/>
              </w:rPr>
              <w:t xml:space="preserve">($ </w:t>
            </w:r>
            <w:proofErr w:type="spellStart"/>
            <w:r w:rsidRPr="00245322">
              <w:rPr>
                <w:b/>
                <w:bCs/>
                <w:color w:val="000000"/>
                <w:sz w:val="20"/>
              </w:rPr>
              <w:t>million</w:t>
            </w:r>
            <w:proofErr w:type="spellEnd"/>
            <w:r w:rsidRPr="00245322">
              <w:rPr>
                <w:b/>
                <w:bCs/>
                <w:color w:val="000000"/>
                <w:sz w:val="20"/>
              </w:rPr>
              <w:t>)</w:t>
            </w:r>
          </w:p>
        </w:tc>
        <w:tc>
          <w:tcPr>
            <w:tcW w:w="1926" w:type="dxa"/>
            <w:shd w:val="clear" w:color="auto" w:fill="auto"/>
            <w:vAlign w:val="center"/>
          </w:tcPr>
          <w:p w:rsidR="00D55184" w:rsidRPr="005B1616" w:rsidRDefault="00D55184">
            <w:pPr>
              <w:jc w:val="right"/>
              <w:rPr>
                <w:color w:val="000000"/>
                <w:sz w:val="20"/>
              </w:rPr>
            </w:pPr>
            <w:r w:rsidRPr="00671098">
              <w:rPr>
                <w:bCs/>
                <w:sz w:val="20"/>
              </w:rPr>
              <w:t>$11.</w:t>
            </w:r>
            <w:r>
              <w:rPr>
                <w:bCs/>
                <w:sz w:val="20"/>
              </w:rPr>
              <w:t>5</w:t>
            </w:r>
          </w:p>
        </w:tc>
        <w:tc>
          <w:tcPr>
            <w:tcW w:w="1926" w:type="dxa"/>
            <w:shd w:val="clear" w:color="auto" w:fill="auto"/>
            <w:vAlign w:val="center"/>
          </w:tcPr>
          <w:p w:rsidR="00D55184" w:rsidRPr="005B1616" w:rsidRDefault="00D55184">
            <w:pPr>
              <w:jc w:val="right"/>
              <w:rPr>
                <w:color w:val="000000"/>
                <w:sz w:val="20"/>
              </w:rPr>
            </w:pPr>
            <w:r w:rsidRPr="00671098">
              <w:rPr>
                <w:bCs/>
                <w:sz w:val="20"/>
              </w:rPr>
              <w:t>$</w:t>
            </w:r>
            <w:r>
              <w:rPr>
                <w:bCs/>
                <w:sz w:val="20"/>
              </w:rPr>
              <w:t>33.5</w:t>
            </w:r>
          </w:p>
        </w:tc>
        <w:tc>
          <w:tcPr>
            <w:tcW w:w="1926" w:type="dxa"/>
            <w:shd w:val="clear" w:color="auto" w:fill="auto"/>
            <w:vAlign w:val="center"/>
          </w:tcPr>
          <w:p w:rsidR="00D55184" w:rsidRPr="005B1616" w:rsidRDefault="00D55184">
            <w:pPr>
              <w:jc w:val="right"/>
              <w:rPr>
                <w:color w:val="000000"/>
                <w:sz w:val="20"/>
              </w:rPr>
            </w:pPr>
            <w:r w:rsidRPr="00671098">
              <w:rPr>
                <w:bCs/>
                <w:sz w:val="20"/>
              </w:rPr>
              <w:t>$</w:t>
            </w:r>
            <w:r>
              <w:rPr>
                <w:bCs/>
                <w:sz w:val="20"/>
              </w:rPr>
              <w:t>170.6</w:t>
            </w:r>
          </w:p>
        </w:tc>
      </w:tr>
      <w:tr w:rsidR="00671098" w:rsidRPr="00245322" w:rsidTr="0081406E">
        <w:tc>
          <w:tcPr>
            <w:tcW w:w="2943" w:type="dxa"/>
            <w:shd w:val="clear" w:color="auto" w:fill="auto"/>
          </w:tcPr>
          <w:p w:rsidR="00671098" w:rsidRPr="00245322" w:rsidRDefault="00671098" w:rsidP="0081406E">
            <w:pPr>
              <w:pStyle w:val="BodyText"/>
              <w:spacing w:before="60" w:after="60"/>
              <w:jc w:val="left"/>
              <w:rPr>
                <w:sz w:val="20"/>
              </w:rPr>
            </w:pPr>
            <w:r w:rsidRPr="00245322">
              <w:rPr>
                <w:b/>
                <w:bCs/>
                <w:color w:val="000000"/>
                <w:sz w:val="20"/>
              </w:rPr>
              <w:t xml:space="preserve">NPV ($ </w:t>
            </w:r>
            <w:proofErr w:type="spellStart"/>
            <w:r w:rsidRPr="00245322">
              <w:rPr>
                <w:b/>
                <w:bCs/>
                <w:color w:val="000000"/>
                <w:sz w:val="20"/>
              </w:rPr>
              <w:t>million</w:t>
            </w:r>
            <w:proofErr w:type="spellEnd"/>
            <w:r w:rsidRPr="00245322">
              <w:rPr>
                <w:b/>
                <w:bCs/>
                <w:color w:val="000000"/>
                <w:sz w:val="20"/>
              </w:rPr>
              <w:t>)</w:t>
            </w:r>
          </w:p>
        </w:tc>
        <w:tc>
          <w:tcPr>
            <w:tcW w:w="1926" w:type="dxa"/>
            <w:shd w:val="clear" w:color="auto" w:fill="auto"/>
            <w:vAlign w:val="bottom"/>
          </w:tcPr>
          <w:p w:rsidR="00671098" w:rsidRPr="005B1616" w:rsidRDefault="00671098" w:rsidP="00D55184">
            <w:pPr>
              <w:jc w:val="right"/>
              <w:rPr>
                <w:color w:val="000000"/>
                <w:sz w:val="20"/>
              </w:rPr>
            </w:pPr>
            <w:r w:rsidRPr="005B1616">
              <w:rPr>
                <w:color w:val="000000"/>
                <w:sz w:val="20"/>
              </w:rPr>
              <w:t>-</w:t>
            </w:r>
            <w:r w:rsidR="005B1616">
              <w:rPr>
                <w:color w:val="000000"/>
                <w:sz w:val="20"/>
              </w:rPr>
              <w:t>$</w:t>
            </w:r>
            <w:r w:rsidR="00D55184">
              <w:rPr>
                <w:color w:val="000000"/>
                <w:sz w:val="20"/>
              </w:rPr>
              <w:t>33.3</w:t>
            </w:r>
          </w:p>
        </w:tc>
        <w:tc>
          <w:tcPr>
            <w:tcW w:w="1926" w:type="dxa"/>
            <w:shd w:val="clear" w:color="auto" w:fill="auto"/>
            <w:vAlign w:val="bottom"/>
          </w:tcPr>
          <w:p w:rsidR="00671098" w:rsidRPr="005B1616" w:rsidRDefault="00671098" w:rsidP="00D55184">
            <w:pPr>
              <w:jc w:val="right"/>
              <w:rPr>
                <w:color w:val="000000"/>
                <w:sz w:val="20"/>
              </w:rPr>
            </w:pPr>
            <w:r w:rsidRPr="005B1616">
              <w:rPr>
                <w:color w:val="000000"/>
                <w:sz w:val="20"/>
              </w:rPr>
              <w:t>-</w:t>
            </w:r>
            <w:r w:rsidR="005B1616">
              <w:rPr>
                <w:color w:val="000000"/>
                <w:sz w:val="20"/>
              </w:rPr>
              <w:t>$</w:t>
            </w:r>
            <w:r w:rsidR="00D55184">
              <w:rPr>
                <w:color w:val="000000"/>
                <w:sz w:val="20"/>
              </w:rPr>
              <w:t>78.7</w:t>
            </w:r>
          </w:p>
        </w:tc>
        <w:tc>
          <w:tcPr>
            <w:tcW w:w="1926" w:type="dxa"/>
            <w:shd w:val="clear" w:color="auto" w:fill="auto"/>
            <w:vAlign w:val="bottom"/>
          </w:tcPr>
          <w:p w:rsidR="00671098" w:rsidRPr="005B1616" w:rsidRDefault="00671098" w:rsidP="00D55184">
            <w:pPr>
              <w:jc w:val="right"/>
              <w:rPr>
                <w:color w:val="000000"/>
                <w:sz w:val="20"/>
              </w:rPr>
            </w:pPr>
            <w:r w:rsidRPr="005B1616">
              <w:rPr>
                <w:color w:val="000000"/>
                <w:sz w:val="20"/>
              </w:rPr>
              <w:t>-</w:t>
            </w:r>
            <w:r w:rsidR="005B1616">
              <w:rPr>
                <w:color w:val="000000"/>
                <w:sz w:val="20"/>
              </w:rPr>
              <w:t>$</w:t>
            </w:r>
            <w:r w:rsidR="00D55184">
              <w:rPr>
                <w:color w:val="000000"/>
                <w:sz w:val="20"/>
              </w:rPr>
              <w:t>204.1</w:t>
            </w:r>
          </w:p>
        </w:tc>
      </w:tr>
      <w:tr w:rsidR="00671098" w:rsidRPr="00245322" w:rsidTr="0081406E">
        <w:tc>
          <w:tcPr>
            <w:tcW w:w="2943" w:type="dxa"/>
            <w:shd w:val="clear" w:color="auto" w:fill="auto"/>
          </w:tcPr>
          <w:p w:rsidR="00671098" w:rsidRPr="00245322" w:rsidRDefault="00671098" w:rsidP="0081406E">
            <w:pPr>
              <w:pStyle w:val="BodyText"/>
              <w:spacing w:before="60" w:after="60"/>
              <w:jc w:val="left"/>
              <w:rPr>
                <w:sz w:val="20"/>
              </w:rPr>
            </w:pPr>
            <w:r w:rsidRPr="00245322">
              <w:rPr>
                <w:b/>
                <w:bCs/>
                <w:color w:val="000000"/>
                <w:sz w:val="20"/>
              </w:rPr>
              <w:t xml:space="preserve">BCR </w:t>
            </w:r>
          </w:p>
        </w:tc>
        <w:tc>
          <w:tcPr>
            <w:tcW w:w="1926" w:type="dxa"/>
            <w:shd w:val="clear" w:color="auto" w:fill="auto"/>
            <w:vAlign w:val="bottom"/>
          </w:tcPr>
          <w:p w:rsidR="00671098" w:rsidRPr="005B1616" w:rsidRDefault="00671098">
            <w:pPr>
              <w:jc w:val="right"/>
              <w:rPr>
                <w:color w:val="000000"/>
                <w:sz w:val="20"/>
              </w:rPr>
            </w:pPr>
            <w:r w:rsidRPr="005B1616">
              <w:rPr>
                <w:color w:val="000000"/>
                <w:sz w:val="20"/>
              </w:rPr>
              <w:t>0.2</w:t>
            </w:r>
            <w:r w:rsidR="00D55184">
              <w:rPr>
                <w:color w:val="000000"/>
                <w:sz w:val="20"/>
              </w:rPr>
              <w:t>6</w:t>
            </w:r>
          </w:p>
        </w:tc>
        <w:tc>
          <w:tcPr>
            <w:tcW w:w="1926" w:type="dxa"/>
            <w:shd w:val="clear" w:color="auto" w:fill="auto"/>
            <w:vAlign w:val="bottom"/>
          </w:tcPr>
          <w:p w:rsidR="00671098" w:rsidRPr="005B1616" w:rsidRDefault="00671098">
            <w:pPr>
              <w:jc w:val="right"/>
              <w:rPr>
                <w:color w:val="000000"/>
                <w:sz w:val="20"/>
              </w:rPr>
            </w:pPr>
            <w:r w:rsidRPr="005B1616">
              <w:rPr>
                <w:color w:val="000000"/>
                <w:sz w:val="20"/>
              </w:rPr>
              <w:t>0.</w:t>
            </w:r>
            <w:r w:rsidR="00D55184">
              <w:rPr>
                <w:color w:val="000000"/>
                <w:sz w:val="20"/>
              </w:rPr>
              <w:t>30</w:t>
            </w:r>
          </w:p>
        </w:tc>
        <w:tc>
          <w:tcPr>
            <w:tcW w:w="1926" w:type="dxa"/>
            <w:shd w:val="clear" w:color="auto" w:fill="auto"/>
            <w:vAlign w:val="bottom"/>
          </w:tcPr>
          <w:p w:rsidR="00671098" w:rsidRPr="005B1616" w:rsidRDefault="00671098" w:rsidP="00D55184">
            <w:pPr>
              <w:jc w:val="right"/>
              <w:rPr>
                <w:color w:val="000000"/>
                <w:sz w:val="20"/>
              </w:rPr>
            </w:pPr>
            <w:r w:rsidRPr="005B1616">
              <w:rPr>
                <w:color w:val="000000"/>
                <w:sz w:val="20"/>
              </w:rPr>
              <w:t>0.</w:t>
            </w:r>
            <w:r w:rsidR="00D55184">
              <w:rPr>
                <w:color w:val="000000"/>
                <w:sz w:val="20"/>
              </w:rPr>
              <w:t>46</w:t>
            </w:r>
          </w:p>
        </w:tc>
      </w:tr>
    </w:tbl>
    <w:p w:rsidR="00245322" w:rsidRDefault="00245322" w:rsidP="00245322">
      <w:pPr>
        <w:pStyle w:val="Source"/>
      </w:pPr>
      <w:r>
        <w:t>NOTE: Totals may not sum due to rounding. All values are incremental to the base case.</w:t>
      </w:r>
    </w:p>
    <w:p w:rsidR="00245322" w:rsidRDefault="00245322" w:rsidP="00245322">
      <w:pPr>
        <w:pStyle w:val="Source"/>
      </w:pPr>
      <w:r>
        <w:t>Source: KPMG analysis</w:t>
      </w:r>
    </w:p>
    <w:p w:rsidR="0081406E" w:rsidRDefault="00AE06D7">
      <w:pPr>
        <w:pStyle w:val="BodyText"/>
      </w:pPr>
      <w:r>
        <w:t>Sensitivity analysis highlights that despite a 15 per cent reduction in total costs, the costs of each option still outweigh the relative benefits.</w:t>
      </w:r>
    </w:p>
    <w:p w:rsidR="0081406E" w:rsidRDefault="00AD1417">
      <w:pPr>
        <w:pStyle w:val="Heading3"/>
      </w:pPr>
      <w:r>
        <w:t>Benefits associated with avoided landfill and resource and refrigerant recovery</w:t>
      </w:r>
    </w:p>
    <w:p w:rsidR="006F5750" w:rsidRDefault="00AE06D7" w:rsidP="00AD54B5">
      <w:pPr>
        <w:pStyle w:val="BodyText"/>
      </w:pPr>
      <w:r>
        <w:t xml:space="preserve">Sensitivity analysis was undertaken to highlight the effect of a change in the benefits under each option. The results of the analysis are outlined in </w:t>
      </w:r>
      <w:r w:rsidR="00586F30">
        <w:fldChar w:fldCharType="begin"/>
      </w:r>
      <w:r>
        <w:instrText xml:space="preserve"> REF _Ref393092862 \h </w:instrText>
      </w:r>
      <w:r w:rsidR="00586F30">
        <w:fldChar w:fldCharType="separate"/>
      </w:r>
      <w:r w:rsidR="001E5D7A">
        <w:t xml:space="preserve">Table </w:t>
      </w:r>
      <w:r w:rsidR="001E5D7A">
        <w:rPr>
          <w:noProof/>
        </w:rPr>
        <w:t>5</w:t>
      </w:r>
      <w:r w:rsidR="001E5D7A">
        <w:noBreakHyphen/>
      </w:r>
      <w:r w:rsidR="001E5D7A">
        <w:rPr>
          <w:noProof/>
        </w:rPr>
        <w:t>9</w:t>
      </w:r>
      <w:r w:rsidR="00586F30">
        <w:fldChar w:fldCharType="end"/>
      </w:r>
      <w:r>
        <w:t>.</w:t>
      </w:r>
    </w:p>
    <w:p w:rsidR="00261751" w:rsidRDefault="00261751" w:rsidP="00261751">
      <w:pPr>
        <w:pStyle w:val="BodyText"/>
      </w:pPr>
      <w:r>
        <w:t xml:space="preserve">As expected, an increase in benefits under each option increases the NPV and BCR. However, costs under each option still outweigh the benefits. </w:t>
      </w:r>
    </w:p>
    <w:p w:rsidR="00245322" w:rsidRDefault="00245322" w:rsidP="00245322">
      <w:pPr>
        <w:pStyle w:val="Caption"/>
      </w:pPr>
      <w:bookmarkStart w:id="93" w:name="_Ref393092862"/>
      <w:r>
        <w:t xml:space="preserve">Table </w:t>
      </w:r>
      <w:r w:rsidR="00586F30">
        <w:fldChar w:fldCharType="begin"/>
      </w:r>
      <w:r w:rsidR="00C478AE">
        <w:instrText xml:space="preserve"> STYLEREF 1 \s </w:instrText>
      </w:r>
      <w:r w:rsidR="00586F30">
        <w:fldChar w:fldCharType="separate"/>
      </w:r>
      <w:r w:rsidR="001E5D7A">
        <w:rPr>
          <w:noProof/>
        </w:rPr>
        <w:t>5</w:t>
      </w:r>
      <w:r w:rsidR="00586F30">
        <w:rPr>
          <w:noProof/>
        </w:rPr>
        <w:fldChar w:fldCharType="end"/>
      </w:r>
      <w:r w:rsidR="00CE3BAC">
        <w:noBreakHyphen/>
      </w:r>
      <w:r w:rsidR="00586F30">
        <w:fldChar w:fldCharType="begin"/>
      </w:r>
      <w:r w:rsidR="00C478AE">
        <w:instrText xml:space="preserve"> SEQ Table \* ARABIC \s 1 </w:instrText>
      </w:r>
      <w:r w:rsidR="00586F30">
        <w:fldChar w:fldCharType="separate"/>
      </w:r>
      <w:r w:rsidR="001E5D7A">
        <w:rPr>
          <w:noProof/>
        </w:rPr>
        <w:t>9</w:t>
      </w:r>
      <w:r w:rsidR="00586F30">
        <w:rPr>
          <w:noProof/>
        </w:rPr>
        <w:fldChar w:fldCharType="end"/>
      </w:r>
      <w:bookmarkEnd w:id="93"/>
      <w:r>
        <w:t>: Sensitivity analysis results- benefits (NPV @ 7% $million 2014)</w:t>
      </w:r>
    </w:p>
    <w:tbl>
      <w:tblPr>
        <w:tblStyle w:val="TableGrid"/>
        <w:tblW w:w="0" w:type="auto"/>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tblPr>
      <w:tblGrid>
        <w:gridCol w:w="2943"/>
        <w:gridCol w:w="1926"/>
        <w:gridCol w:w="1926"/>
        <w:gridCol w:w="1926"/>
      </w:tblGrid>
      <w:tr w:rsidR="00245322" w:rsidRPr="00BF08BF" w:rsidTr="0081406E">
        <w:trPr>
          <w:tblHeader/>
        </w:trPr>
        <w:tc>
          <w:tcPr>
            <w:tcW w:w="2943" w:type="dxa"/>
            <w:shd w:val="clear" w:color="auto" w:fill="1F497D" w:themeFill="text2"/>
          </w:tcPr>
          <w:p w:rsidR="00245322" w:rsidRPr="00BF08BF" w:rsidRDefault="00245322" w:rsidP="0081406E">
            <w:pPr>
              <w:pStyle w:val="BodyText"/>
              <w:spacing w:before="60" w:after="60"/>
              <w:rPr>
                <w:sz w:val="20"/>
              </w:rPr>
            </w:pPr>
          </w:p>
        </w:tc>
        <w:tc>
          <w:tcPr>
            <w:tcW w:w="1926" w:type="dxa"/>
            <w:shd w:val="clear" w:color="auto" w:fill="1F497D" w:themeFill="text2"/>
          </w:tcPr>
          <w:p w:rsidR="00245322" w:rsidRPr="00BF08BF" w:rsidRDefault="00245322" w:rsidP="0081406E">
            <w:pPr>
              <w:pStyle w:val="BodyText"/>
              <w:spacing w:before="60" w:after="60"/>
              <w:jc w:val="right"/>
              <w:rPr>
                <w:b/>
                <w:color w:val="FFFFFF" w:themeColor="background1"/>
                <w:sz w:val="20"/>
              </w:rPr>
            </w:pPr>
            <w:r w:rsidRPr="00BF08BF">
              <w:rPr>
                <w:b/>
                <w:color w:val="FFFFFF" w:themeColor="background1"/>
                <w:sz w:val="20"/>
              </w:rPr>
              <w:t xml:space="preserve">Option 1 – Voluntary </w:t>
            </w:r>
            <w:r w:rsidRPr="00BF08BF">
              <w:rPr>
                <w:b/>
                <w:color w:val="FFFFFF" w:themeColor="background1"/>
                <w:sz w:val="20"/>
              </w:rPr>
              <w:br/>
              <w:t>Scheme</w:t>
            </w:r>
          </w:p>
        </w:tc>
        <w:tc>
          <w:tcPr>
            <w:tcW w:w="1926" w:type="dxa"/>
            <w:shd w:val="clear" w:color="auto" w:fill="1F497D" w:themeFill="text2"/>
          </w:tcPr>
          <w:p w:rsidR="00245322" w:rsidRPr="00BF08BF" w:rsidRDefault="00245322" w:rsidP="0081406E">
            <w:pPr>
              <w:pStyle w:val="BodyText"/>
              <w:spacing w:before="60" w:after="60"/>
              <w:jc w:val="right"/>
              <w:rPr>
                <w:b/>
                <w:color w:val="FFFFFF" w:themeColor="background1"/>
                <w:sz w:val="20"/>
              </w:rPr>
            </w:pPr>
            <w:r w:rsidRPr="00BF08BF">
              <w:rPr>
                <w:b/>
                <w:color w:val="FFFFFF" w:themeColor="background1"/>
                <w:sz w:val="20"/>
              </w:rPr>
              <w:t xml:space="preserve">Option 2 – </w:t>
            </w:r>
            <w:r w:rsidRPr="00BF08BF">
              <w:rPr>
                <w:b/>
                <w:color w:val="FFFFFF" w:themeColor="background1"/>
                <w:sz w:val="20"/>
              </w:rPr>
              <w:br/>
              <w:t>Co-Regulatory Approach</w:t>
            </w:r>
          </w:p>
        </w:tc>
        <w:tc>
          <w:tcPr>
            <w:tcW w:w="1926" w:type="dxa"/>
            <w:shd w:val="clear" w:color="auto" w:fill="1F497D" w:themeFill="text2"/>
          </w:tcPr>
          <w:p w:rsidR="00245322" w:rsidRPr="00BF08BF" w:rsidRDefault="00245322" w:rsidP="0081406E">
            <w:pPr>
              <w:pStyle w:val="BodyText"/>
              <w:spacing w:before="60" w:after="60"/>
              <w:jc w:val="right"/>
              <w:rPr>
                <w:b/>
                <w:color w:val="FFFFFF" w:themeColor="background1"/>
                <w:sz w:val="20"/>
              </w:rPr>
            </w:pPr>
            <w:r w:rsidRPr="00BF08BF">
              <w:rPr>
                <w:b/>
                <w:color w:val="FFFFFF" w:themeColor="background1"/>
                <w:sz w:val="20"/>
              </w:rPr>
              <w:t xml:space="preserve">Option 3 – Mandatory </w:t>
            </w:r>
            <w:r w:rsidRPr="00BF08BF">
              <w:rPr>
                <w:b/>
                <w:color w:val="FFFFFF" w:themeColor="background1"/>
                <w:sz w:val="20"/>
              </w:rPr>
              <w:br/>
              <w:t>Scheme</w:t>
            </w:r>
          </w:p>
        </w:tc>
      </w:tr>
      <w:tr w:rsidR="00245322" w:rsidRPr="00BF08BF" w:rsidTr="0081406E">
        <w:tc>
          <w:tcPr>
            <w:tcW w:w="8721" w:type="dxa"/>
            <w:gridSpan w:val="4"/>
            <w:shd w:val="clear" w:color="auto" w:fill="C6D9F1" w:themeFill="text2" w:themeFillTint="33"/>
          </w:tcPr>
          <w:p w:rsidR="00245322" w:rsidRPr="00BF08BF" w:rsidRDefault="00245322" w:rsidP="0081406E">
            <w:pPr>
              <w:pStyle w:val="BodyText"/>
              <w:spacing w:before="60" w:after="60"/>
              <w:rPr>
                <w:b/>
                <w:sz w:val="20"/>
              </w:rPr>
            </w:pPr>
            <w:r w:rsidRPr="00BF08BF">
              <w:rPr>
                <w:b/>
                <w:sz w:val="20"/>
              </w:rPr>
              <w:t>Central Assumption</w:t>
            </w:r>
          </w:p>
        </w:tc>
      </w:tr>
      <w:tr w:rsidR="00D55184" w:rsidRPr="00BF08BF" w:rsidTr="001569E6">
        <w:trPr>
          <w:trHeight w:val="323"/>
        </w:trPr>
        <w:tc>
          <w:tcPr>
            <w:tcW w:w="2943" w:type="dxa"/>
            <w:shd w:val="clear" w:color="auto" w:fill="auto"/>
          </w:tcPr>
          <w:p w:rsidR="00D55184" w:rsidRPr="00245322" w:rsidRDefault="00D55184" w:rsidP="00AE06D7">
            <w:pPr>
              <w:pStyle w:val="BodyText"/>
              <w:spacing w:before="60" w:after="60"/>
              <w:jc w:val="left"/>
              <w:rPr>
                <w:b/>
                <w:bCs/>
                <w:color w:val="000000"/>
                <w:sz w:val="20"/>
              </w:rPr>
            </w:pPr>
            <w:r w:rsidRPr="00245322">
              <w:rPr>
                <w:b/>
                <w:bCs/>
                <w:color w:val="000000"/>
                <w:sz w:val="20"/>
              </w:rPr>
              <w:t>Total Costs</w:t>
            </w:r>
            <w:r>
              <w:rPr>
                <w:b/>
                <w:bCs/>
                <w:color w:val="000000"/>
                <w:sz w:val="20"/>
              </w:rPr>
              <w:t xml:space="preserve"> </w:t>
            </w:r>
            <w:r w:rsidRPr="00245322">
              <w:rPr>
                <w:b/>
                <w:bCs/>
                <w:color w:val="000000"/>
                <w:sz w:val="20"/>
              </w:rPr>
              <w:t xml:space="preserve">($ </w:t>
            </w:r>
            <w:proofErr w:type="spellStart"/>
            <w:r w:rsidRPr="00245322">
              <w:rPr>
                <w:b/>
                <w:bCs/>
                <w:color w:val="000000"/>
                <w:sz w:val="20"/>
              </w:rPr>
              <w:t>million</w:t>
            </w:r>
            <w:proofErr w:type="spellEnd"/>
            <w:r w:rsidRPr="00245322">
              <w:rPr>
                <w:b/>
                <w:bCs/>
                <w:color w:val="000000"/>
                <w:sz w:val="20"/>
              </w:rPr>
              <w:t>)</w:t>
            </w:r>
          </w:p>
        </w:tc>
        <w:tc>
          <w:tcPr>
            <w:tcW w:w="1926" w:type="dxa"/>
            <w:shd w:val="clear" w:color="auto" w:fill="auto"/>
            <w:vAlign w:val="center"/>
          </w:tcPr>
          <w:p w:rsidR="00D55184" w:rsidRPr="001569E6" w:rsidRDefault="00D55184" w:rsidP="001569E6">
            <w:pPr>
              <w:jc w:val="right"/>
              <w:rPr>
                <w:bCs/>
                <w:sz w:val="20"/>
              </w:rPr>
            </w:pPr>
            <w:r w:rsidRPr="00671098">
              <w:rPr>
                <w:bCs/>
                <w:sz w:val="20"/>
              </w:rPr>
              <w:t>$</w:t>
            </w:r>
            <w:r>
              <w:rPr>
                <w:bCs/>
                <w:sz w:val="20"/>
              </w:rPr>
              <w:t>39.0</w:t>
            </w:r>
          </w:p>
        </w:tc>
        <w:tc>
          <w:tcPr>
            <w:tcW w:w="1926" w:type="dxa"/>
            <w:shd w:val="clear" w:color="auto" w:fill="auto"/>
            <w:vAlign w:val="center"/>
          </w:tcPr>
          <w:p w:rsidR="00D55184" w:rsidRPr="001569E6" w:rsidRDefault="00D55184" w:rsidP="001569E6">
            <w:pPr>
              <w:jc w:val="right"/>
              <w:rPr>
                <w:bCs/>
                <w:sz w:val="20"/>
              </w:rPr>
            </w:pPr>
            <w:r w:rsidRPr="00671098">
              <w:rPr>
                <w:bCs/>
                <w:sz w:val="20"/>
              </w:rPr>
              <w:t>$</w:t>
            </w:r>
            <w:r>
              <w:rPr>
                <w:bCs/>
                <w:sz w:val="20"/>
              </w:rPr>
              <w:t>97.6</w:t>
            </w:r>
          </w:p>
        </w:tc>
        <w:tc>
          <w:tcPr>
            <w:tcW w:w="1926" w:type="dxa"/>
            <w:shd w:val="clear" w:color="auto" w:fill="auto"/>
            <w:vAlign w:val="center"/>
          </w:tcPr>
          <w:p w:rsidR="00D55184" w:rsidRPr="001569E6" w:rsidRDefault="00D55184" w:rsidP="001569E6">
            <w:pPr>
              <w:jc w:val="right"/>
              <w:rPr>
                <w:bCs/>
                <w:sz w:val="20"/>
              </w:rPr>
            </w:pPr>
            <w:r w:rsidRPr="00671098">
              <w:rPr>
                <w:bCs/>
                <w:sz w:val="20"/>
              </w:rPr>
              <w:t>$</w:t>
            </w:r>
            <w:r>
              <w:rPr>
                <w:bCs/>
                <w:sz w:val="20"/>
              </w:rPr>
              <w:t>325.8</w:t>
            </w:r>
          </w:p>
        </w:tc>
      </w:tr>
      <w:tr w:rsidR="00D55184" w:rsidRPr="00BF08BF" w:rsidTr="001569E6">
        <w:trPr>
          <w:trHeight w:val="323"/>
        </w:trPr>
        <w:tc>
          <w:tcPr>
            <w:tcW w:w="2943" w:type="dxa"/>
            <w:shd w:val="clear" w:color="auto" w:fill="auto"/>
          </w:tcPr>
          <w:p w:rsidR="00D55184" w:rsidRPr="00245322" w:rsidRDefault="00D55184" w:rsidP="00AE06D7">
            <w:pPr>
              <w:pStyle w:val="BodyText"/>
              <w:spacing w:before="60" w:after="60"/>
              <w:jc w:val="left"/>
              <w:rPr>
                <w:b/>
                <w:bCs/>
                <w:color w:val="000000"/>
                <w:sz w:val="20"/>
              </w:rPr>
            </w:pPr>
            <w:r w:rsidRPr="00245322">
              <w:rPr>
                <w:b/>
                <w:bCs/>
                <w:color w:val="000000"/>
                <w:sz w:val="20"/>
              </w:rPr>
              <w:t>Total Benefits</w:t>
            </w:r>
            <w:r>
              <w:rPr>
                <w:b/>
                <w:bCs/>
                <w:color w:val="000000"/>
                <w:sz w:val="20"/>
              </w:rPr>
              <w:t xml:space="preserve"> </w:t>
            </w:r>
            <w:r w:rsidRPr="00245322">
              <w:rPr>
                <w:b/>
                <w:bCs/>
                <w:color w:val="000000"/>
                <w:sz w:val="20"/>
              </w:rPr>
              <w:t xml:space="preserve">($ </w:t>
            </w:r>
            <w:proofErr w:type="spellStart"/>
            <w:r w:rsidRPr="00245322">
              <w:rPr>
                <w:b/>
                <w:bCs/>
                <w:color w:val="000000"/>
                <w:sz w:val="20"/>
              </w:rPr>
              <w:t>million</w:t>
            </w:r>
            <w:proofErr w:type="spellEnd"/>
            <w:r w:rsidRPr="00245322">
              <w:rPr>
                <w:b/>
                <w:bCs/>
                <w:color w:val="000000"/>
                <w:sz w:val="20"/>
              </w:rPr>
              <w:t>)</w:t>
            </w:r>
          </w:p>
        </w:tc>
        <w:tc>
          <w:tcPr>
            <w:tcW w:w="1926" w:type="dxa"/>
            <w:shd w:val="clear" w:color="auto" w:fill="auto"/>
            <w:vAlign w:val="center"/>
          </w:tcPr>
          <w:p w:rsidR="00D55184" w:rsidRPr="001569E6" w:rsidRDefault="00D55184" w:rsidP="001569E6">
            <w:pPr>
              <w:jc w:val="right"/>
              <w:rPr>
                <w:bCs/>
                <w:sz w:val="20"/>
              </w:rPr>
            </w:pPr>
            <w:r w:rsidRPr="00671098">
              <w:rPr>
                <w:bCs/>
                <w:sz w:val="20"/>
              </w:rPr>
              <w:t>$11.</w:t>
            </w:r>
            <w:r>
              <w:rPr>
                <w:bCs/>
                <w:sz w:val="20"/>
              </w:rPr>
              <w:t>5</w:t>
            </w:r>
          </w:p>
        </w:tc>
        <w:tc>
          <w:tcPr>
            <w:tcW w:w="1926" w:type="dxa"/>
            <w:shd w:val="clear" w:color="auto" w:fill="auto"/>
            <w:vAlign w:val="center"/>
          </w:tcPr>
          <w:p w:rsidR="00D55184" w:rsidRPr="001569E6" w:rsidRDefault="00D55184" w:rsidP="001569E6">
            <w:pPr>
              <w:jc w:val="right"/>
              <w:rPr>
                <w:bCs/>
                <w:sz w:val="20"/>
              </w:rPr>
            </w:pPr>
            <w:r w:rsidRPr="00671098">
              <w:rPr>
                <w:bCs/>
                <w:sz w:val="20"/>
              </w:rPr>
              <w:t>$</w:t>
            </w:r>
            <w:r>
              <w:rPr>
                <w:bCs/>
                <w:sz w:val="20"/>
              </w:rPr>
              <w:t>33.5</w:t>
            </w:r>
          </w:p>
        </w:tc>
        <w:tc>
          <w:tcPr>
            <w:tcW w:w="1926" w:type="dxa"/>
            <w:shd w:val="clear" w:color="auto" w:fill="auto"/>
            <w:vAlign w:val="center"/>
          </w:tcPr>
          <w:p w:rsidR="00D55184" w:rsidRPr="001569E6" w:rsidRDefault="00D55184" w:rsidP="001569E6">
            <w:pPr>
              <w:jc w:val="right"/>
              <w:rPr>
                <w:bCs/>
                <w:sz w:val="20"/>
              </w:rPr>
            </w:pPr>
            <w:r w:rsidRPr="00671098">
              <w:rPr>
                <w:bCs/>
                <w:sz w:val="20"/>
              </w:rPr>
              <w:t>$</w:t>
            </w:r>
            <w:r>
              <w:rPr>
                <w:bCs/>
                <w:sz w:val="20"/>
              </w:rPr>
              <w:t>170.6</w:t>
            </w:r>
          </w:p>
        </w:tc>
      </w:tr>
      <w:tr w:rsidR="001569E6" w:rsidRPr="00BF08BF" w:rsidTr="001569E6">
        <w:trPr>
          <w:trHeight w:val="323"/>
        </w:trPr>
        <w:tc>
          <w:tcPr>
            <w:tcW w:w="2943" w:type="dxa"/>
            <w:shd w:val="clear" w:color="auto" w:fill="auto"/>
          </w:tcPr>
          <w:p w:rsidR="001569E6" w:rsidRPr="00245322" w:rsidRDefault="001569E6" w:rsidP="00AE06D7">
            <w:pPr>
              <w:pStyle w:val="BodyText"/>
              <w:spacing w:before="60" w:after="60"/>
              <w:jc w:val="left"/>
              <w:rPr>
                <w:sz w:val="20"/>
              </w:rPr>
            </w:pPr>
            <w:r w:rsidRPr="00245322">
              <w:rPr>
                <w:b/>
                <w:bCs/>
                <w:color w:val="000000"/>
                <w:sz w:val="20"/>
              </w:rPr>
              <w:t xml:space="preserve">NPV ($ </w:t>
            </w:r>
            <w:proofErr w:type="spellStart"/>
            <w:r w:rsidRPr="00245322">
              <w:rPr>
                <w:b/>
                <w:bCs/>
                <w:color w:val="000000"/>
                <w:sz w:val="20"/>
              </w:rPr>
              <w:t>million</w:t>
            </w:r>
            <w:proofErr w:type="spellEnd"/>
            <w:r w:rsidRPr="00245322">
              <w:rPr>
                <w:b/>
                <w:bCs/>
                <w:color w:val="000000"/>
                <w:sz w:val="20"/>
              </w:rPr>
              <w:t>)</w:t>
            </w:r>
          </w:p>
        </w:tc>
        <w:tc>
          <w:tcPr>
            <w:tcW w:w="1926" w:type="dxa"/>
            <w:shd w:val="clear" w:color="auto" w:fill="auto"/>
            <w:vAlign w:val="center"/>
          </w:tcPr>
          <w:p w:rsidR="001569E6" w:rsidRPr="001569E6" w:rsidRDefault="001569E6" w:rsidP="00D55184">
            <w:pPr>
              <w:jc w:val="right"/>
              <w:rPr>
                <w:sz w:val="20"/>
              </w:rPr>
            </w:pPr>
            <w:r w:rsidRPr="001569E6">
              <w:rPr>
                <w:sz w:val="20"/>
              </w:rPr>
              <w:t>-$</w:t>
            </w:r>
            <w:r w:rsidR="00D55184">
              <w:rPr>
                <w:sz w:val="20"/>
              </w:rPr>
              <w:t>2</w:t>
            </w:r>
            <w:r w:rsidR="00D55184" w:rsidRPr="001569E6">
              <w:rPr>
                <w:sz w:val="20"/>
              </w:rPr>
              <w:t>7</w:t>
            </w:r>
            <w:r w:rsidRPr="001569E6">
              <w:rPr>
                <w:sz w:val="20"/>
              </w:rPr>
              <w:t>.</w:t>
            </w:r>
            <w:r w:rsidR="00D55184">
              <w:rPr>
                <w:sz w:val="20"/>
              </w:rPr>
              <w:t>4</w:t>
            </w:r>
          </w:p>
        </w:tc>
        <w:tc>
          <w:tcPr>
            <w:tcW w:w="1926" w:type="dxa"/>
            <w:shd w:val="clear" w:color="auto" w:fill="auto"/>
            <w:vAlign w:val="center"/>
          </w:tcPr>
          <w:p w:rsidR="001569E6" w:rsidRPr="001569E6" w:rsidRDefault="001569E6" w:rsidP="00D55184">
            <w:pPr>
              <w:jc w:val="right"/>
              <w:rPr>
                <w:sz w:val="20"/>
              </w:rPr>
            </w:pPr>
            <w:r w:rsidRPr="001569E6">
              <w:rPr>
                <w:sz w:val="20"/>
              </w:rPr>
              <w:t>-$</w:t>
            </w:r>
            <w:r w:rsidR="00D55184">
              <w:rPr>
                <w:sz w:val="20"/>
              </w:rPr>
              <w:t>64.1</w:t>
            </w:r>
          </w:p>
        </w:tc>
        <w:tc>
          <w:tcPr>
            <w:tcW w:w="1926" w:type="dxa"/>
            <w:shd w:val="clear" w:color="auto" w:fill="auto"/>
            <w:vAlign w:val="center"/>
          </w:tcPr>
          <w:p w:rsidR="001569E6" w:rsidRPr="001569E6" w:rsidRDefault="001569E6" w:rsidP="00D55184">
            <w:pPr>
              <w:jc w:val="right"/>
              <w:rPr>
                <w:sz w:val="20"/>
              </w:rPr>
            </w:pPr>
            <w:r w:rsidRPr="001569E6">
              <w:rPr>
                <w:sz w:val="20"/>
              </w:rPr>
              <w:t>-$</w:t>
            </w:r>
            <w:r w:rsidR="00D55184">
              <w:rPr>
                <w:sz w:val="20"/>
              </w:rPr>
              <w:t>155.2</w:t>
            </w:r>
          </w:p>
        </w:tc>
      </w:tr>
      <w:tr w:rsidR="001569E6" w:rsidRPr="00BF08BF" w:rsidTr="001569E6">
        <w:trPr>
          <w:trHeight w:val="321"/>
        </w:trPr>
        <w:tc>
          <w:tcPr>
            <w:tcW w:w="2943" w:type="dxa"/>
            <w:shd w:val="clear" w:color="auto" w:fill="auto"/>
          </w:tcPr>
          <w:p w:rsidR="001569E6" w:rsidRPr="00245322" w:rsidRDefault="001569E6" w:rsidP="00AE06D7">
            <w:pPr>
              <w:pStyle w:val="BodyText"/>
              <w:spacing w:before="60" w:after="60"/>
              <w:jc w:val="left"/>
              <w:rPr>
                <w:sz w:val="20"/>
              </w:rPr>
            </w:pPr>
            <w:r w:rsidRPr="00245322">
              <w:rPr>
                <w:b/>
                <w:bCs/>
                <w:color w:val="000000"/>
                <w:sz w:val="20"/>
              </w:rPr>
              <w:t xml:space="preserve">BCR </w:t>
            </w:r>
          </w:p>
        </w:tc>
        <w:tc>
          <w:tcPr>
            <w:tcW w:w="1926" w:type="dxa"/>
            <w:shd w:val="clear" w:color="auto" w:fill="auto"/>
            <w:vAlign w:val="center"/>
          </w:tcPr>
          <w:p w:rsidR="001569E6" w:rsidRPr="001569E6" w:rsidRDefault="001569E6" w:rsidP="001569E6">
            <w:pPr>
              <w:jc w:val="right"/>
              <w:rPr>
                <w:sz w:val="20"/>
              </w:rPr>
            </w:pPr>
            <w:r w:rsidRPr="001569E6">
              <w:rPr>
                <w:sz w:val="20"/>
              </w:rPr>
              <w:t>0.3</w:t>
            </w:r>
            <w:r w:rsidR="00D55184">
              <w:rPr>
                <w:sz w:val="20"/>
              </w:rPr>
              <w:t>0</w:t>
            </w:r>
          </w:p>
        </w:tc>
        <w:tc>
          <w:tcPr>
            <w:tcW w:w="1926" w:type="dxa"/>
            <w:shd w:val="clear" w:color="auto" w:fill="auto"/>
            <w:vAlign w:val="center"/>
          </w:tcPr>
          <w:p w:rsidR="001569E6" w:rsidRPr="001569E6" w:rsidRDefault="001569E6" w:rsidP="00D55184">
            <w:pPr>
              <w:jc w:val="right"/>
              <w:rPr>
                <w:sz w:val="20"/>
              </w:rPr>
            </w:pPr>
            <w:r w:rsidRPr="001569E6">
              <w:rPr>
                <w:sz w:val="20"/>
              </w:rPr>
              <w:t>0.</w:t>
            </w:r>
            <w:r w:rsidR="00D55184">
              <w:rPr>
                <w:sz w:val="20"/>
              </w:rPr>
              <w:t>3</w:t>
            </w:r>
            <w:r w:rsidR="00D55184" w:rsidRPr="001569E6">
              <w:rPr>
                <w:sz w:val="20"/>
              </w:rPr>
              <w:t>4</w:t>
            </w:r>
          </w:p>
        </w:tc>
        <w:tc>
          <w:tcPr>
            <w:tcW w:w="1926" w:type="dxa"/>
            <w:shd w:val="clear" w:color="auto" w:fill="auto"/>
            <w:vAlign w:val="center"/>
          </w:tcPr>
          <w:p w:rsidR="001569E6" w:rsidRPr="001569E6" w:rsidRDefault="001569E6" w:rsidP="00D55184">
            <w:pPr>
              <w:jc w:val="right"/>
              <w:rPr>
                <w:sz w:val="20"/>
              </w:rPr>
            </w:pPr>
            <w:r w:rsidRPr="001569E6">
              <w:rPr>
                <w:sz w:val="20"/>
              </w:rPr>
              <w:t>0.</w:t>
            </w:r>
            <w:r w:rsidR="00D55184">
              <w:rPr>
                <w:sz w:val="20"/>
              </w:rPr>
              <w:t>52</w:t>
            </w:r>
          </w:p>
        </w:tc>
      </w:tr>
      <w:tr w:rsidR="00245322" w:rsidRPr="00BF08BF" w:rsidTr="0081406E">
        <w:tc>
          <w:tcPr>
            <w:tcW w:w="8721" w:type="dxa"/>
            <w:gridSpan w:val="4"/>
            <w:shd w:val="clear" w:color="auto" w:fill="C6D9F1" w:themeFill="text2" w:themeFillTint="33"/>
          </w:tcPr>
          <w:p w:rsidR="00245322" w:rsidRPr="00BF08BF" w:rsidRDefault="00245322" w:rsidP="00AE06D7">
            <w:pPr>
              <w:pStyle w:val="BodyText"/>
              <w:spacing w:before="60" w:after="60"/>
              <w:rPr>
                <w:sz w:val="20"/>
              </w:rPr>
            </w:pPr>
            <w:r w:rsidRPr="00BF08BF">
              <w:rPr>
                <w:b/>
                <w:sz w:val="20"/>
              </w:rPr>
              <w:t xml:space="preserve">Lower </w:t>
            </w:r>
            <w:r w:rsidR="00AE06D7">
              <w:rPr>
                <w:b/>
                <w:sz w:val="20"/>
              </w:rPr>
              <w:t>benefits</w:t>
            </w:r>
            <w:r w:rsidRPr="00BF08BF">
              <w:rPr>
                <w:b/>
                <w:sz w:val="20"/>
              </w:rPr>
              <w:t xml:space="preserve"> (-15 per cent)</w:t>
            </w:r>
          </w:p>
        </w:tc>
      </w:tr>
      <w:tr w:rsidR="001569E6" w:rsidRPr="00BF08BF" w:rsidTr="001569E6">
        <w:tc>
          <w:tcPr>
            <w:tcW w:w="2943" w:type="dxa"/>
          </w:tcPr>
          <w:p w:rsidR="001569E6" w:rsidRPr="00245322" w:rsidRDefault="001569E6" w:rsidP="00AE06D7">
            <w:pPr>
              <w:pStyle w:val="BodyText"/>
              <w:spacing w:before="60" w:after="60"/>
              <w:jc w:val="left"/>
              <w:rPr>
                <w:b/>
                <w:bCs/>
                <w:color w:val="000000"/>
                <w:sz w:val="20"/>
              </w:rPr>
            </w:pPr>
            <w:r w:rsidRPr="00245322">
              <w:rPr>
                <w:b/>
                <w:bCs/>
                <w:color w:val="000000"/>
                <w:sz w:val="20"/>
              </w:rPr>
              <w:t>Total Costs</w:t>
            </w:r>
            <w:r>
              <w:rPr>
                <w:b/>
                <w:bCs/>
                <w:color w:val="000000"/>
                <w:sz w:val="20"/>
              </w:rPr>
              <w:t xml:space="preserve"> </w:t>
            </w:r>
            <w:r w:rsidRPr="00245322">
              <w:rPr>
                <w:b/>
                <w:bCs/>
                <w:color w:val="000000"/>
                <w:sz w:val="20"/>
              </w:rPr>
              <w:t xml:space="preserve">($ </w:t>
            </w:r>
            <w:proofErr w:type="spellStart"/>
            <w:r w:rsidRPr="00245322">
              <w:rPr>
                <w:b/>
                <w:bCs/>
                <w:color w:val="000000"/>
                <w:sz w:val="20"/>
              </w:rPr>
              <w:t>million</w:t>
            </w:r>
            <w:proofErr w:type="spellEnd"/>
            <w:r w:rsidRPr="00245322">
              <w:rPr>
                <w:b/>
                <w:bCs/>
                <w:color w:val="000000"/>
                <w:sz w:val="20"/>
              </w:rPr>
              <w:t>)</w:t>
            </w:r>
          </w:p>
        </w:tc>
        <w:tc>
          <w:tcPr>
            <w:tcW w:w="1926" w:type="dxa"/>
            <w:vAlign w:val="center"/>
          </w:tcPr>
          <w:p w:rsidR="001569E6" w:rsidRPr="001569E6" w:rsidRDefault="001569E6" w:rsidP="00D55184">
            <w:pPr>
              <w:jc w:val="right"/>
              <w:rPr>
                <w:color w:val="000000"/>
                <w:sz w:val="20"/>
              </w:rPr>
            </w:pPr>
            <w:r w:rsidRPr="001569E6">
              <w:rPr>
                <w:color w:val="000000"/>
                <w:sz w:val="20"/>
              </w:rPr>
              <w:t>$</w:t>
            </w:r>
            <w:r w:rsidR="00D55184">
              <w:rPr>
                <w:color w:val="000000"/>
                <w:sz w:val="20"/>
              </w:rPr>
              <w:t>39.0</w:t>
            </w:r>
          </w:p>
        </w:tc>
        <w:tc>
          <w:tcPr>
            <w:tcW w:w="1926" w:type="dxa"/>
            <w:vAlign w:val="center"/>
          </w:tcPr>
          <w:p w:rsidR="001569E6" w:rsidRPr="001569E6" w:rsidRDefault="001569E6" w:rsidP="00D55184">
            <w:pPr>
              <w:jc w:val="right"/>
              <w:rPr>
                <w:color w:val="000000"/>
                <w:sz w:val="20"/>
              </w:rPr>
            </w:pPr>
            <w:r w:rsidRPr="001569E6">
              <w:rPr>
                <w:color w:val="000000"/>
                <w:sz w:val="20"/>
              </w:rPr>
              <w:t>$</w:t>
            </w:r>
            <w:r w:rsidR="00D55184">
              <w:rPr>
                <w:color w:val="000000"/>
                <w:sz w:val="20"/>
              </w:rPr>
              <w:t>97.6</w:t>
            </w:r>
          </w:p>
        </w:tc>
        <w:tc>
          <w:tcPr>
            <w:tcW w:w="1926" w:type="dxa"/>
            <w:vAlign w:val="center"/>
          </w:tcPr>
          <w:p w:rsidR="001569E6" w:rsidRPr="001569E6" w:rsidRDefault="001569E6" w:rsidP="00D55184">
            <w:pPr>
              <w:jc w:val="right"/>
              <w:rPr>
                <w:color w:val="000000"/>
                <w:sz w:val="20"/>
              </w:rPr>
            </w:pPr>
            <w:r w:rsidRPr="001569E6">
              <w:rPr>
                <w:color w:val="000000"/>
                <w:sz w:val="20"/>
              </w:rPr>
              <w:t>$</w:t>
            </w:r>
            <w:r w:rsidR="00D55184">
              <w:rPr>
                <w:color w:val="000000"/>
                <w:sz w:val="20"/>
              </w:rPr>
              <w:t>325.8</w:t>
            </w:r>
          </w:p>
        </w:tc>
      </w:tr>
      <w:tr w:rsidR="001569E6" w:rsidRPr="00BF08BF" w:rsidTr="001569E6">
        <w:tc>
          <w:tcPr>
            <w:tcW w:w="2943" w:type="dxa"/>
          </w:tcPr>
          <w:p w:rsidR="001569E6" w:rsidRPr="00245322" w:rsidRDefault="001569E6" w:rsidP="00AE06D7">
            <w:pPr>
              <w:pStyle w:val="BodyText"/>
              <w:spacing w:before="60" w:after="60"/>
              <w:jc w:val="left"/>
              <w:rPr>
                <w:b/>
                <w:bCs/>
                <w:color w:val="000000"/>
                <w:sz w:val="20"/>
              </w:rPr>
            </w:pPr>
            <w:r w:rsidRPr="00245322">
              <w:rPr>
                <w:b/>
                <w:bCs/>
                <w:color w:val="000000"/>
                <w:sz w:val="20"/>
              </w:rPr>
              <w:t>Total Benefits</w:t>
            </w:r>
            <w:r>
              <w:rPr>
                <w:b/>
                <w:bCs/>
                <w:color w:val="000000"/>
                <w:sz w:val="20"/>
              </w:rPr>
              <w:t xml:space="preserve"> </w:t>
            </w:r>
            <w:r w:rsidRPr="00245322">
              <w:rPr>
                <w:b/>
                <w:bCs/>
                <w:color w:val="000000"/>
                <w:sz w:val="20"/>
              </w:rPr>
              <w:t xml:space="preserve">($ </w:t>
            </w:r>
            <w:proofErr w:type="spellStart"/>
            <w:r w:rsidRPr="00245322">
              <w:rPr>
                <w:b/>
                <w:bCs/>
                <w:color w:val="000000"/>
                <w:sz w:val="20"/>
              </w:rPr>
              <w:t>million</w:t>
            </w:r>
            <w:proofErr w:type="spellEnd"/>
            <w:r w:rsidRPr="00245322">
              <w:rPr>
                <w:b/>
                <w:bCs/>
                <w:color w:val="000000"/>
                <w:sz w:val="20"/>
              </w:rPr>
              <w:t>)</w:t>
            </w:r>
          </w:p>
        </w:tc>
        <w:tc>
          <w:tcPr>
            <w:tcW w:w="1926" w:type="dxa"/>
            <w:vAlign w:val="center"/>
          </w:tcPr>
          <w:p w:rsidR="001569E6" w:rsidRPr="001569E6" w:rsidRDefault="001569E6" w:rsidP="00D55184">
            <w:pPr>
              <w:jc w:val="right"/>
              <w:rPr>
                <w:color w:val="000000"/>
                <w:sz w:val="20"/>
              </w:rPr>
            </w:pPr>
            <w:r w:rsidRPr="001569E6">
              <w:rPr>
                <w:color w:val="000000"/>
                <w:sz w:val="20"/>
              </w:rPr>
              <w:t>$9.</w:t>
            </w:r>
            <w:r w:rsidR="00D55184">
              <w:rPr>
                <w:color w:val="000000"/>
                <w:sz w:val="20"/>
              </w:rPr>
              <w:t>8</w:t>
            </w:r>
          </w:p>
        </w:tc>
        <w:tc>
          <w:tcPr>
            <w:tcW w:w="1926" w:type="dxa"/>
            <w:vAlign w:val="center"/>
          </w:tcPr>
          <w:p w:rsidR="001569E6" w:rsidRPr="001569E6" w:rsidRDefault="001569E6" w:rsidP="00D55184">
            <w:pPr>
              <w:jc w:val="right"/>
              <w:rPr>
                <w:color w:val="000000"/>
                <w:sz w:val="20"/>
              </w:rPr>
            </w:pPr>
            <w:r w:rsidRPr="001569E6">
              <w:rPr>
                <w:color w:val="000000"/>
                <w:sz w:val="20"/>
              </w:rPr>
              <w:t>$2</w:t>
            </w:r>
            <w:r w:rsidR="00D55184">
              <w:rPr>
                <w:color w:val="000000"/>
                <w:sz w:val="20"/>
              </w:rPr>
              <w:t>8.4</w:t>
            </w:r>
          </w:p>
        </w:tc>
        <w:tc>
          <w:tcPr>
            <w:tcW w:w="1926" w:type="dxa"/>
            <w:vAlign w:val="center"/>
          </w:tcPr>
          <w:p w:rsidR="001569E6" w:rsidRPr="001569E6" w:rsidRDefault="001569E6" w:rsidP="00D55184">
            <w:pPr>
              <w:jc w:val="right"/>
              <w:rPr>
                <w:color w:val="000000"/>
                <w:sz w:val="20"/>
              </w:rPr>
            </w:pPr>
            <w:r w:rsidRPr="001569E6">
              <w:rPr>
                <w:color w:val="000000"/>
                <w:sz w:val="20"/>
              </w:rPr>
              <w:t>$</w:t>
            </w:r>
            <w:r w:rsidR="00D55184">
              <w:rPr>
                <w:color w:val="000000"/>
                <w:sz w:val="20"/>
              </w:rPr>
              <w:t>145.0</w:t>
            </w:r>
          </w:p>
        </w:tc>
      </w:tr>
      <w:tr w:rsidR="002744CB" w:rsidRPr="00BF08BF" w:rsidTr="002744CB">
        <w:tc>
          <w:tcPr>
            <w:tcW w:w="2943" w:type="dxa"/>
          </w:tcPr>
          <w:p w:rsidR="002744CB" w:rsidRPr="00245322" w:rsidRDefault="002744CB" w:rsidP="00AE06D7">
            <w:pPr>
              <w:pStyle w:val="BodyText"/>
              <w:spacing w:before="60" w:after="60"/>
              <w:jc w:val="left"/>
              <w:rPr>
                <w:sz w:val="20"/>
              </w:rPr>
            </w:pPr>
            <w:r w:rsidRPr="00245322">
              <w:rPr>
                <w:b/>
                <w:bCs/>
                <w:color w:val="000000"/>
                <w:sz w:val="20"/>
              </w:rPr>
              <w:t xml:space="preserve">NPV ($ </w:t>
            </w:r>
            <w:proofErr w:type="spellStart"/>
            <w:r w:rsidRPr="00245322">
              <w:rPr>
                <w:b/>
                <w:bCs/>
                <w:color w:val="000000"/>
                <w:sz w:val="20"/>
              </w:rPr>
              <w:t>million</w:t>
            </w:r>
            <w:proofErr w:type="spellEnd"/>
            <w:r w:rsidRPr="00245322">
              <w:rPr>
                <w:b/>
                <w:bCs/>
                <w:color w:val="000000"/>
                <w:sz w:val="20"/>
              </w:rPr>
              <w:t>)</w:t>
            </w:r>
          </w:p>
        </w:tc>
        <w:tc>
          <w:tcPr>
            <w:tcW w:w="1926" w:type="dxa"/>
            <w:vAlign w:val="center"/>
          </w:tcPr>
          <w:p w:rsidR="002744CB" w:rsidRPr="002744CB" w:rsidRDefault="002744CB" w:rsidP="002744CB">
            <w:pPr>
              <w:jc w:val="right"/>
              <w:rPr>
                <w:color w:val="000000"/>
                <w:sz w:val="20"/>
              </w:rPr>
            </w:pPr>
            <w:r w:rsidRPr="002744CB">
              <w:rPr>
                <w:color w:val="000000"/>
                <w:sz w:val="20"/>
              </w:rPr>
              <w:t>-$29.2</w:t>
            </w:r>
          </w:p>
        </w:tc>
        <w:tc>
          <w:tcPr>
            <w:tcW w:w="1926" w:type="dxa"/>
            <w:vAlign w:val="center"/>
          </w:tcPr>
          <w:p w:rsidR="002744CB" w:rsidRPr="002744CB" w:rsidRDefault="002744CB" w:rsidP="002744CB">
            <w:pPr>
              <w:jc w:val="right"/>
              <w:rPr>
                <w:color w:val="000000"/>
                <w:sz w:val="20"/>
              </w:rPr>
            </w:pPr>
            <w:r w:rsidRPr="002744CB">
              <w:rPr>
                <w:color w:val="000000"/>
                <w:sz w:val="20"/>
              </w:rPr>
              <w:t>-$69.1</w:t>
            </w:r>
          </w:p>
        </w:tc>
        <w:tc>
          <w:tcPr>
            <w:tcW w:w="1926" w:type="dxa"/>
            <w:vAlign w:val="center"/>
          </w:tcPr>
          <w:p w:rsidR="002744CB" w:rsidRPr="002744CB" w:rsidRDefault="002744CB" w:rsidP="002744CB">
            <w:pPr>
              <w:jc w:val="right"/>
              <w:rPr>
                <w:color w:val="000000"/>
                <w:sz w:val="20"/>
              </w:rPr>
            </w:pPr>
            <w:r w:rsidRPr="002744CB">
              <w:rPr>
                <w:color w:val="000000"/>
                <w:sz w:val="20"/>
              </w:rPr>
              <w:t>-$180.8</w:t>
            </w:r>
          </w:p>
        </w:tc>
      </w:tr>
      <w:tr w:rsidR="002744CB" w:rsidRPr="00BF08BF" w:rsidTr="002744CB">
        <w:tc>
          <w:tcPr>
            <w:tcW w:w="2943" w:type="dxa"/>
          </w:tcPr>
          <w:p w:rsidR="002744CB" w:rsidRPr="00245322" w:rsidRDefault="002744CB" w:rsidP="00AE06D7">
            <w:pPr>
              <w:pStyle w:val="BodyText"/>
              <w:spacing w:before="60" w:after="60"/>
              <w:jc w:val="left"/>
              <w:rPr>
                <w:sz w:val="20"/>
              </w:rPr>
            </w:pPr>
            <w:r w:rsidRPr="00245322">
              <w:rPr>
                <w:b/>
                <w:bCs/>
                <w:color w:val="000000"/>
                <w:sz w:val="20"/>
              </w:rPr>
              <w:t xml:space="preserve">BCR </w:t>
            </w:r>
          </w:p>
        </w:tc>
        <w:tc>
          <w:tcPr>
            <w:tcW w:w="1926" w:type="dxa"/>
            <w:vAlign w:val="center"/>
          </w:tcPr>
          <w:p w:rsidR="002744CB" w:rsidRPr="002744CB" w:rsidRDefault="002744CB" w:rsidP="002744CB">
            <w:pPr>
              <w:jc w:val="right"/>
              <w:rPr>
                <w:color w:val="000000"/>
                <w:sz w:val="20"/>
              </w:rPr>
            </w:pPr>
            <w:r w:rsidRPr="002744CB">
              <w:rPr>
                <w:color w:val="000000"/>
                <w:sz w:val="20"/>
              </w:rPr>
              <w:t>0.25</w:t>
            </w:r>
          </w:p>
        </w:tc>
        <w:tc>
          <w:tcPr>
            <w:tcW w:w="1926" w:type="dxa"/>
            <w:vAlign w:val="center"/>
          </w:tcPr>
          <w:p w:rsidR="002744CB" w:rsidRPr="002744CB" w:rsidRDefault="002744CB" w:rsidP="002744CB">
            <w:pPr>
              <w:jc w:val="right"/>
              <w:rPr>
                <w:color w:val="000000"/>
                <w:sz w:val="20"/>
              </w:rPr>
            </w:pPr>
            <w:r w:rsidRPr="002744CB">
              <w:rPr>
                <w:color w:val="000000"/>
                <w:sz w:val="20"/>
              </w:rPr>
              <w:t>0.29</w:t>
            </w:r>
          </w:p>
        </w:tc>
        <w:tc>
          <w:tcPr>
            <w:tcW w:w="1926" w:type="dxa"/>
            <w:vAlign w:val="center"/>
          </w:tcPr>
          <w:p w:rsidR="002744CB" w:rsidRPr="002744CB" w:rsidRDefault="002744CB" w:rsidP="002744CB">
            <w:pPr>
              <w:jc w:val="right"/>
              <w:rPr>
                <w:color w:val="000000"/>
                <w:sz w:val="20"/>
              </w:rPr>
            </w:pPr>
            <w:r w:rsidRPr="002744CB">
              <w:rPr>
                <w:color w:val="000000"/>
                <w:sz w:val="20"/>
              </w:rPr>
              <w:t>0.45</w:t>
            </w:r>
          </w:p>
        </w:tc>
      </w:tr>
      <w:tr w:rsidR="00245322" w:rsidRPr="00BF08BF" w:rsidTr="0081406E">
        <w:tc>
          <w:tcPr>
            <w:tcW w:w="8721" w:type="dxa"/>
            <w:gridSpan w:val="4"/>
            <w:shd w:val="clear" w:color="auto" w:fill="C6D9F1" w:themeFill="text2" w:themeFillTint="33"/>
          </w:tcPr>
          <w:p w:rsidR="00245322" w:rsidRPr="00BF08BF" w:rsidRDefault="00245322" w:rsidP="00AE06D7">
            <w:pPr>
              <w:pStyle w:val="BodyText"/>
              <w:spacing w:before="60" w:after="60"/>
              <w:jc w:val="left"/>
              <w:rPr>
                <w:sz w:val="20"/>
              </w:rPr>
            </w:pPr>
            <w:r w:rsidRPr="00BF08BF">
              <w:rPr>
                <w:b/>
                <w:sz w:val="20"/>
              </w:rPr>
              <w:lastRenderedPageBreak/>
              <w:t xml:space="preserve">Higher </w:t>
            </w:r>
            <w:r w:rsidR="00AE06D7">
              <w:rPr>
                <w:b/>
                <w:sz w:val="20"/>
              </w:rPr>
              <w:t>benefits</w:t>
            </w:r>
            <w:r w:rsidRPr="00BF08BF">
              <w:rPr>
                <w:b/>
                <w:sz w:val="20"/>
              </w:rPr>
              <w:t xml:space="preserve"> (+15 per cent)</w:t>
            </w:r>
          </w:p>
        </w:tc>
      </w:tr>
      <w:tr w:rsidR="00D55184" w:rsidRPr="00BF08BF" w:rsidTr="001569E6">
        <w:tc>
          <w:tcPr>
            <w:tcW w:w="2943" w:type="dxa"/>
            <w:shd w:val="clear" w:color="auto" w:fill="auto"/>
          </w:tcPr>
          <w:p w:rsidR="00D55184" w:rsidRPr="00245322" w:rsidRDefault="00D55184" w:rsidP="00AE06D7">
            <w:pPr>
              <w:pStyle w:val="BodyText"/>
              <w:spacing w:before="60" w:after="60"/>
              <w:jc w:val="left"/>
              <w:rPr>
                <w:b/>
                <w:bCs/>
                <w:color w:val="000000"/>
                <w:sz w:val="20"/>
              </w:rPr>
            </w:pPr>
            <w:r w:rsidRPr="00245322">
              <w:rPr>
                <w:b/>
                <w:bCs/>
                <w:color w:val="000000"/>
                <w:sz w:val="20"/>
              </w:rPr>
              <w:t>Total Costs</w:t>
            </w:r>
            <w:r>
              <w:rPr>
                <w:b/>
                <w:bCs/>
                <w:color w:val="000000"/>
                <w:sz w:val="20"/>
              </w:rPr>
              <w:t xml:space="preserve"> </w:t>
            </w:r>
            <w:r w:rsidRPr="00245322">
              <w:rPr>
                <w:b/>
                <w:bCs/>
                <w:color w:val="000000"/>
                <w:sz w:val="20"/>
              </w:rPr>
              <w:t xml:space="preserve">($ </w:t>
            </w:r>
            <w:proofErr w:type="spellStart"/>
            <w:r w:rsidRPr="00245322">
              <w:rPr>
                <w:b/>
                <w:bCs/>
                <w:color w:val="000000"/>
                <w:sz w:val="20"/>
              </w:rPr>
              <w:t>million</w:t>
            </w:r>
            <w:proofErr w:type="spellEnd"/>
            <w:r w:rsidRPr="00245322">
              <w:rPr>
                <w:b/>
                <w:bCs/>
                <w:color w:val="000000"/>
                <w:sz w:val="20"/>
              </w:rPr>
              <w:t>)</w:t>
            </w:r>
          </w:p>
        </w:tc>
        <w:tc>
          <w:tcPr>
            <w:tcW w:w="1926" w:type="dxa"/>
            <w:shd w:val="clear" w:color="auto" w:fill="auto"/>
            <w:vAlign w:val="center"/>
          </w:tcPr>
          <w:p w:rsidR="00D55184" w:rsidRPr="001569E6" w:rsidRDefault="00D55184" w:rsidP="001569E6">
            <w:pPr>
              <w:jc w:val="right"/>
              <w:rPr>
                <w:color w:val="000000"/>
                <w:sz w:val="20"/>
              </w:rPr>
            </w:pPr>
            <w:r w:rsidRPr="00671098">
              <w:rPr>
                <w:bCs/>
                <w:sz w:val="20"/>
              </w:rPr>
              <w:t>$</w:t>
            </w:r>
            <w:r>
              <w:rPr>
                <w:bCs/>
                <w:sz w:val="20"/>
              </w:rPr>
              <w:t>39.0</w:t>
            </w:r>
          </w:p>
        </w:tc>
        <w:tc>
          <w:tcPr>
            <w:tcW w:w="1926" w:type="dxa"/>
            <w:shd w:val="clear" w:color="auto" w:fill="auto"/>
            <w:vAlign w:val="center"/>
          </w:tcPr>
          <w:p w:rsidR="00D55184" w:rsidRPr="001569E6" w:rsidRDefault="00D55184" w:rsidP="001569E6">
            <w:pPr>
              <w:jc w:val="right"/>
              <w:rPr>
                <w:color w:val="000000"/>
                <w:sz w:val="20"/>
              </w:rPr>
            </w:pPr>
            <w:r w:rsidRPr="00671098">
              <w:rPr>
                <w:bCs/>
                <w:sz w:val="20"/>
              </w:rPr>
              <w:t>$</w:t>
            </w:r>
            <w:r>
              <w:rPr>
                <w:bCs/>
                <w:sz w:val="20"/>
              </w:rPr>
              <w:t>97.6</w:t>
            </w:r>
          </w:p>
        </w:tc>
        <w:tc>
          <w:tcPr>
            <w:tcW w:w="1926" w:type="dxa"/>
            <w:shd w:val="clear" w:color="auto" w:fill="auto"/>
            <w:vAlign w:val="center"/>
          </w:tcPr>
          <w:p w:rsidR="00D55184" w:rsidRPr="001569E6" w:rsidRDefault="00D55184" w:rsidP="001569E6">
            <w:pPr>
              <w:jc w:val="right"/>
              <w:rPr>
                <w:color w:val="000000"/>
                <w:sz w:val="20"/>
              </w:rPr>
            </w:pPr>
            <w:r w:rsidRPr="00671098">
              <w:rPr>
                <w:bCs/>
                <w:sz w:val="20"/>
              </w:rPr>
              <w:t>$</w:t>
            </w:r>
            <w:r>
              <w:rPr>
                <w:bCs/>
                <w:sz w:val="20"/>
              </w:rPr>
              <w:t>325.8</w:t>
            </w:r>
          </w:p>
        </w:tc>
      </w:tr>
      <w:tr w:rsidR="001569E6" w:rsidRPr="00BF08BF" w:rsidTr="001569E6">
        <w:tc>
          <w:tcPr>
            <w:tcW w:w="2943" w:type="dxa"/>
            <w:shd w:val="clear" w:color="auto" w:fill="auto"/>
          </w:tcPr>
          <w:p w:rsidR="001569E6" w:rsidRPr="00245322" w:rsidRDefault="001569E6" w:rsidP="00AE06D7">
            <w:pPr>
              <w:pStyle w:val="BodyText"/>
              <w:spacing w:before="60" w:after="60"/>
              <w:jc w:val="left"/>
              <w:rPr>
                <w:b/>
                <w:bCs/>
                <w:color w:val="000000"/>
                <w:sz w:val="20"/>
              </w:rPr>
            </w:pPr>
            <w:r w:rsidRPr="00245322">
              <w:rPr>
                <w:b/>
                <w:bCs/>
                <w:color w:val="000000"/>
                <w:sz w:val="20"/>
              </w:rPr>
              <w:t>Total Benefits</w:t>
            </w:r>
            <w:r>
              <w:rPr>
                <w:b/>
                <w:bCs/>
                <w:color w:val="000000"/>
                <w:sz w:val="20"/>
              </w:rPr>
              <w:t xml:space="preserve"> </w:t>
            </w:r>
            <w:r w:rsidRPr="00245322">
              <w:rPr>
                <w:b/>
                <w:bCs/>
                <w:color w:val="000000"/>
                <w:sz w:val="20"/>
              </w:rPr>
              <w:t xml:space="preserve">($ </w:t>
            </w:r>
            <w:proofErr w:type="spellStart"/>
            <w:r w:rsidRPr="00245322">
              <w:rPr>
                <w:b/>
                <w:bCs/>
                <w:color w:val="000000"/>
                <w:sz w:val="20"/>
              </w:rPr>
              <w:t>million</w:t>
            </w:r>
            <w:proofErr w:type="spellEnd"/>
            <w:r w:rsidRPr="00245322">
              <w:rPr>
                <w:b/>
                <w:bCs/>
                <w:color w:val="000000"/>
                <w:sz w:val="20"/>
              </w:rPr>
              <w:t>)</w:t>
            </w:r>
          </w:p>
        </w:tc>
        <w:tc>
          <w:tcPr>
            <w:tcW w:w="1926" w:type="dxa"/>
            <w:shd w:val="clear" w:color="auto" w:fill="auto"/>
            <w:vAlign w:val="center"/>
          </w:tcPr>
          <w:p w:rsidR="001569E6" w:rsidRPr="001569E6" w:rsidRDefault="001569E6" w:rsidP="00D55184">
            <w:pPr>
              <w:jc w:val="right"/>
              <w:rPr>
                <w:color w:val="000000"/>
                <w:sz w:val="20"/>
              </w:rPr>
            </w:pPr>
            <w:r w:rsidRPr="001569E6">
              <w:rPr>
                <w:color w:val="000000"/>
                <w:sz w:val="20"/>
              </w:rPr>
              <w:t>$1</w:t>
            </w:r>
            <w:r w:rsidR="00D55184">
              <w:rPr>
                <w:color w:val="000000"/>
                <w:sz w:val="20"/>
              </w:rPr>
              <w:t>3.2</w:t>
            </w:r>
          </w:p>
        </w:tc>
        <w:tc>
          <w:tcPr>
            <w:tcW w:w="1926" w:type="dxa"/>
            <w:shd w:val="clear" w:color="auto" w:fill="auto"/>
            <w:vAlign w:val="center"/>
          </w:tcPr>
          <w:p w:rsidR="001569E6" w:rsidRPr="001569E6" w:rsidRDefault="001569E6" w:rsidP="00D55184">
            <w:pPr>
              <w:jc w:val="right"/>
              <w:rPr>
                <w:color w:val="000000"/>
                <w:sz w:val="20"/>
              </w:rPr>
            </w:pPr>
            <w:r w:rsidRPr="001569E6">
              <w:rPr>
                <w:color w:val="000000"/>
                <w:sz w:val="20"/>
              </w:rPr>
              <w:t>$3</w:t>
            </w:r>
            <w:r w:rsidR="00D55184">
              <w:rPr>
                <w:color w:val="000000"/>
                <w:sz w:val="20"/>
              </w:rPr>
              <w:t>8.5</w:t>
            </w:r>
          </w:p>
        </w:tc>
        <w:tc>
          <w:tcPr>
            <w:tcW w:w="1926" w:type="dxa"/>
            <w:shd w:val="clear" w:color="auto" w:fill="auto"/>
            <w:vAlign w:val="center"/>
          </w:tcPr>
          <w:p w:rsidR="001569E6" w:rsidRPr="001569E6" w:rsidRDefault="001569E6" w:rsidP="00D55184">
            <w:pPr>
              <w:jc w:val="right"/>
              <w:rPr>
                <w:color w:val="000000"/>
                <w:sz w:val="20"/>
              </w:rPr>
            </w:pPr>
            <w:r w:rsidRPr="001569E6">
              <w:rPr>
                <w:color w:val="000000"/>
                <w:sz w:val="20"/>
              </w:rPr>
              <w:t>$1</w:t>
            </w:r>
            <w:r w:rsidR="00D55184">
              <w:rPr>
                <w:color w:val="000000"/>
                <w:sz w:val="20"/>
              </w:rPr>
              <w:t>96.2</w:t>
            </w:r>
          </w:p>
        </w:tc>
      </w:tr>
      <w:tr w:rsidR="001569E6" w:rsidRPr="00BF08BF" w:rsidTr="001569E6">
        <w:tc>
          <w:tcPr>
            <w:tcW w:w="2943" w:type="dxa"/>
            <w:shd w:val="clear" w:color="auto" w:fill="auto"/>
          </w:tcPr>
          <w:p w:rsidR="001569E6" w:rsidRPr="00245322" w:rsidRDefault="001569E6" w:rsidP="00AE06D7">
            <w:pPr>
              <w:pStyle w:val="BodyText"/>
              <w:spacing w:before="60" w:after="60"/>
              <w:jc w:val="left"/>
              <w:rPr>
                <w:sz w:val="20"/>
              </w:rPr>
            </w:pPr>
            <w:r w:rsidRPr="00245322">
              <w:rPr>
                <w:b/>
                <w:bCs/>
                <w:color w:val="000000"/>
                <w:sz w:val="20"/>
              </w:rPr>
              <w:t xml:space="preserve">NPV ($ </w:t>
            </w:r>
            <w:proofErr w:type="spellStart"/>
            <w:r w:rsidRPr="00245322">
              <w:rPr>
                <w:b/>
                <w:bCs/>
                <w:color w:val="000000"/>
                <w:sz w:val="20"/>
              </w:rPr>
              <w:t>million</w:t>
            </w:r>
            <w:proofErr w:type="spellEnd"/>
            <w:r w:rsidRPr="00245322">
              <w:rPr>
                <w:b/>
                <w:bCs/>
                <w:color w:val="000000"/>
                <w:sz w:val="20"/>
              </w:rPr>
              <w:t>)</w:t>
            </w:r>
          </w:p>
        </w:tc>
        <w:tc>
          <w:tcPr>
            <w:tcW w:w="1926" w:type="dxa"/>
            <w:shd w:val="clear" w:color="auto" w:fill="auto"/>
            <w:vAlign w:val="center"/>
          </w:tcPr>
          <w:p w:rsidR="001569E6" w:rsidRPr="001569E6" w:rsidRDefault="001569E6" w:rsidP="00D55184">
            <w:pPr>
              <w:jc w:val="right"/>
              <w:rPr>
                <w:color w:val="000000"/>
                <w:sz w:val="20"/>
              </w:rPr>
            </w:pPr>
            <w:r w:rsidRPr="001569E6">
              <w:rPr>
                <w:color w:val="000000"/>
                <w:sz w:val="20"/>
              </w:rPr>
              <w:t>-$</w:t>
            </w:r>
            <w:r w:rsidR="00D55184">
              <w:rPr>
                <w:color w:val="000000"/>
                <w:sz w:val="20"/>
              </w:rPr>
              <w:t>25.7</w:t>
            </w:r>
          </w:p>
        </w:tc>
        <w:tc>
          <w:tcPr>
            <w:tcW w:w="1926" w:type="dxa"/>
            <w:shd w:val="clear" w:color="auto" w:fill="auto"/>
            <w:vAlign w:val="center"/>
          </w:tcPr>
          <w:p w:rsidR="001569E6" w:rsidRPr="001569E6" w:rsidRDefault="001569E6" w:rsidP="00D55184">
            <w:pPr>
              <w:jc w:val="right"/>
              <w:rPr>
                <w:color w:val="000000"/>
                <w:sz w:val="20"/>
              </w:rPr>
            </w:pPr>
            <w:r w:rsidRPr="001569E6">
              <w:rPr>
                <w:color w:val="000000"/>
                <w:sz w:val="20"/>
              </w:rPr>
              <w:t>-$</w:t>
            </w:r>
            <w:r w:rsidR="00D55184">
              <w:rPr>
                <w:color w:val="000000"/>
                <w:sz w:val="20"/>
              </w:rPr>
              <w:t>59.1</w:t>
            </w:r>
          </w:p>
        </w:tc>
        <w:tc>
          <w:tcPr>
            <w:tcW w:w="1926" w:type="dxa"/>
            <w:shd w:val="clear" w:color="auto" w:fill="auto"/>
            <w:vAlign w:val="center"/>
          </w:tcPr>
          <w:p w:rsidR="001569E6" w:rsidRPr="001569E6" w:rsidRDefault="001569E6" w:rsidP="00D55184">
            <w:pPr>
              <w:jc w:val="right"/>
              <w:rPr>
                <w:color w:val="000000"/>
                <w:sz w:val="20"/>
              </w:rPr>
            </w:pPr>
            <w:r w:rsidRPr="001569E6">
              <w:rPr>
                <w:color w:val="000000"/>
                <w:sz w:val="20"/>
              </w:rPr>
              <w:t>-$</w:t>
            </w:r>
            <w:r w:rsidR="00D55184">
              <w:rPr>
                <w:color w:val="000000"/>
                <w:sz w:val="20"/>
              </w:rPr>
              <w:t>129.6</w:t>
            </w:r>
          </w:p>
        </w:tc>
      </w:tr>
      <w:tr w:rsidR="001569E6" w:rsidRPr="00BF08BF" w:rsidTr="001569E6">
        <w:tc>
          <w:tcPr>
            <w:tcW w:w="2943" w:type="dxa"/>
            <w:shd w:val="clear" w:color="auto" w:fill="auto"/>
          </w:tcPr>
          <w:p w:rsidR="001569E6" w:rsidRPr="00245322" w:rsidRDefault="001569E6" w:rsidP="00AE06D7">
            <w:pPr>
              <w:pStyle w:val="BodyText"/>
              <w:spacing w:before="60" w:after="60"/>
              <w:jc w:val="left"/>
              <w:rPr>
                <w:sz w:val="20"/>
              </w:rPr>
            </w:pPr>
            <w:r w:rsidRPr="00245322">
              <w:rPr>
                <w:b/>
                <w:bCs/>
                <w:color w:val="000000"/>
                <w:sz w:val="20"/>
              </w:rPr>
              <w:t xml:space="preserve">BCR </w:t>
            </w:r>
          </w:p>
        </w:tc>
        <w:tc>
          <w:tcPr>
            <w:tcW w:w="1926" w:type="dxa"/>
            <w:shd w:val="clear" w:color="auto" w:fill="auto"/>
            <w:vAlign w:val="center"/>
          </w:tcPr>
          <w:p w:rsidR="001569E6" w:rsidRPr="001569E6" w:rsidRDefault="001569E6" w:rsidP="00D55184">
            <w:pPr>
              <w:jc w:val="right"/>
              <w:rPr>
                <w:color w:val="000000"/>
                <w:sz w:val="20"/>
              </w:rPr>
            </w:pPr>
            <w:r w:rsidRPr="001569E6">
              <w:rPr>
                <w:color w:val="000000"/>
                <w:sz w:val="20"/>
              </w:rPr>
              <w:t>0.</w:t>
            </w:r>
            <w:r w:rsidR="00D55184">
              <w:rPr>
                <w:color w:val="000000"/>
                <w:sz w:val="20"/>
              </w:rPr>
              <w:t>34</w:t>
            </w:r>
          </w:p>
        </w:tc>
        <w:tc>
          <w:tcPr>
            <w:tcW w:w="1926" w:type="dxa"/>
            <w:shd w:val="clear" w:color="auto" w:fill="auto"/>
            <w:vAlign w:val="center"/>
          </w:tcPr>
          <w:p w:rsidR="001569E6" w:rsidRPr="001569E6" w:rsidRDefault="001569E6" w:rsidP="00D55184">
            <w:pPr>
              <w:jc w:val="right"/>
              <w:rPr>
                <w:color w:val="000000"/>
                <w:sz w:val="20"/>
              </w:rPr>
            </w:pPr>
            <w:r w:rsidRPr="001569E6">
              <w:rPr>
                <w:color w:val="000000"/>
                <w:sz w:val="20"/>
              </w:rPr>
              <w:t>0.</w:t>
            </w:r>
            <w:r w:rsidR="00D55184">
              <w:rPr>
                <w:color w:val="000000"/>
                <w:sz w:val="20"/>
              </w:rPr>
              <w:t>39</w:t>
            </w:r>
          </w:p>
        </w:tc>
        <w:tc>
          <w:tcPr>
            <w:tcW w:w="1926" w:type="dxa"/>
            <w:shd w:val="clear" w:color="auto" w:fill="auto"/>
            <w:vAlign w:val="center"/>
          </w:tcPr>
          <w:p w:rsidR="001569E6" w:rsidRPr="001569E6" w:rsidRDefault="001569E6" w:rsidP="00D55184">
            <w:pPr>
              <w:jc w:val="right"/>
              <w:rPr>
                <w:color w:val="000000"/>
                <w:sz w:val="20"/>
              </w:rPr>
            </w:pPr>
            <w:r w:rsidRPr="001569E6">
              <w:rPr>
                <w:color w:val="000000"/>
                <w:sz w:val="20"/>
              </w:rPr>
              <w:t>0.</w:t>
            </w:r>
            <w:r w:rsidR="00D55184">
              <w:rPr>
                <w:color w:val="000000"/>
                <w:sz w:val="20"/>
              </w:rPr>
              <w:t>60</w:t>
            </w:r>
          </w:p>
        </w:tc>
      </w:tr>
    </w:tbl>
    <w:p w:rsidR="00245322" w:rsidRDefault="00245322" w:rsidP="00245322">
      <w:pPr>
        <w:pStyle w:val="Source"/>
      </w:pPr>
      <w:r>
        <w:t>NOTE: Totals may not sum due to rounding. All values are incremental to the base case.</w:t>
      </w:r>
    </w:p>
    <w:p w:rsidR="00245322" w:rsidRDefault="00245322" w:rsidP="00245322">
      <w:pPr>
        <w:pStyle w:val="Source"/>
      </w:pPr>
      <w:r>
        <w:t>Source: KPMG analysis</w:t>
      </w:r>
    </w:p>
    <w:p w:rsidR="0014680E" w:rsidRDefault="0014680E" w:rsidP="0014680E">
      <w:pPr>
        <w:pStyle w:val="BodyText"/>
        <w:rPr>
          <w:sz w:val="32"/>
        </w:rPr>
      </w:pPr>
      <w:r>
        <w:br w:type="page"/>
      </w:r>
    </w:p>
    <w:p w:rsidR="00AD54B5" w:rsidRDefault="00AD54B5" w:rsidP="00DF2C71">
      <w:pPr>
        <w:pStyle w:val="Heading1"/>
      </w:pPr>
      <w:bookmarkStart w:id="94" w:name="_Toc403647593"/>
      <w:r>
        <w:lastRenderedPageBreak/>
        <w:t>Summary and Next Steps</w:t>
      </w:r>
      <w:bookmarkEnd w:id="94"/>
    </w:p>
    <w:p w:rsidR="005C1070" w:rsidRPr="005C1070" w:rsidRDefault="005C1070" w:rsidP="005C1070">
      <w:pPr>
        <w:pStyle w:val="BodyText"/>
      </w:pPr>
      <w:r>
        <w:t>The following section provides a summary of findings of the analysis and outlines the potential next steps.</w:t>
      </w:r>
    </w:p>
    <w:p w:rsidR="005C1070" w:rsidRDefault="005C1070" w:rsidP="005C1070">
      <w:pPr>
        <w:pStyle w:val="Heading2"/>
      </w:pPr>
      <w:bookmarkStart w:id="95" w:name="_Toc403647594"/>
      <w:r>
        <w:t>Summary of Results</w:t>
      </w:r>
      <w:bookmarkEnd w:id="95"/>
    </w:p>
    <w:p w:rsidR="0081406E" w:rsidRDefault="00825E29">
      <w:pPr>
        <w:pStyle w:val="BodyText"/>
      </w:pPr>
      <w:r>
        <w:t>Analysis of costs and benefits and their distribution found that:</w:t>
      </w:r>
    </w:p>
    <w:p w:rsidR="00B82153" w:rsidRPr="00B82153" w:rsidRDefault="00B82153" w:rsidP="00B82153">
      <w:pPr>
        <w:pStyle w:val="BulletText"/>
      </w:pPr>
      <w:r w:rsidRPr="00B82153">
        <w:t xml:space="preserve">The costs exceed the benefits under each option. The costs are largely driven by the costs of additional retailer take back and disassembly activity required </w:t>
      </w:r>
      <w:proofErr w:type="gramStart"/>
      <w:r w:rsidRPr="00B82153">
        <w:t>to achieve</w:t>
      </w:r>
      <w:proofErr w:type="gramEnd"/>
      <w:r w:rsidRPr="00B82153">
        <w:t xml:space="preserve"> the higher levels of material recovery under each option. These costs could potential</w:t>
      </w:r>
      <w:r w:rsidR="000E1658">
        <w:t>ly</w:t>
      </w:r>
      <w:r w:rsidRPr="00B82153">
        <w:t xml:space="preserve"> be reduced through economies of scale or through the establishment of a purpose specific third-party recovery scheme.  </w:t>
      </w:r>
    </w:p>
    <w:p w:rsidR="00B82153" w:rsidRPr="00B82153" w:rsidRDefault="00B82153" w:rsidP="00B82153">
      <w:pPr>
        <w:pStyle w:val="BulletText"/>
      </w:pPr>
      <w:r w:rsidRPr="00B82153">
        <w:t>Under all options the costs are borne by industry</w:t>
      </w:r>
      <w:r w:rsidR="000E1658">
        <w:t xml:space="preserve"> and government</w:t>
      </w:r>
      <w:r w:rsidRPr="00B82153">
        <w:t xml:space="preserve"> and benefits flow to the community</w:t>
      </w:r>
      <w:r w:rsidR="000E1658">
        <w:t>, industry</w:t>
      </w:r>
      <w:r w:rsidRPr="00B82153">
        <w:t xml:space="preserve"> and the environment. </w:t>
      </w:r>
    </w:p>
    <w:p w:rsidR="000E1658" w:rsidRDefault="00B82153" w:rsidP="00B82153">
      <w:pPr>
        <w:pStyle w:val="BulletText"/>
      </w:pPr>
      <w:r w:rsidRPr="00B82153">
        <w:t xml:space="preserve">The largest </w:t>
      </w:r>
      <w:proofErr w:type="gramStart"/>
      <w:r w:rsidRPr="00B82153">
        <w:t>source of benefit under each option are</w:t>
      </w:r>
      <w:proofErr w:type="gramEnd"/>
      <w:r w:rsidRPr="00B82153">
        <w:t xml:space="preserve"> those associated with increasing recovery of </w:t>
      </w:r>
      <w:r w:rsidR="000E1658">
        <w:t>materials</w:t>
      </w:r>
      <w:r w:rsidRPr="00B82153">
        <w:t xml:space="preserve">. </w:t>
      </w:r>
    </w:p>
    <w:p w:rsidR="00B82153" w:rsidRPr="00B82153" w:rsidRDefault="000E1658" w:rsidP="00B82153">
      <w:pPr>
        <w:pStyle w:val="BulletText"/>
      </w:pPr>
      <w:r>
        <w:t xml:space="preserve">Given the increases in refrigerant gas recovery under each option, the viability of the options are potentially largely sensitive to the value placed on the recovery of these gases (and associated avoided emissions). </w:t>
      </w:r>
    </w:p>
    <w:p w:rsidR="005C1070" w:rsidRDefault="005C1070" w:rsidP="005C1070">
      <w:pPr>
        <w:pStyle w:val="Heading2"/>
      </w:pPr>
      <w:bookmarkStart w:id="96" w:name="_Toc392773800"/>
      <w:bookmarkStart w:id="97" w:name="_Toc403647595"/>
      <w:bookmarkEnd w:id="96"/>
      <w:r>
        <w:t>Next Steps</w:t>
      </w:r>
      <w:bookmarkEnd w:id="97"/>
    </w:p>
    <w:p w:rsidR="000E62FA" w:rsidRDefault="000E62FA" w:rsidP="000E62FA">
      <w:pPr>
        <w:pStyle w:val="BodyText"/>
      </w:pPr>
      <w:r>
        <w:t xml:space="preserve">As outlined in Section </w:t>
      </w:r>
      <w:r w:rsidR="00586F30">
        <w:fldChar w:fldCharType="begin"/>
      </w:r>
      <w:r>
        <w:instrText xml:space="preserve"> REF _Ref391388908 \r \h </w:instrText>
      </w:r>
      <w:r w:rsidR="00586F30">
        <w:fldChar w:fldCharType="separate"/>
      </w:r>
      <w:r w:rsidR="001E5D7A">
        <w:t>1</w:t>
      </w:r>
      <w:r w:rsidR="00586F30">
        <w:fldChar w:fldCharType="end"/>
      </w:r>
      <w:r>
        <w:t xml:space="preserve">, the CBA forms part of a broader process of investigating options for treatment of domestic RAC equipment at end-of-life. The purpose of the CBA is to measure the economic, environmental and social costs and benefits of preliminary product stewardship options developed by industry and the Department of the Environment. The analysis will be used to inform advice to government on the feasibility of product stewardship approaches for end-of-life RAC. Following </w:t>
      </w:r>
      <w:r w:rsidR="002744CB">
        <w:t>consideration</w:t>
      </w:r>
      <w:r>
        <w:t xml:space="preserve"> </w:t>
      </w:r>
      <w:r w:rsidR="002577FE">
        <w:t xml:space="preserve">by government </w:t>
      </w:r>
      <w:r>
        <w:t>on whether to proceed with investigating product stewardship options, there are a number of steps required:</w:t>
      </w:r>
    </w:p>
    <w:p w:rsidR="000E62FA" w:rsidRDefault="000E62FA" w:rsidP="000E62FA">
      <w:pPr>
        <w:pStyle w:val="BulletText"/>
      </w:pPr>
      <w:r>
        <w:t>identification of priority options and further development;</w:t>
      </w:r>
    </w:p>
    <w:p w:rsidR="000E62FA" w:rsidRDefault="000E62FA" w:rsidP="000E62FA">
      <w:pPr>
        <w:pStyle w:val="BulletText"/>
      </w:pPr>
      <w:r>
        <w:t>regulatory Impact Statement of preferred option(s) and Government consideration;</w:t>
      </w:r>
    </w:p>
    <w:p w:rsidR="000E62FA" w:rsidRDefault="000E62FA" w:rsidP="000E62FA">
      <w:pPr>
        <w:pStyle w:val="BulletText"/>
      </w:pPr>
      <w:r>
        <w:t>identification of implications of options and mitigation strategies; and</w:t>
      </w:r>
    </w:p>
    <w:p w:rsidR="000E62FA" w:rsidRDefault="000E62FA" w:rsidP="000E62FA">
      <w:pPr>
        <w:pStyle w:val="BulletText"/>
      </w:pPr>
      <w:proofErr w:type="gramStart"/>
      <w:r>
        <w:t>product</w:t>
      </w:r>
      <w:proofErr w:type="gramEnd"/>
      <w:r>
        <w:t xml:space="preserve"> stewardship implementation. </w:t>
      </w:r>
    </w:p>
    <w:p w:rsidR="005201D9" w:rsidRDefault="00913369" w:rsidP="007748FF">
      <w:pPr>
        <w:pStyle w:val="BodyText"/>
      </w:pPr>
      <w:r>
        <w:t>In addition to investigating product stewardship options, the Department is undertaking a separate review of the Ozone Acts. The purpose of the Ozone Act review is to:</w:t>
      </w:r>
    </w:p>
    <w:p w:rsidR="00913369" w:rsidRDefault="00913369">
      <w:pPr>
        <w:pStyle w:val="BulletText"/>
      </w:pPr>
      <w:r>
        <w:t>identify opportunities to improve and streamline the operation of the Ozone Acts including reducing regulatory compliance costs for business and the community; and</w:t>
      </w:r>
    </w:p>
    <w:p w:rsidR="00913369" w:rsidRDefault="00913369" w:rsidP="00913369">
      <w:pPr>
        <w:pStyle w:val="BulletText"/>
      </w:pPr>
      <w:proofErr w:type="gramStart"/>
      <w:r>
        <w:lastRenderedPageBreak/>
        <w:t>identify</w:t>
      </w:r>
      <w:proofErr w:type="gramEnd"/>
      <w:r>
        <w:t xml:space="preserve"> opportunities to reduce emissions of ozone depleting substances and synthetic greenhouse gases in line with international efforts.</w:t>
      </w:r>
    </w:p>
    <w:p w:rsidR="005C1070" w:rsidRDefault="005C1070" w:rsidP="00EE6ACE">
      <w:pPr>
        <w:pStyle w:val="BodyText"/>
      </w:pPr>
    </w:p>
    <w:p w:rsidR="005C1070" w:rsidRDefault="005C1070" w:rsidP="00EE6ACE">
      <w:pPr>
        <w:pStyle w:val="BodyText"/>
      </w:pPr>
    </w:p>
    <w:p w:rsidR="005C1070" w:rsidRPr="00EE6ACE" w:rsidRDefault="005C1070" w:rsidP="00EE6ACE">
      <w:pPr>
        <w:pStyle w:val="BodyText"/>
      </w:pPr>
    </w:p>
    <w:p w:rsidR="00AC5F4D" w:rsidRDefault="0014680E" w:rsidP="008F6C5D">
      <w:pPr>
        <w:pStyle w:val="Heading1"/>
        <w:numPr>
          <w:ilvl w:val="0"/>
          <w:numId w:val="0"/>
        </w:numPr>
      </w:pPr>
      <w:bookmarkStart w:id="98" w:name="_Toc403647596"/>
      <w:r>
        <w:lastRenderedPageBreak/>
        <w:t>Appendi</w:t>
      </w:r>
      <w:r w:rsidR="008F6C5D">
        <w:t>x A – Base Case Assumptions</w:t>
      </w:r>
      <w:bookmarkEnd w:id="98"/>
    </w:p>
    <w:p w:rsidR="00F268D2" w:rsidRPr="00F268D2" w:rsidRDefault="00F268D2" w:rsidP="00F268D2">
      <w:pPr>
        <w:pStyle w:val="BodyText"/>
      </w:pPr>
      <w:r w:rsidRPr="00F268D2">
        <w:t xml:space="preserve">The definition of the base case that forms the basis of the CBA is formed on the following: </w:t>
      </w:r>
    </w:p>
    <w:p w:rsidR="00F268D2" w:rsidRPr="00F268D2" w:rsidRDefault="00F268D2" w:rsidP="00F268D2">
      <w:pPr>
        <w:pStyle w:val="BulletText"/>
      </w:pPr>
      <w:r w:rsidRPr="00F268D2">
        <w:t xml:space="preserve">The draft options paper, prepared by the </w:t>
      </w:r>
      <w:r w:rsidR="00676F5A">
        <w:t>RAC Working Group</w:t>
      </w:r>
      <w:r w:rsidRPr="00F268D2">
        <w:t xml:space="preserve">, 2014, </w:t>
      </w:r>
      <w:r w:rsidRPr="00F268D2">
        <w:rPr>
          <w:i/>
          <w:iCs/>
        </w:rPr>
        <w:t>Feasibility of Product Stewardship for End-of-Life Domestic Refrigerators and Air Conditioners</w:t>
      </w:r>
      <w:r w:rsidRPr="00F268D2">
        <w:t>, version 2, issued by KPMG on 29 May 2014, (the ‘options paper’)</w:t>
      </w:r>
    </w:p>
    <w:p w:rsidR="00F268D2" w:rsidRPr="00F268D2" w:rsidRDefault="00F268D2" w:rsidP="00F268D2">
      <w:pPr>
        <w:pStyle w:val="BulletText"/>
      </w:pPr>
      <w:r w:rsidRPr="00F268D2">
        <w:t xml:space="preserve">The KPMG, 2014, </w:t>
      </w:r>
      <w:r w:rsidRPr="00F268D2">
        <w:rPr>
          <w:i/>
          <w:iCs/>
        </w:rPr>
        <w:t xml:space="preserve">End-of-life domestic refrigeration and air conditioning equipment in Australia, </w:t>
      </w:r>
      <w:r w:rsidRPr="00F268D2">
        <w:t>prepared for the Department of the Environment (the ‘RAC EOL report’)</w:t>
      </w:r>
    </w:p>
    <w:p w:rsidR="00F268D2" w:rsidRPr="00F268D2" w:rsidRDefault="00F268D2" w:rsidP="00F268D2">
      <w:pPr>
        <w:pStyle w:val="BulletText"/>
        <w:rPr>
          <w:i/>
          <w:iCs/>
        </w:rPr>
      </w:pPr>
      <w:r w:rsidRPr="00F268D2">
        <w:t xml:space="preserve">The KPMG Model Assumptions report, </w:t>
      </w:r>
      <w:r w:rsidRPr="00F268D2">
        <w:rPr>
          <w:i/>
          <w:iCs/>
        </w:rPr>
        <w:t>Cost Benefit Analysis for Domestic RAC Equipment at End-of- Life,</w:t>
      </w:r>
      <w:r w:rsidRPr="00F268D2">
        <w:t xml:space="preserve"> prepared for the Department of the Environment and presented at the RAC CBA industry workshop held on 13 June 2014</w:t>
      </w:r>
    </w:p>
    <w:p w:rsidR="00F268D2" w:rsidRPr="00F268D2" w:rsidRDefault="00F268D2" w:rsidP="00F268D2">
      <w:pPr>
        <w:pStyle w:val="BulletText"/>
        <w:rPr>
          <w:i/>
          <w:iCs/>
        </w:rPr>
      </w:pPr>
      <w:r w:rsidRPr="00F268D2">
        <w:t>The findings of the RAC CBA industry workshop held on 13 June 2014.</w:t>
      </w:r>
    </w:p>
    <w:p w:rsidR="0081406E" w:rsidRDefault="000E62FA">
      <w:pPr>
        <w:pStyle w:val="BodyText"/>
      </w:pPr>
      <w:r w:rsidRPr="00F268D2">
        <w:t xml:space="preserve">The base case was formed from the Draft Options Paper and the RAC EOL report.  This base case was presented to and discussed with the </w:t>
      </w:r>
      <w:r w:rsidR="002F1BBE">
        <w:t>industry working group</w:t>
      </w:r>
      <w:r w:rsidRPr="00F268D2">
        <w:t xml:space="preserve"> at the workshop, held on 13 June 2014.  A number of concerns about the base case were raised in the workshop, and were subsequently addressed and incorporated in the final base case included in the CBA. </w:t>
      </w:r>
    </w:p>
    <w:p w:rsidR="00F268D2" w:rsidRPr="00F268D2" w:rsidRDefault="00F268D2" w:rsidP="00F268D2">
      <w:pPr>
        <w:pStyle w:val="BodyText"/>
      </w:pPr>
      <w:r w:rsidRPr="00F268D2">
        <w:t>The following sections outline the specific assumptions included in the base case, including:</w:t>
      </w:r>
    </w:p>
    <w:p w:rsidR="00F268D2" w:rsidRPr="00F268D2" w:rsidRDefault="00F268D2" w:rsidP="00F268D2">
      <w:pPr>
        <w:pStyle w:val="BulletText"/>
      </w:pPr>
      <w:r w:rsidRPr="00F268D2">
        <w:t>The life span of the RAC equipment</w:t>
      </w:r>
      <w:r w:rsidR="002577FE">
        <w:t>;</w:t>
      </w:r>
    </w:p>
    <w:p w:rsidR="00F268D2" w:rsidRPr="00F268D2" w:rsidRDefault="00F268D2" w:rsidP="00F268D2">
      <w:pPr>
        <w:pStyle w:val="BulletText"/>
      </w:pPr>
      <w:r w:rsidRPr="00F268D2">
        <w:t>The treatment of industry trends</w:t>
      </w:r>
      <w:r w:rsidR="002577FE">
        <w:t>; and</w:t>
      </w:r>
    </w:p>
    <w:p w:rsidR="00F268D2" w:rsidRPr="00F268D2" w:rsidRDefault="00F268D2" w:rsidP="00F268D2">
      <w:pPr>
        <w:pStyle w:val="BulletText"/>
      </w:pPr>
      <w:r w:rsidRPr="00F268D2">
        <w:t>Material composition and treatment of RAC equipment at EOL.</w:t>
      </w:r>
    </w:p>
    <w:p w:rsidR="00F268D2" w:rsidRPr="00F268D2" w:rsidRDefault="00F268D2" w:rsidP="0016103D">
      <w:pPr>
        <w:pStyle w:val="Heading3"/>
        <w:numPr>
          <w:ilvl w:val="0"/>
          <w:numId w:val="0"/>
        </w:numPr>
      </w:pPr>
      <w:r w:rsidRPr="00F268D2">
        <w:t xml:space="preserve">Life span of the RAC equipment </w:t>
      </w:r>
    </w:p>
    <w:p w:rsidR="00F268D2" w:rsidRPr="00F268D2" w:rsidRDefault="00F268D2" w:rsidP="00F268D2">
      <w:pPr>
        <w:pStyle w:val="BodyText"/>
      </w:pPr>
      <w:r w:rsidRPr="00F268D2">
        <w:t>The period under investigation (the analysis period, 2014 – 2024) looks at the waste composition of RAC equipment at end-of-life.  This is a function of the rate at which domestic RAC equipment enters the household (stock) and the life span of the stock.</w:t>
      </w:r>
    </w:p>
    <w:p w:rsidR="00F268D2" w:rsidRPr="00F268D2" w:rsidRDefault="00F268D2" w:rsidP="00F268D2">
      <w:pPr>
        <w:pStyle w:val="BodyText"/>
      </w:pPr>
      <w:r w:rsidRPr="00F268D2">
        <w:t xml:space="preserve">Based on the RAC EOL report (KPMG, 2014), the average life span of RAC equipment is 10 to 21 years, or a mean time of between 14 to 18 years, see Appendix Table A1. Hence, stock is assumed to commence exiting a household around 10 to 21 years after purchase. </w:t>
      </w:r>
    </w:p>
    <w:p w:rsidR="00F268D2" w:rsidRPr="00F268D2" w:rsidRDefault="00F268D2" w:rsidP="00F268D2">
      <w:pPr>
        <w:pStyle w:val="Caption"/>
      </w:pPr>
      <w:r w:rsidRPr="00F268D2">
        <w:t>Appendix Table A1:  Parameters of the life span functions for each RAC category</w:t>
      </w:r>
    </w:p>
    <w:tbl>
      <w:tblPr>
        <w:tblStyle w:val="TableGrid"/>
        <w:tblW w:w="5000" w:type="pct"/>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shd w:val="clear" w:color="auto" w:fill="B8CCE4" w:themeFill="accent1" w:themeFillTint="66"/>
        <w:tblLayout w:type="fixed"/>
        <w:tblLook w:val="04A0"/>
      </w:tblPr>
      <w:tblGrid>
        <w:gridCol w:w="1384"/>
        <w:gridCol w:w="2267"/>
        <w:gridCol w:w="2269"/>
        <w:gridCol w:w="2801"/>
      </w:tblGrid>
      <w:tr w:rsidR="00F268D2" w:rsidRPr="00F268D2" w:rsidTr="00BF08BF">
        <w:trPr>
          <w:tblHeader/>
        </w:trPr>
        <w:tc>
          <w:tcPr>
            <w:tcW w:w="793" w:type="pct"/>
            <w:shd w:val="clear" w:color="auto" w:fill="1F497D" w:themeFill="text2"/>
          </w:tcPr>
          <w:p w:rsidR="00F268D2" w:rsidRPr="00F268D2" w:rsidRDefault="00F268D2" w:rsidP="00B75744">
            <w:pPr>
              <w:pStyle w:val="BodyText"/>
              <w:rPr>
                <w:b/>
                <w:sz w:val="20"/>
              </w:rPr>
            </w:pPr>
          </w:p>
        </w:tc>
        <w:tc>
          <w:tcPr>
            <w:tcW w:w="1300" w:type="pct"/>
            <w:shd w:val="clear" w:color="auto" w:fill="1F497D" w:themeFill="text2"/>
          </w:tcPr>
          <w:p w:rsidR="00F268D2" w:rsidRPr="00F268D2" w:rsidRDefault="00F268D2" w:rsidP="00B75744">
            <w:pPr>
              <w:pStyle w:val="BodyText"/>
              <w:jc w:val="center"/>
              <w:rPr>
                <w:b/>
                <w:color w:val="FFFFFF" w:themeColor="background1"/>
                <w:sz w:val="20"/>
              </w:rPr>
            </w:pPr>
            <w:r w:rsidRPr="00F268D2">
              <w:rPr>
                <w:b/>
                <w:color w:val="FFFFFF" w:themeColor="background1"/>
                <w:sz w:val="20"/>
              </w:rPr>
              <w:t>Refrigerators</w:t>
            </w:r>
          </w:p>
        </w:tc>
        <w:tc>
          <w:tcPr>
            <w:tcW w:w="1301" w:type="pct"/>
            <w:shd w:val="clear" w:color="auto" w:fill="1F497D" w:themeFill="text2"/>
          </w:tcPr>
          <w:p w:rsidR="00F268D2" w:rsidRPr="00F268D2" w:rsidRDefault="00F268D2" w:rsidP="00B75744">
            <w:pPr>
              <w:pStyle w:val="BodyText"/>
              <w:jc w:val="center"/>
              <w:rPr>
                <w:b/>
                <w:color w:val="FFFFFF" w:themeColor="background1"/>
                <w:sz w:val="20"/>
              </w:rPr>
            </w:pPr>
            <w:r w:rsidRPr="00F268D2">
              <w:rPr>
                <w:b/>
                <w:color w:val="FFFFFF" w:themeColor="background1"/>
                <w:sz w:val="20"/>
              </w:rPr>
              <w:t>Freezers</w:t>
            </w:r>
          </w:p>
        </w:tc>
        <w:tc>
          <w:tcPr>
            <w:tcW w:w="1606" w:type="pct"/>
            <w:shd w:val="clear" w:color="auto" w:fill="1F497D" w:themeFill="text2"/>
          </w:tcPr>
          <w:p w:rsidR="00F268D2" w:rsidRPr="00F268D2" w:rsidRDefault="00F268D2" w:rsidP="00B75744">
            <w:pPr>
              <w:pStyle w:val="BodyText"/>
              <w:jc w:val="center"/>
              <w:rPr>
                <w:b/>
                <w:color w:val="FFFFFF" w:themeColor="background1"/>
                <w:sz w:val="20"/>
              </w:rPr>
            </w:pPr>
            <w:r w:rsidRPr="00F268D2">
              <w:rPr>
                <w:b/>
                <w:color w:val="FFFFFF" w:themeColor="background1"/>
                <w:sz w:val="20"/>
              </w:rPr>
              <w:t>Air conditioners</w:t>
            </w:r>
          </w:p>
        </w:tc>
      </w:tr>
      <w:tr w:rsidR="00F268D2" w:rsidRPr="00F268D2" w:rsidTr="00BF08BF">
        <w:tc>
          <w:tcPr>
            <w:tcW w:w="793" w:type="pct"/>
            <w:shd w:val="clear" w:color="auto" w:fill="1F497D" w:themeFill="text2"/>
          </w:tcPr>
          <w:p w:rsidR="00F268D2" w:rsidRPr="00F268D2" w:rsidRDefault="00F268D2" w:rsidP="00B75744">
            <w:pPr>
              <w:pStyle w:val="BodyText"/>
              <w:rPr>
                <w:b/>
                <w:color w:val="FFFFFF" w:themeColor="background1"/>
                <w:sz w:val="20"/>
              </w:rPr>
            </w:pPr>
            <w:r w:rsidRPr="00F268D2">
              <w:rPr>
                <w:b/>
                <w:color w:val="FFFFFF" w:themeColor="background1"/>
                <w:sz w:val="20"/>
              </w:rPr>
              <w:t>Distribution</w:t>
            </w:r>
          </w:p>
        </w:tc>
        <w:tc>
          <w:tcPr>
            <w:tcW w:w="2601" w:type="pct"/>
            <w:gridSpan w:val="2"/>
            <w:shd w:val="clear" w:color="auto" w:fill="FFFFFF" w:themeFill="background1"/>
          </w:tcPr>
          <w:p w:rsidR="00F268D2" w:rsidRPr="00F268D2" w:rsidRDefault="00F268D2" w:rsidP="00B75744">
            <w:pPr>
              <w:pStyle w:val="BodyText"/>
              <w:jc w:val="center"/>
              <w:rPr>
                <w:sz w:val="20"/>
              </w:rPr>
            </w:pPr>
            <w:r w:rsidRPr="00F268D2">
              <w:rPr>
                <w:sz w:val="20"/>
              </w:rPr>
              <w:t>Beta</w:t>
            </w:r>
          </w:p>
        </w:tc>
        <w:tc>
          <w:tcPr>
            <w:tcW w:w="1606" w:type="pct"/>
            <w:shd w:val="clear" w:color="auto" w:fill="FFFFFF" w:themeFill="background1"/>
          </w:tcPr>
          <w:p w:rsidR="00F268D2" w:rsidRPr="00F268D2" w:rsidRDefault="00F268D2" w:rsidP="00B75744">
            <w:pPr>
              <w:pStyle w:val="BodyText"/>
              <w:jc w:val="center"/>
              <w:rPr>
                <w:sz w:val="20"/>
              </w:rPr>
            </w:pPr>
            <w:r w:rsidRPr="00F268D2">
              <w:rPr>
                <w:sz w:val="20"/>
              </w:rPr>
              <w:t>Normal</w:t>
            </w:r>
          </w:p>
        </w:tc>
      </w:tr>
      <w:tr w:rsidR="00F268D2" w:rsidRPr="00F268D2" w:rsidTr="00BF08BF">
        <w:tc>
          <w:tcPr>
            <w:tcW w:w="793" w:type="pct"/>
            <w:shd w:val="clear" w:color="auto" w:fill="1F497D" w:themeFill="text2"/>
          </w:tcPr>
          <w:p w:rsidR="00F268D2" w:rsidRPr="00F268D2" w:rsidRDefault="00F268D2" w:rsidP="00B75744">
            <w:pPr>
              <w:pStyle w:val="BodyText"/>
              <w:rPr>
                <w:b/>
                <w:color w:val="FFFFFF" w:themeColor="background1"/>
                <w:sz w:val="20"/>
              </w:rPr>
            </w:pPr>
            <w:r w:rsidRPr="00F268D2">
              <w:rPr>
                <w:b/>
                <w:color w:val="FFFFFF" w:themeColor="background1"/>
                <w:sz w:val="20"/>
              </w:rPr>
              <w:t>Lifespan</w:t>
            </w:r>
          </w:p>
        </w:tc>
        <w:tc>
          <w:tcPr>
            <w:tcW w:w="1300" w:type="pct"/>
            <w:shd w:val="clear" w:color="auto" w:fill="FFFFFF" w:themeFill="background1"/>
          </w:tcPr>
          <w:p w:rsidR="00F268D2" w:rsidRPr="00F268D2" w:rsidRDefault="00F268D2" w:rsidP="00BF08BF">
            <w:pPr>
              <w:pStyle w:val="BodyText"/>
              <w:jc w:val="left"/>
              <w:rPr>
                <w:sz w:val="20"/>
              </w:rPr>
            </w:pPr>
            <w:r w:rsidRPr="00F268D2">
              <w:rPr>
                <w:sz w:val="20"/>
              </w:rPr>
              <w:t>10 – 25 years</w:t>
            </w:r>
          </w:p>
        </w:tc>
        <w:tc>
          <w:tcPr>
            <w:tcW w:w="1301" w:type="pct"/>
            <w:shd w:val="clear" w:color="auto" w:fill="FFFFFF" w:themeFill="background1"/>
          </w:tcPr>
          <w:p w:rsidR="00F268D2" w:rsidRPr="00F268D2" w:rsidRDefault="00F268D2" w:rsidP="00BF08BF">
            <w:pPr>
              <w:pStyle w:val="BodyText"/>
              <w:jc w:val="left"/>
              <w:rPr>
                <w:sz w:val="20"/>
              </w:rPr>
            </w:pPr>
            <w:r w:rsidRPr="00F268D2">
              <w:rPr>
                <w:sz w:val="20"/>
              </w:rPr>
              <w:t>13 – 25 years</w:t>
            </w:r>
          </w:p>
        </w:tc>
        <w:tc>
          <w:tcPr>
            <w:tcW w:w="1606" w:type="pct"/>
            <w:shd w:val="clear" w:color="auto" w:fill="FFFFFF" w:themeFill="background1"/>
          </w:tcPr>
          <w:p w:rsidR="00F268D2" w:rsidRPr="00F268D2" w:rsidRDefault="00F268D2" w:rsidP="00BF08BF">
            <w:pPr>
              <w:pStyle w:val="BodyText"/>
              <w:jc w:val="left"/>
              <w:rPr>
                <w:sz w:val="20"/>
              </w:rPr>
            </w:pPr>
            <w:r w:rsidRPr="00F268D2">
              <w:rPr>
                <w:sz w:val="20"/>
              </w:rPr>
              <w:t>10 – 21 years</w:t>
            </w:r>
          </w:p>
        </w:tc>
      </w:tr>
      <w:tr w:rsidR="00F268D2" w:rsidRPr="00F268D2" w:rsidTr="00BF08BF">
        <w:tc>
          <w:tcPr>
            <w:tcW w:w="793" w:type="pct"/>
            <w:shd w:val="clear" w:color="auto" w:fill="1F497D" w:themeFill="text2"/>
          </w:tcPr>
          <w:p w:rsidR="00F268D2" w:rsidRPr="00F268D2" w:rsidRDefault="00F268D2" w:rsidP="00B75744">
            <w:pPr>
              <w:pStyle w:val="BodyText"/>
              <w:rPr>
                <w:b/>
                <w:color w:val="FFFFFF" w:themeColor="background1"/>
                <w:sz w:val="20"/>
              </w:rPr>
            </w:pPr>
            <w:r w:rsidRPr="00F268D2">
              <w:rPr>
                <w:b/>
                <w:color w:val="FFFFFF" w:themeColor="background1"/>
                <w:sz w:val="20"/>
              </w:rPr>
              <w:t>Mean time in stock</w:t>
            </w:r>
          </w:p>
        </w:tc>
        <w:tc>
          <w:tcPr>
            <w:tcW w:w="1300" w:type="pct"/>
            <w:shd w:val="clear" w:color="auto" w:fill="FFFFFF" w:themeFill="background1"/>
          </w:tcPr>
          <w:p w:rsidR="00F268D2" w:rsidRPr="00F268D2" w:rsidRDefault="00F268D2" w:rsidP="00BF08BF">
            <w:pPr>
              <w:pStyle w:val="BodyText"/>
              <w:jc w:val="left"/>
              <w:rPr>
                <w:sz w:val="20"/>
              </w:rPr>
            </w:pPr>
            <w:r w:rsidRPr="00F268D2">
              <w:rPr>
                <w:sz w:val="20"/>
              </w:rPr>
              <w:t>17 years</w:t>
            </w:r>
          </w:p>
        </w:tc>
        <w:tc>
          <w:tcPr>
            <w:tcW w:w="1301" w:type="pct"/>
            <w:shd w:val="clear" w:color="auto" w:fill="FFFFFF" w:themeFill="background1"/>
          </w:tcPr>
          <w:p w:rsidR="00F268D2" w:rsidRPr="00F268D2" w:rsidRDefault="00F268D2" w:rsidP="00BF08BF">
            <w:pPr>
              <w:pStyle w:val="BodyText"/>
              <w:jc w:val="left"/>
              <w:rPr>
                <w:sz w:val="20"/>
              </w:rPr>
            </w:pPr>
            <w:r w:rsidRPr="00F268D2">
              <w:rPr>
                <w:sz w:val="20"/>
              </w:rPr>
              <w:t>18 years</w:t>
            </w:r>
          </w:p>
        </w:tc>
        <w:tc>
          <w:tcPr>
            <w:tcW w:w="1606" w:type="pct"/>
            <w:shd w:val="clear" w:color="auto" w:fill="FFFFFF" w:themeFill="background1"/>
          </w:tcPr>
          <w:p w:rsidR="00F268D2" w:rsidRPr="00F268D2" w:rsidRDefault="00F268D2" w:rsidP="00BF08BF">
            <w:pPr>
              <w:pStyle w:val="BodyText"/>
              <w:jc w:val="left"/>
              <w:rPr>
                <w:sz w:val="20"/>
              </w:rPr>
            </w:pPr>
            <w:r w:rsidRPr="00F268D2">
              <w:rPr>
                <w:sz w:val="20"/>
              </w:rPr>
              <w:t>14 years</w:t>
            </w:r>
          </w:p>
        </w:tc>
      </w:tr>
      <w:tr w:rsidR="00F268D2" w:rsidRPr="00F268D2" w:rsidTr="00BF08BF">
        <w:tc>
          <w:tcPr>
            <w:tcW w:w="793" w:type="pct"/>
            <w:shd w:val="clear" w:color="auto" w:fill="1F497D" w:themeFill="text2"/>
          </w:tcPr>
          <w:p w:rsidR="00F268D2" w:rsidRPr="00F268D2" w:rsidRDefault="00F268D2" w:rsidP="00B75744">
            <w:pPr>
              <w:pStyle w:val="BodyText"/>
              <w:rPr>
                <w:b/>
                <w:color w:val="FFFFFF" w:themeColor="background1"/>
                <w:sz w:val="20"/>
              </w:rPr>
            </w:pPr>
            <w:r w:rsidRPr="00F268D2">
              <w:rPr>
                <w:b/>
                <w:color w:val="FFFFFF" w:themeColor="background1"/>
                <w:sz w:val="20"/>
              </w:rPr>
              <w:t>Source(s)</w:t>
            </w:r>
          </w:p>
        </w:tc>
        <w:tc>
          <w:tcPr>
            <w:tcW w:w="1300" w:type="pct"/>
            <w:shd w:val="clear" w:color="auto" w:fill="FFFFFF" w:themeFill="background1"/>
          </w:tcPr>
          <w:p w:rsidR="00F268D2" w:rsidRPr="00F268D2" w:rsidRDefault="00F268D2" w:rsidP="00BF08BF">
            <w:pPr>
              <w:pStyle w:val="BodyText"/>
              <w:jc w:val="left"/>
              <w:rPr>
                <w:sz w:val="20"/>
              </w:rPr>
            </w:pPr>
            <w:r w:rsidRPr="00F268D2">
              <w:rPr>
                <w:sz w:val="20"/>
              </w:rPr>
              <w:t xml:space="preserve">Commonwealth Government, </w:t>
            </w:r>
            <w:r w:rsidRPr="00F268D2">
              <w:rPr>
                <w:i/>
                <w:sz w:val="20"/>
              </w:rPr>
              <w:t xml:space="preserve">Major </w:t>
            </w:r>
            <w:r w:rsidRPr="00F268D2">
              <w:rPr>
                <w:i/>
                <w:sz w:val="20"/>
              </w:rPr>
              <w:lastRenderedPageBreak/>
              <w:t>Appliances Material Project</w:t>
            </w:r>
            <w:r w:rsidRPr="00F268D2">
              <w:rPr>
                <w:sz w:val="20"/>
              </w:rPr>
              <w:t>, 2001</w:t>
            </w:r>
          </w:p>
          <w:p w:rsidR="00F268D2" w:rsidRPr="00F268D2" w:rsidRDefault="00F268D2" w:rsidP="00BF08BF">
            <w:pPr>
              <w:pStyle w:val="BodyText"/>
              <w:jc w:val="left"/>
              <w:rPr>
                <w:sz w:val="20"/>
              </w:rPr>
            </w:pPr>
            <w:r w:rsidRPr="00F268D2">
              <w:rPr>
                <w:sz w:val="20"/>
              </w:rPr>
              <w:t>ABS 4602.2, 2011</w:t>
            </w:r>
          </w:p>
          <w:p w:rsidR="00F268D2" w:rsidRPr="00F268D2" w:rsidRDefault="00F268D2" w:rsidP="00BF08BF">
            <w:pPr>
              <w:pStyle w:val="BodyText"/>
              <w:jc w:val="left"/>
              <w:rPr>
                <w:sz w:val="20"/>
              </w:rPr>
            </w:pPr>
            <w:r w:rsidRPr="00F268D2">
              <w:rPr>
                <w:sz w:val="20"/>
              </w:rPr>
              <w:t>Stakeholder interviews</w:t>
            </w:r>
          </w:p>
        </w:tc>
        <w:tc>
          <w:tcPr>
            <w:tcW w:w="1301" w:type="pct"/>
            <w:shd w:val="clear" w:color="auto" w:fill="FFFFFF" w:themeFill="background1"/>
          </w:tcPr>
          <w:p w:rsidR="00F268D2" w:rsidRPr="00F268D2" w:rsidRDefault="00F268D2" w:rsidP="00BF08BF">
            <w:pPr>
              <w:pStyle w:val="BodyText"/>
              <w:jc w:val="left"/>
              <w:rPr>
                <w:sz w:val="20"/>
              </w:rPr>
            </w:pPr>
            <w:r w:rsidRPr="00F268D2">
              <w:rPr>
                <w:sz w:val="20"/>
              </w:rPr>
              <w:lastRenderedPageBreak/>
              <w:t xml:space="preserve">Commonwealth Government, </w:t>
            </w:r>
            <w:r w:rsidRPr="00F268D2">
              <w:rPr>
                <w:i/>
                <w:sz w:val="20"/>
              </w:rPr>
              <w:t xml:space="preserve">Major </w:t>
            </w:r>
            <w:r w:rsidRPr="00F268D2">
              <w:rPr>
                <w:i/>
                <w:sz w:val="20"/>
              </w:rPr>
              <w:lastRenderedPageBreak/>
              <w:t>Appliances Material Project</w:t>
            </w:r>
            <w:r w:rsidRPr="00F268D2">
              <w:rPr>
                <w:sz w:val="20"/>
              </w:rPr>
              <w:t>, 2001</w:t>
            </w:r>
          </w:p>
          <w:p w:rsidR="00F268D2" w:rsidRPr="00F268D2" w:rsidRDefault="00F268D2" w:rsidP="00BF08BF">
            <w:pPr>
              <w:pStyle w:val="BodyText"/>
              <w:jc w:val="left"/>
              <w:rPr>
                <w:sz w:val="20"/>
              </w:rPr>
            </w:pPr>
            <w:r w:rsidRPr="00F268D2">
              <w:rPr>
                <w:sz w:val="20"/>
              </w:rPr>
              <w:t xml:space="preserve">Stakeholder interviews </w:t>
            </w:r>
          </w:p>
        </w:tc>
        <w:tc>
          <w:tcPr>
            <w:tcW w:w="1606" w:type="pct"/>
            <w:shd w:val="clear" w:color="auto" w:fill="FFFFFF" w:themeFill="background1"/>
          </w:tcPr>
          <w:p w:rsidR="00F268D2" w:rsidRPr="00F268D2" w:rsidRDefault="00F268D2" w:rsidP="00BF08BF">
            <w:pPr>
              <w:pStyle w:val="BodyText"/>
              <w:jc w:val="left"/>
              <w:rPr>
                <w:sz w:val="20"/>
              </w:rPr>
            </w:pPr>
            <w:r w:rsidRPr="00F268D2">
              <w:rPr>
                <w:sz w:val="20"/>
              </w:rPr>
              <w:lastRenderedPageBreak/>
              <w:t xml:space="preserve">Energy Efficient Strategies, </w:t>
            </w:r>
            <w:r w:rsidRPr="00F268D2">
              <w:rPr>
                <w:i/>
                <w:sz w:val="20"/>
              </w:rPr>
              <w:t xml:space="preserve">Status of Air Conditioners in </w:t>
            </w:r>
            <w:r w:rsidRPr="00F268D2">
              <w:rPr>
                <w:i/>
                <w:sz w:val="20"/>
              </w:rPr>
              <w:lastRenderedPageBreak/>
              <w:t>Australia</w:t>
            </w:r>
            <w:r w:rsidRPr="00F268D2">
              <w:rPr>
                <w:sz w:val="20"/>
              </w:rPr>
              <w:t>, 2006</w:t>
            </w:r>
          </w:p>
          <w:p w:rsidR="00F268D2" w:rsidRPr="00F268D2" w:rsidRDefault="00F268D2" w:rsidP="00BF08BF">
            <w:pPr>
              <w:pStyle w:val="BodyText"/>
              <w:jc w:val="left"/>
              <w:rPr>
                <w:sz w:val="20"/>
              </w:rPr>
            </w:pPr>
            <w:r w:rsidRPr="00F268D2">
              <w:rPr>
                <w:sz w:val="20"/>
              </w:rPr>
              <w:t xml:space="preserve">Expert Group, </w:t>
            </w:r>
            <w:r w:rsidRPr="00F268D2">
              <w:rPr>
                <w:i/>
                <w:sz w:val="20"/>
              </w:rPr>
              <w:t>Cold Hard Facts 2</w:t>
            </w:r>
            <w:r w:rsidRPr="00F268D2">
              <w:rPr>
                <w:sz w:val="20"/>
              </w:rPr>
              <w:t>, 2013</w:t>
            </w:r>
          </w:p>
          <w:p w:rsidR="00F268D2" w:rsidRPr="00F268D2" w:rsidRDefault="00F268D2" w:rsidP="00BF08BF">
            <w:pPr>
              <w:pStyle w:val="BodyText"/>
              <w:keepNext/>
              <w:jc w:val="left"/>
              <w:rPr>
                <w:sz w:val="20"/>
              </w:rPr>
            </w:pPr>
            <w:r w:rsidRPr="00F268D2">
              <w:rPr>
                <w:sz w:val="20"/>
              </w:rPr>
              <w:t xml:space="preserve">Energy Strategies, </w:t>
            </w:r>
            <w:r w:rsidRPr="00F268D2">
              <w:rPr>
                <w:i/>
                <w:sz w:val="20"/>
              </w:rPr>
              <w:t>ODS and SGGs in Australia</w:t>
            </w:r>
            <w:r w:rsidRPr="00F268D2">
              <w:rPr>
                <w:sz w:val="20"/>
              </w:rPr>
              <w:t>, 2008</w:t>
            </w:r>
          </w:p>
        </w:tc>
      </w:tr>
    </w:tbl>
    <w:p w:rsidR="0016103D" w:rsidRDefault="00F268D2" w:rsidP="0016103D">
      <w:pPr>
        <w:pStyle w:val="BodyText"/>
        <w:rPr>
          <w:b/>
          <w:sz w:val="28"/>
        </w:rPr>
      </w:pPr>
      <w:r w:rsidRPr="00F268D2">
        <w:rPr>
          <w:sz w:val="20"/>
        </w:rPr>
        <w:lastRenderedPageBreak/>
        <w:t>Source: Appendix C, Table 9, the RAC EOL report (KPMG, 2014)</w:t>
      </w:r>
      <w:r w:rsidR="0016103D">
        <w:rPr>
          <w:b/>
          <w:sz w:val="28"/>
        </w:rPr>
        <w:t xml:space="preserve"> </w:t>
      </w:r>
    </w:p>
    <w:p w:rsidR="00F268D2" w:rsidRPr="0016103D" w:rsidRDefault="00F268D2" w:rsidP="0016103D">
      <w:pPr>
        <w:pStyle w:val="Heading3"/>
        <w:numPr>
          <w:ilvl w:val="0"/>
          <w:numId w:val="0"/>
        </w:numPr>
        <w:rPr>
          <w:sz w:val="28"/>
        </w:rPr>
      </w:pPr>
      <w:r w:rsidRPr="00F268D2">
        <w:t xml:space="preserve">Treatment of industry trends </w:t>
      </w:r>
    </w:p>
    <w:p w:rsidR="00F268D2" w:rsidRPr="00F268D2" w:rsidRDefault="00F268D2" w:rsidP="00F268D2">
      <w:pPr>
        <w:pStyle w:val="BodyText"/>
      </w:pPr>
      <w:r w:rsidRPr="00F268D2">
        <w:t xml:space="preserve">Several concerns were raised in the options paper about the composition of waste materials for end-of-life domestic RAC equipment that formed presented in the RAC EOL report.  </w:t>
      </w:r>
    </w:p>
    <w:p w:rsidR="00F268D2" w:rsidRPr="00F268D2" w:rsidRDefault="00F268D2" w:rsidP="00F268D2">
      <w:pPr>
        <w:pStyle w:val="BodyText"/>
        <w:rPr>
          <w:rFonts w:eastAsia="Batang"/>
          <w:lang w:eastAsia="ko-KR"/>
        </w:rPr>
      </w:pPr>
      <w:r w:rsidRPr="00F268D2">
        <w:rPr>
          <w:rFonts w:eastAsia="Batang"/>
          <w:lang w:eastAsia="ko-KR"/>
        </w:rPr>
        <w:t xml:space="preserve">Several questions were raised at the workshop in regards to the proposed material composition of RAC equipment at EOL that will be applied in the cost benefit analysis (CBA) over the period of analysis, from 2014 – 2024.  </w:t>
      </w:r>
    </w:p>
    <w:p w:rsidR="00F268D2" w:rsidRDefault="00F268D2" w:rsidP="00F268D2">
      <w:pPr>
        <w:pStyle w:val="BodyText"/>
      </w:pPr>
      <w:r w:rsidRPr="00F268D2">
        <w:t xml:space="preserve">These were raised and discussed at the workshop and resolved as outlined in the following table: </w:t>
      </w:r>
    </w:p>
    <w:p w:rsidR="00BF08BF" w:rsidRPr="00F268D2" w:rsidRDefault="00BF08BF" w:rsidP="00BF08BF">
      <w:pPr>
        <w:pStyle w:val="Caption"/>
      </w:pPr>
      <w:r w:rsidRPr="00F268D2">
        <w:t>Appendix Table A</w:t>
      </w:r>
      <w:r>
        <w:t>2</w:t>
      </w:r>
      <w:r w:rsidRPr="00F268D2">
        <w:t xml:space="preserve">:  </w:t>
      </w:r>
      <w:r>
        <w:t>Composition of waste materials</w:t>
      </w:r>
    </w:p>
    <w:tbl>
      <w:tblPr>
        <w:tblW w:w="8931" w:type="dxa"/>
        <w:tblInd w:w="-34"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ayout w:type="fixed"/>
        <w:tblCellMar>
          <w:left w:w="0" w:type="dxa"/>
          <w:right w:w="0" w:type="dxa"/>
        </w:tblCellMar>
        <w:tblLook w:val="04A0"/>
      </w:tblPr>
      <w:tblGrid>
        <w:gridCol w:w="1843"/>
        <w:gridCol w:w="7088"/>
      </w:tblGrid>
      <w:tr w:rsidR="00F268D2" w:rsidRPr="00F268D2" w:rsidTr="00BF08BF">
        <w:trPr>
          <w:cantSplit/>
          <w:trHeight w:val="283"/>
        </w:trPr>
        <w:tc>
          <w:tcPr>
            <w:tcW w:w="1843" w:type="dxa"/>
            <w:shd w:val="clear" w:color="auto" w:fill="1F497D" w:themeFill="text2"/>
            <w:tcMar>
              <w:top w:w="0" w:type="dxa"/>
              <w:left w:w="108" w:type="dxa"/>
              <w:bottom w:w="0" w:type="dxa"/>
              <w:right w:w="108" w:type="dxa"/>
            </w:tcMar>
            <w:hideMark/>
          </w:tcPr>
          <w:p w:rsidR="00F268D2" w:rsidRPr="00F268D2" w:rsidRDefault="00F268D2" w:rsidP="00B75744">
            <w:pPr>
              <w:pStyle w:val="BodyText0"/>
              <w:spacing w:before="60" w:after="60" w:afterAutospacing="0" w:line="240" w:lineRule="auto"/>
              <w:rPr>
                <w:rFonts w:ascii="Times New Roman" w:hAnsi="Times New Roman" w:cs="Times New Roman"/>
                <w:b/>
                <w:color w:val="FFFFFF" w:themeColor="background1"/>
                <w:sz w:val="20"/>
                <w:szCs w:val="20"/>
              </w:rPr>
            </w:pPr>
            <w:r w:rsidRPr="00F268D2">
              <w:rPr>
                <w:rFonts w:ascii="Times New Roman" w:hAnsi="Times New Roman" w:cs="Times New Roman"/>
                <w:b/>
                <w:color w:val="FFFFFF" w:themeColor="background1"/>
                <w:sz w:val="20"/>
                <w:szCs w:val="20"/>
              </w:rPr>
              <w:t>Industry trends</w:t>
            </w:r>
          </w:p>
        </w:tc>
        <w:tc>
          <w:tcPr>
            <w:tcW w:w="7088" w:type="dxa"/>
            <w:shd w:val="clear" w:color="auto" w:fill="1F497D" w:themeFill="text2"/>
          </w:tcPr>
          <w:p w:rsidR="00F268D2" w:rsidRPr="00F268D2" w:rsidRDefault="00F268D2" w:rsidP="00B75744">
            <w:pPr>
              <w:pStyle w:val="BodyText0"/>
              <w:spacing w:before="60" w:after="60" w:afterAutospacing="0" w:line="240" w:lineRule="auto"/>
              <w:rPr>
                <w:rFonts w:ascii="Times New Roman" w:hAnsi="Times New Roman" w:cs="Times New Roman"/>
                <w:b/>
                <w:color w:val="FFFFFF" w:themeColor="background1"/>
                <w:sz w:val="20"/>
                <w:szCs w:val="20"/>
              </w:rPr>
            </w:pPr>
            <w:r w:rsidRPr="00F268D2">
              <w:rPr>
                <w:rFonts w:ascii="Times New Roman" w:hAnsi="Times New Roman" w:cs="Times New Roman"/>
                <w:b/>
                <w:color w:val="FFFFFF" w:themeColor="background1"/>
                <w:sz w:val="20"/>
                <w:szCs w:val="20"/>
              </w:rPr>
              <w:t>Considerati</w:t>
            </w:r>
            <w:r>
              <w:rPr>
                <w:rFonts w:ascii="Times New Roman" w:hAnsi="Times New Roman" w:cs="Times New Roman"/>
                <w:b/>
                <w:color w:val="FFFFFF" w:themeColor="background1"/>
                <w:sz w:val="20"/>
                <w:szCs w:val="20"/>
              </w:rPr>
              <w:t>o</w:t>
            </w:r>
            <w:r w:rsidRPr="00F268D2">
              <w:rPr>
                <w:rFonts w:ascii="Times New Roman" w:hAnsi="Times New Roman" w:cs="Times New Roman"/>
                <w:b/>
                <w:color w:val="FFFFFF" w:themeColor="background1"/>
                <w:sz w:val="20"/>
                <w:szCs w:val="20"/>
              </w:rPr>
              <w:t>n</w:t>
            </w:r>
          </w:p>
        </w:tc>
      </w:tr>
      <w:tr w:rsidR="00F268D2" w:rsidRPr="00F268D2" w:rsidTr="00BF08BF">
        <w:trPr>
          <w:cantSplit/>
          <w:trHeight w:val="283"/>
        </w:trPr>
        <w:tc>
          <w:tcPr>
            <w:tcW w:w="8931" w:type="dxa"/>
            <w:gridSpan w:val="2"/>
            <w:shd w:val="clear" w:color="auto" w:fill="DAEEF3" w:themeFill="accent5" w:themeFillTint="33"/>
            <w:tcMar>
              <w:top w:w="0" w:type="dxa"/>
              <w:left w:w="108" w:type="dxa"/>
              <w:bottom w:w="0" w:type="dxa"/>
              <w:right w:w="108" w:type="dxa"/>
            </w:tcMar>
            <w:hideMark/>
          </w:tcPr>
          <w:p w:rsidR="00F268D2" w:rsidRPr="00F268D2" w:rsidRDefault="00F268D2" w:rsidP="00B75744">
            <w:pPr>
              <w:pStyle w:val="BodyText0"/>
              <w:spacing w:before="60" w:after="60" w:afterAutospacing="0" w:line="240" w:lineRule="auto"/>
              <w:rPr>
                <w:rFonts w:ascii="Times New Roman" w:hAnsi="Times New Roman" w:cs="Times New Roman"/>
                <w:b/>
                <w:sz w:val="20"/>
                <w:szCs w:val="20"/>
              </w:rPr>
            </w:pPr>
            <w:r w:rsidRPr="00F268D2">
              <w:rPr>
                <w:rFonts w:ascii="Times New Roman" w:hAnsi="Times New Roman" w:cs="Times New Roman"/>
                <w:b/>
                <w:sz w:val="20"/>
                <w:szCs w:val="20"/>
              </w:rPr>
              <w:t>Refrigerant Gases</w:t>
            </w:r>
          </w:p>
        </w:tc>
      </w:tr>
      <w:tr w:rsidR="00F268D2" w:rsidRPr="00F268D2" w:rsidTr="00BF08BF">
        <w:trPr>
          <w:cantSplit/>
          <w:trHeight w:val="1091"/>
        </w:trPr>
        <w:tc>
          <w:tcPr>
            <w:tcW w:w="1843" w:type="dxa"/>
            <w:tcMar>
              <w:top w:w="0" w:type="dxa"/>
              <w:left w:w="108" w:type="dxa"/>
              <w:bottom w:w="0" w:type="dxa"/>
              <w:right w:w="108" w:type="dxa"/>
            </w:tcMar>
            <w:hideMark/>
          </w:tcPr>
          <w:p w:rsidR="00F268D2" w:rsidRPr="00F268D2" w:rsidRDefault="00F268D2" w:rsidP="00B75744">
            <w:pPr>
              <w:pStyle w:val="BodyText0"/>
              <w:spacing w:before="60" w:after="60" w:afterAutospacing="0" w:line="240" w:lineRule="auto"/>
              <w:rPr>
                <w:rFonts w:ascii="Times New Roman" w:hAnsi="Times New Roman" w:cs="Times New Roman"/>
                <w:sz w:val="20"/>
                <w:szCs w:val="20"/>
              </w:rPr>
            </w:pPr>
            <w:r w:rsidRPr="00F268D2">
              <w:rPr>
                <w:rFonts w:ascii="Times New Roman" w:hAnsi="Times New Roman" w:cs="Times New Roman"/>
                <w:sz w:val="20"/>
                <w:szCs w:val="20"/>
              </w:rPr>
              <w:t>Transitioning to low GWP alternatives</w:t>
            </w:r>
          </w:p>
        </w:tc>
        <w:tc>
          <w:tcPr>
            <w:tcW w:w="7088" w:type="dxa"/>
            <w:hideMark/>
          </w:tcPr>
          <w:p w:rsidR="00F268D2" w:rsidRPr="00F268D2" w:rsidRDefault="00F268D2" w:rsidP="00B75744">
            <w:pPr>
              <w:pStyle w:val="BodyText0"/>
              <w:spacing w:before="60" w:after="60" w:afterAutospacing="0" w:line="240" w:lineRule="auto"/>
              <w:rPr>
                <w:rFonts w:ascii="Times New Roman" w:hAnsi="Times New Roman" w:cs="Times New Roman"/>
                <w:sz w:val="20"/>
                <w:szCs w:val="20"/>
              </w:rPr>
            </w:pPr>
            <w:r w:rsidRPr="00F268D2">
              <w:rPr>
                <w:rFonts w:ascii="Times New Roman" w:hAnsi="Times New Roman" w:cs="Times New Roman"/>
                <w:sz w:val="20"/>
                <w:szCs w:val="20"/>
              </w:rPr>
              <w:t xml:space="preserve">Industry is transitioning to low global warming potential (GWP) alternatives, which will be accelerated by the phase down of </w:t>
            </w:r>
            <w:proofErr w:type="spellStart"/>
            <w:r w:rsidRPr="00F268D2">
              <w:rPr>
                <w:rFonts w:ascii="Times New Roman" w:hAnsi="Times New Roman" w:cs="Times New Roman"/>
                <w:sz w:val="20"/>
                <w:szCs w:val="20"/>
              </w:rPr>
              <w:t>hydrofluorocarbons</w:t>
            </w:r>
            <w:proofErr w:type="spellEnd"/>
            <w:r w:rsidRPr="00F268D2">
              <w:rPr>
                <w:rFonts w:ascii="Times New Roman" w:hAnsi="Times New Roman" w:cs="Times New Roman"/>
                <w:sz w:val="20"/>
                <w:szCs w:val="20"/>
              </w:rPr>
              <w:t xml:space="preserve"> (HFCs) in Europe and potentially North America.  The replacement of SGGs with refrigerant gases with a low GWP will reduce the quantity of SGGs refrigerant gases, and hence quantities that are recovered. </w:t>
            </w:r>
          </w:p>
          <w:p w:rsidR="00F268D2" w:rsidRPr="00F268D2" w:rsidRDefault="00F268D2" w:rsidP="002F1BBE">
            <w:pPr>
              <w:pStyle w:val="BodyText0"/>
              <w:spacing w:before="60" w:after="60" w:afterAutospacing="0" w:line="240" w:lineRule="auto"/>
              <w:rPr>
                <w:rFonts w:ascii="Times New Roman" w:hAnsi="Times New Roman" w:cs="Times New Roman"/>
                <w:sz w:val="20"/>
                <w:szCs w:val="20"/>
              </w:rPr>
            </w:pPr>
            <w:r w:rsidRPr="00F268D2">
              <w:rPr>
                <w:rFonts w:ascii="Times New Roman" w:hAnsi="Times New Roman" w:cs="Times New Roman"/>
                <w:sz w:val="20"/>
                <w:szCs w:val="20"/>
              </w:rPr>
              <w:t>While this will impact the use of refrigerants in Australia, changing the ty</w:t>
            </w:r>
            <w:r w:rsidR="002F1BBE">
              <w:rPr>
                <w:rFonts w:ascii="Times New Roman" w:hAnsi="Times New Roman" w:cs="Times New Roman"/>
                <w:sz w:val="20"/>
                <w:szCs w:val="20"/>
              </w:rPr>
              <w:t>pe and GWP of refrigerant gases</w:t>
            </w:r>
            <w:r w:rsidRPr="00F268D2">
              <w:rPr>
                <w:rFonts w:ascii="Times New Roman" w:hAnsi="Times New Roman" w:cs="Times New Roman"/>
                <w:sz w:val="20"/>
                <w:szCs w:val="20"/>
              </w:rPr>
              <w:t>.</w:t>
            </w:r>
          </w:p>
        </w:tc>
      </w:tr>
      <w:tr w:rsidR="00F268D2" w:rsidRPr="00F268D2" w:rsidTr="00BF08BF">
        <w:trPr>
          <w:cantSplit/>
          <w:trHeight w:val="1234"/>
        </w:trPr>
        <w:tc>
          <w:tcPr>
            <w:tcW w:w="1843" w:type="dxa"/>
            <w:tcMar>
              <w:top w:w="0" w:type="dxa"/>
              <w:left w:w="108" w:type="dxa"/>
              <w:bottom w:w="0" w:type="dxa"/>
              <w:right w:w="108" w:type="dxa"/>
            </w:tcMar>
            <w:hideMark/>
          </w:tcPr>
          <w:p w:rsidR="00F268D2" w:rsidRPr="00F268D2" w:rsidRDefault="00F268D2" w:rsidP="00B75744">
            <w:pPr>
              <w:pStyle w:val="BodyText0"/>
              <w:spacing w:before="60" w:after="60" w:afterAutospacing="0" w:line="240" w:lineRule="auto"/>
              <w:rPr>
                <w:rFonts w:ascii="Times New Roman" w:hAnsi="Times New Roman" w:cs="Times New Roman"/>
                <w:sz w:val="20"/>
                <w:szCs w:val="20"/>
              </w:rPr>
            </w:pPr>
            <w:r w:rsidRPr="00F268D2">
              <w:rPr>
                <w:rFonts w:ascii="Times New Roman" w:hAnsi="Times New Roman" w:cs="Times New Roman"/>
                <w:sz w:val="20"/>
                <w:szCs w:val="20"/>
              </w:rPr>
              <w:t xml:space="preserve">Decommissioning practices </w:t>
            </w:r>
          </w:p>
        </w:tc>
        <w:tc>
          <w:tcPr>
            <w:tcW w:w="7088" w:type="dxa"/>
            <w:hideMark/>
          </w:tcPr>
          <w:p w:rsidR="00F268D2" w:rsidRPr="00F268D2" w:rsidRDefault="00F268D2" w:rsidP="00B75744">
            <w:pPr>
              <w:pStyle w:val="BodyText0"/>
              <w:spacing w:before="60" w:after="60" w:afterAutospacing="0" w:line="240" w:lineRule="auto"/>
              <w:rPr>
                <w:rFonts w:ascii="Times New Roman" w:hAnsi="Times New Roman" w:cs="Times New Roman"/>
                <w:sz w:val="20"/>
                <w:szCs w:val="20"/>
              </w:rPr>
            </w:pPr>
            <w:r w:rsidRPr="00F268D2">
              <w:rPr>
                <w:rFonts w:ascii="Times New Roman" w:hAnsi="Times New Roman" w:cs="Times New Roman"/>
                <w:sz w:val="20"/>
                <w:szCs w:val="20"/>
              </w:rPr>
              <w:t xml:space="preserve">A proportion of the refrigerant charge in air conditioners maybe lost prior to decommissioning.  Rate of refrigerant recovery may be lower due to behavioural practices when decommissioning.  The MA Report assumes an 80% recovery rate of air conditioning refrigerant gases. </w:t>
            </w:r>
          </w:p>
          <w:p w:rsidR="00F268D2" w:rsidRPr="00F268D2" w:rsidRDefault="00F268D2" w:rsidP="002F1BBE">
            <w:pPr>
              <w:pStyle w:val="BodyText0"/>
              <w:spacing w:before="60" w:after="60" w:afterAutospacing="0" w:line="240" w:lineRule="auto"/>
              <w:rPr>
                <w:rFonts w:ascii="Times New Roman" w:hAnsi="Times New Roman" w:cs="Times New Roman"/>
                <w:sz w:val="20"/>
                <w:szCs w:val="20"/>
              </w:rPr>
            </w:pPr>
            <w:r w:rsidRPr="00F268D2">
              <w:rPr>
                <w:rFonts w:ascii="Times New Roman" w:hAnsi="Times New Roman" w:cs="Times New Roman"/>
                <w:sz w:val="20"/>
                <w:szCs w:val="20"/>
              </w:rPr>
              <w:t xml:space="preserve">Consultation with </w:t>
            </w:r>
            <w:r w:rsidR="002F1BBE">
              <w:rPr>
                <w:rFonts w:ascii="Times New Roman" w:hAnsi="Times New Roman" w:cs="Times New Roman"/>
                <w:sz w:val="20"/>
                <w:szCs w:val="20"/>
              </w:rPr>
              <w:t xml:space="preserve">industry working group </w:t>
            </w:r>
            <w:r w:rsidRPr="00F268D2">
              <w:rPr>
                <w:rFonts w:ascii="Times New Roman" w:hAnsi="Times New Roman" w:cs="Times New Roman"/>
                <w:sz w:val="20"/>
                <w:szCs w:val="20"/>
              </w:rPr>
              <w:t xml:space="preserve">advised that the estimated refrigerant gas recovery rate when the technician is involved, are difficult to determine, hence it is proposed that a sensitivity analysis is undertaken to reflect this uncertainty. </w:t>
            </w:r>
          </w:p>
        </w:tc>
      </w:tr>
      <w:tr w:rsidR="00F268D2" w:rsidRPr="00F268D2" w:rsidTr="00BF08BF">
        <w:trPr>
          <w:cantSplit/>
          <w:trHeight w:val="790"/>
        </w:trPr>
        <w:tc>
          <w:tcPr>
            <w:tcW w:w="1843" w:type="dxa"/>
            <w:tcMar>
              <w:top w:w="0" w:type="dxa"/>
              <w:left w:w="108" w:type="dxa"/>
              <w:bottom w:w="0" w:type="dxa"/>
              <w:right w:w="108" w:type="dxa"/>
            </w:tcMar>
            <w:hideMark/>
          </w:tcPr>
          <w:p w:rsidR="00F268D2" w:rsidRPr="00F268D2" w:rsidRDefault="00F268D2" w:rsidP="00B75744">
            <w:pPr>
              <w:pStyle w:val="BodyText0"/>
              <w:spacing w:before="60" w:after="60" w:afterAutospacing="0" w:line="240" w:lineRule="auto"/>
              <w:rPr>
                <w:rFonts w:ascii="Times New Roman" w:hAnsi="Times New Roman" w:cs="Times New Roman"/>
                <w:sz w:val="20"/>
                <w:szCs w:val="20"/>
              </w:rPr>
            </w:pPr>
            <w:r w:rsidRPr="00F268D2">
              <w:rPr>
                <w:rFonts w:ascii="Times New Roman" w:hAnsi="Times New Roman" w:cs="Times New Roman"/>
                <w:sz w:val="20"/>
                <w:szCs w:val="20"/>
              </w:rPr>
              <w:t xml:space="preserve">Rebate </w:t>
            </w:r>
          </w:p>
        </w:tc>
        <w:tc>
          <w:tcPr>
            <w:tcW w:w="7088" w:type="dxa"/>
            <w:hideMark/>
          </w:tcPr>
          <w:p w:rsidR="00F268D2" w:rsidRPr="00F268D2" w:rsidRDefault="00F268D2" w:rsidP="00B75744">
            <w:pPr>
              <w:pStyle w:val="BodyText0"/>
              <w:spacing w:before="60" w:after="60" w:afterAutospacing="0" w:line="240" w:lineRule="auto"/>
              <w:rPr>
                <w:rFonts w:ascii="Times New Roman" w:hAnsi="Times New Roman" w:cs="Times New Roman"/>
                <w:sz w:val="20"/>
                <w:szCs w:val="20"/>
              </w:rPr>
            </w:pPr>
            <w:r w:rsidRPr="00F268D2">
              <w:rPr>
                <w:rFonts w:ascii="Times New Roman" w:hAnsi="Times New Roman" w:cs="Times New Roman"/>
                <w:sz w:val="20"/>
                <w:szCs w:val="20"/>
              </w:rPr>
              <w:t xml:space="preserve">A query was raised at the workshop in relation to the impact </w:t>
            </w:r>
            <w:r w:rsidR="000E62FA">
              <w:rPr>
                <w:rFonts w:ascii="Times New Roman" w:hAnsi="Times New Roman" w:cs="Times New Roman"/>
                <w:sz w:val="20"/>
                <w:szCs w:val="20"/>
              </w:rPr>
              <w:t>increasing</w:t>
            </w:r>
            <w:r w:rsidR="000E62FA" w:rsidRPr="00F268D2">
              <w:rPr>
                <w:rFonts w:ascii="Times New Roman" w:hAnsi="Times New Roman" w:cs="Times New Roman"/>
                <w:sz w:val="20"/>
                <w:szCs w:val="20"/>
              </w:rPr>
              <w:t xml:space="preserve"> </w:t>
            </w:r>
            <w:r w:rsidRPr="00F268D2">
              <w:rPr>
                <w:rFonts w:ascii="Times New Roman" w:hAnsi="Times New Roman" w:cs="Times New Roman"/>
                <w:sz w:val="20"/>
                <w:szCs w:val="20"/>
              </w:rPr>
              <w:t>the refrigera</w:t>
            </w:r>
            <w:r w:rsidR="000E62FA">
              <w:rPr>
                <w:rFonts w:ascii="Times New Roman" w:hAnsi="Times New Roman" w:cs="Times New Roman"/>
                <w:sz w:val="20"/>
                <w:szCs w:val="20"/>
              </w:rPr>
              <w:t>n</w:t>
            </w:r>
            <w:r w:rsidRPr="00F268D2">
              <w:rPr>
                <w:rFonts w:ascii="Times New Roman" w:hAnsi="Times New Roman" w:cs="Times New Roman"/>
                <w:sz w:val="20"/>
                <w:szCs w:val="20"/>
              </w:rPr>
              <w:t xml:space="preserve">t gas recovery rebate may have on EOL recovery rates of refrigerant gases. </w:t>
            </w:r>
          </w:p>
          <w:p w:rsidR="000E62FA" w:rsidRDefault="000E62FA" w:rsidP="000E62FA">
            <w:pPr>
              <w:pStyle w:val="BodyText0"/>
              <w:spacing w:before="60" w:after="60" w:afterAutospacing="0" w:line="240" w:lineRule="auto"/>
              <w:rPr>
                <w:rFonts w:ascii="Times New Roman" w:hAnsi="Times New Roman" w:cs="Times New Roman"/>
                <w:sz w:val="20"/>
                <w:szCs w:val="20"/>
                <w:lang w:val="en-AU"/>
              </w:rPr>
            </w:pPr>
            <w:r w:rsidRPr="00F268D2">
              <w:rPr>
                <w:rFonts w:ascii="Times New Roman" w:hAnsi="Times New Roman" w:cs="Times New Roman"/>
                <w:sz w:val="20"/>
                <w:szCs w:val="20"/>
              </w:rPr>
              <w:t xml:space="preserve">The effect of changing the rebate may </w:t>
            </w:r>
            <w:r>
              <w:rPr>
                <w:rFonts w:ascii="Times New Roman" w:hAnsi="Times New Roman" w:cs="Times New Roman"/>
                <w:sz w:val="20"/>
                <w:szCs w:val="20"/>
              </w:rPr>
              <w:t xml:space="preserve">increase the recovery and destruction of gases. However, it is unlikely that the rebate will </w:t>
            </w:r>
            <w:r w:rsidRPr="00F268D2">
              <w:rPr>
                <w:rFonts w:ascii="Times New Roman" w:hAnsi="Times New Roman" w:cs="Times New Roman"/>
                <w:sz w:val="20"/>
                <w:szCs w:val="20"/>
              </w:rPr>
              <w:t xml:space="preserve">impact </w:t>
            </w:r>
            <w:r>
              <w:rPr>
                <w:rFonts w:ascii="Times New Roman" w:hAnsi="Times New Roman" w:cs="Times New Roman"/>
                <w:sz w:val="20"/>
                <w:szCs w:val="20"/>
              </w:rPr>
              <w:t xml:space="preserve">volume of refrigerant that is recovered for </w:t>
            </w:r>
            <w:r w:rsidRPr="00F268D2">
              <w:rPr>
                <w:rFonts w:ascii="Times New Roman" w:hAnsi="Times New Roman" w:cs="Times New Roman"/>
                <w:sz w:val="20"/>
                <w:szCs w:val="20"/>
              </w:rPr>
              <w:t xml:space="preserve">reuse </w:t>
            </w:r>
            <w:r>
              <w:rPr>
                <w:rFonts w:ascii="Times New Roman" w:hAnsi="Times New Roman" w:cs="Times New Roman"/>
                <w:sz w:val="20"/>
                <w:szCs w:val="20"/>
              </w:rPr>
              <w:t>by technicians</w:t>
            </w:r>
            <w:r w:rsidRPr="00F268D2">
              <w:rPr>
                <w:rFonts w:ascii="Times New Roman" w:hAnsi="Times New Roman" w:cs="Times New Roman"/>
                <w:sz w:val="20"/>
                <w:szCs w:val="20"/>
                <w:lang w:val="en-AU"/>
              </w:rPr>
              <w:t xml:space="preserve">. </w:t>
            </w:r>
          </w:p>
          <w:p w:rsidR="00F268D2" w:rsidRPr="00F268D2" w:rsidRDefault="000E62FA" w:rsidP="00953A19">
            <w:pPr>
              <w:pStyle w:val="BodyText0"/>
              <w:spacing w:before="60" w:after="60" w:afterAutospacing="0" w:line="240" w:lineRule="auto"/>
              <w:rPr>
                <w:rFonts w:ascii="Times New Roman" w:hAnsi="Times New Roman" w:cs="Times New Roman"/>
                <w:sz w:val="20"/>
                <w:szCs w:val="20"/>
              </w:rPr>
            </w:pPr>
            <w:r>
              <w:rPr>
                <w:rFonts w:ascii="Times New Roman" w:hAnsi="Times New Roman" w:cs="Times New Roman"/>
                <w:sz w:val="20"/>
                <w:szCs w:val="20"/>
                <w:lang w:val="en-AU"/>
              </w:rPr>
              <w:t xml:space="preserve">For the purpose of the CBA, </w:t>
            </w:r>
            <w:r w:rsidR="00953A19">
              <w:rPr>
                <w:rFonts w:ascii="Times New Roman" w:hAnsi="Times New Roman" w:cs="Times New Roman"/>
                <w:sz w:val="20"/>
                <w:szCs w:val="20"/>
                <w:lang w:val="en-AU"/>
              </w:rPr>
              <w:t>the</w:t>
            </w:r>
            <w:r>
              <w:rPr>
                <w:rFonts w:ascii="Times New Roman" w:hAnsi="Times New Roman" w:cs="Times New Roman"/>
                <w:sz w:val="20"/>
                <w:szCs w:val="20"/>
                <w:lang w:val="en-AU"/>
              </w:rPr>
              <w:t xml:space="preserve"> RRA funded rebate </w:t>
            </w:r>
            <w:r w:rsidR="00953A19">
              <w:rPr>
                <w:rFonts w:ascii="Times New Roman" w:hAnsi="Times New Roman" w:cs="Times New Roman"/>
                <w:sz w:val="20"/>
                <w:szCs w:val="20"/>
                <w:lang w:val="en-AU"/>
              </w:rPr>
              <w:t>is treated as a transfer payment between government and industry and is not included in the analysis</w:t>
            </w:r>
            <w:r>
              <w:rPr>
                <w:rFonts w:ascii="Times New Roman" w:hAnsi="Times New Roman" w:cs="Times New Roman"/>
                <w:sz w:val="20"/>
                <w:szCs w:val="20"/>
                <w:lang w:val="en-AU"/>
              </w:rPr>
              <w:t>.</w:t>
            </w:r>
          </w:p>
        </w:tc>
      </w:tr>
      <w:tr w:rsidR="00F268D2" w:rsidRPr="00F268D2" w:rsidTr="00BF08BF">
        <w:trPr>
          <w:cantSplit/>
          <w:trHeight w:val="1094"/>
        </w:trPr>
        <w:tc>
          <w:tcPr>
            <w:tcW w:w="1843" w:type="dxa"/>
            <w:tcMar>
              <w:top w:w="0" w:type="dxa"/>
              <w:left w:w="108" w:type="dxa"/>
              <w:bottom w:w="0" w:type="dxa"/>
              <w:right w:w="108" w:type="dxa"/>
            </w:tcMar>
            <w:hideMark/>
          </w:tcPr>
          <w:p w:rsidR="00F268D2" w:rsidRPr="00F268D2" w:rsidRDefault="00F268D2" w:rsidP="00B75744">
            <w:pPr>
              <w:pStyle w:val="BodyText0"/>
              <w:spacing w:before="60" w:after="60" w:afterAutospacing="0" w:line="240" w:lineRule="auto"/>
              <w:rPr>
                <w:rFonts w:ascii="Times New Roman" w:hAnsi="Times New Roman" w:cs="Times New Roman"/>
                <w:sz w:val="20"/>
                <w:szCs w:val="20"/>
              </w:rPr>
            </w:pPr>
            <w:r w:rsidRPr="00F268D2">
              <w:rPr>
                <w:rFonts w:ascii="Times New Roman" w:hAnsi="Times New Roman" w:cs="Times New Roman"/>
                <w:sz w:val="20"/>
                <w:szCs w:val="20"/>
              </w:rPr>
              <w:lastRenderedPageBreak/>
              <w:t xml:space="preserve">Carbon price </w:t>
            </w:r>
          </w:p>
        </w:tc>
        <w:tc>
          <w:tcPr>
            <w:tcW w:w="7088" w:type="dxa"/>
            <w:hideMark/>
          </w:tcPr>
          <w:p w:rsidR="000E62FA" w:rsidRPr="00F268D2" w:rsidRDefault="000E62FA" w:rsidP="000E62FA">
            <w:pPr>
              <w:pStyle w:val="BodyText0"/>
              <w:spacing w:before="60" w:after="60" w:afterAutospacing="0" w:line="240" w:lineRule="auto"/>
              <w:rPr>
                <w:rFonts w:ascii="Times New Roman" w:hAnsi="Times New Roman" w:cs="Times New Roman"/>
                <w:sz w:val="20"/>
                <w:szCs w:val="20"/>
              </w:rPr>
            </w:pPr>
            <w:r w:rsidRPr="00F268D2">
              <w:rPr>
                <w:rFonts w:ascii="Times New Roman" w:hAnsi="Times New Roman" w:cs="Times New Roman"/>
                <w:sz w:val="20"/>
                <w:szCs w:val="20"/>
              </w:rPr>
              <w:t xml:space="preserve">The carbon price is treated consistently across all the options, including the base case.  </w:t>
            </w:r>
            <w:r w:rsidR="00A8486A">
              <w:rPr>
                <w:rFonts w:ascii="Times New Roman" w:hAnsi="Times New Roman" w:cs="Times New Roman"/>
                <w:sz w:val="20"/>
                <w:szCs w:val="20"/>
              </w:rPr>
              <w:t>T</w:t>
            </w:r>
            <w:r w:rsidRPr="00F268D2">
              <w:rPr>
                <w:rFonts w:ascii="Times New Roman" w:hAnsi="Times New Roman" w:cs="Times New Roman"/>
                <w:sz w:val="20"/>
                <w:szCs w:val="20"/>
              </w:rPr>
              <w:t>he</w:t>
            </w:r>
            <w:r>
              <w:rPr>
                <w:rFonts w:ascii="Times New Roman" w:hAnsi="Times New Roman" w:cs="Times New Roman"/>
                <w:sz w:val="20"/>
                <w:szCs w:val="20"/>
              </w:rPr>
              <w:t xml:space="preserve"> Australian Government repeal</w:t>
            </w:r>
            <w:r w:rsidR="00A8486A">
              <w:rPr>
                <w:rFonts w:ascii="Times New Roman" w:hAnsi="Times New Roman" w:cs="Times New Roman"/>
                <w:sz w:val="20"/>
                <w:szCs w:val="20"/>
              </w:rPr>
              <w:t>ed</w:t>
            </w:r>
            <w:r>
              <w:rPr>
                <w:rFonts w:ascii="Times New Roman" w:hAnsi="Times New Roman" w:cs="Times New Roman"/>
                <w:sz w:val="20"/>
                <w:szCs w:val="20"/>
              </w:rPr>
              <w:t xml:space="preserve"> the</w:t>
            </w:r>
            <w:r w:rsidRPr="00F268D2">
              <w:rPr>
                <w:rFonts w:ascii="Times New Roman" w:hAnsi="Times New Roman" w:cs="Times New Roman"/>
                <w:sz w:val="20"/>
                <w:szCs w:val="20"/>
              </w:rPr>
              <w:t xml:space="preserve"> carbon price</w:t>
            </w:r>
            <w:r w:rsidR="00A8486A">
              <w:rPr>
                <w:rFonts w:ascii="Times New Roman" w:hAnsi="Times New Roman" w:cs="Times New Roman"/>
                <w:sz w:val="20"/>
                <w:szCs w:val="20"/>
              </w:rPr>
              <w:t xml:space="preserve"> with effect 1 July 2014</w:t>
            </w:r>
            <w:r>
              <w:rPr>
                <w:rFonts w:ascii="Times New Roman" w:hAnsi="Times New Roman" w:cs="Times New Roman"/>
                <w:sz w:val="20"/>
                <w:szCs w:val="20"/>
              </w:rPr>
              <w:t xml:space="preserve"> and</w:t>
            </w:r>
            <w:r w:rsidRPr="00F268D2">
              <w:rPr>
                <w:rFonts w:ascii="Times New Roman" w:hAnsi="Times New Roman" w:cs="Times New Roman"/>
                <w:sz w:val="20"/>
                <w:szCs w:val="20"/>
              </w:rPr>
              <w:t xml:space="preserve"> the impact of </w:t>
            </w:r>
            <w:r w:rsidR="00A8486A">
              <w:rPr>
                <w:rFonts w:ascii="Times New Roman" w:hAnsi="Times New Roman" w:cs="Times New Roman"/>
                <w:sz w:val="20"/>
                <w:szCs w:val="20"/>
              </w:rPr>
              <w:t>the repeal</w:t>
            </w:r>
            <w:r w:rsidR="00A8486A" w:rsidRPr="00F268D2">
              <w:rPr>
                <w:rFonts w:ascii="Times New Roman" w:hAnsi="Times New Roman" w:cs="Times New Roman"/>
                <w:sz w:val="20"/>
                <w:szCs w:val="20"/>
              </w:rPr>
              <w:t xml:space="preserve"> </w:t>
            </w:r>
            <w:r w:rsidRPr="00F268D2">
              <w:rPr>
                <w:rFonts w:ascii="Times New Roman" w:hAnsi="Times New Roman" w:cs="Times New Roman"/>
                <w:sz w:val="20"/>
                <w:szCs w:val="20"/>
              </w:rPr>
              <w:t xml:space="preserve">is expected to be consistent across options. </w:t>
            </w:r>
          </w:p>
          <w:p w:rsidR="000E62FA" w:rsidRPr="00F268D2" w:rsidRDefault="000E62FA" w:rsidP="000E62FA">
            <w:pPr>
              <w:pStyle w:val="BodyText0"/>
              <w:spacing w:before="60" w:after="60" w:afterAutospacing="0" w:line="240" w:lineRule="auto"/>
              <w:rPr>
                <w:rFonts w:ascii="Times New Roman" w:hAnsi="Times New Roman" w:cs="Times New Roman"/>
                <w:sz w:val="20"/>
                <w:szCs w:val="20"/>
              </w:rPr>
            </w:pPr>
            <w:r w:rsidRPr="00F268D2">
              <w:rPr>
                <w:rFonts w:ascii="Times New Roman" w:hAnsi="Times New Roman" w:cs="Times New Roman"/>
                <w:sz w:val="20"/>
                <w:szCs w:val="20"/>
              </w:rPr>
              <w:t xml:space="preserve">The repeal of the carbon price </w:t>
            </w:r>
            <w:r>
              <w:rPr>
                <w:rFonts w:ascii="Times New Roman" w:hAnsi="Times New Roman" w:cs="Times New Roman"/>
                <w:sz w:val="20"/>
                <w:szCs w:val="20"/>
              </w:rPr>
              <w:t>is expected to reduce the cost of new refrigerants which may</w:t>
            </w:r>
            <w:r w:rsidRPr="00F268D2">
              <w:rPr>
                <w:rFonts w:ascii="Times New Roman" w:hAnsi="Times New Roman" w:cs="Times New Roman"/>
                <w:sz w:val="20"/>
                <w:szCs w:val="20"/>
              </w:rPr>
              <w:t xml:space="preserve"> </w:t>
            </w:r>
            <w:r>
              <w:rPr>
                <w:rFonts w:ascii="Times New Roman" w:hAnsi="Times New Roman" w:cs="Times New Roman"/>
                <w:sz w:val="20"/>
                <w:szCs w:val="20"/>
              </w:rPr>
              <w:t xml:space="preserve">cause </w:t>
            </w:r>
            <w:r w:rsidRPr="00F268D2">
              <w:rPr>
                <w:rFonts w:ascii="Times New Roman" w:hAnsi="Times New Roman" w:cs="Times New Roman"/>
                <w:sz w:val="20"/>
                <w:szCs w:val="20"/>
              </w:rPr>
              <w:t xml:space="preserve">a decline in the demand for “second hand” refrigerant gases. Subsequently, the relative proportion of refrigerant gases that are destroyed will increase and the portion of refrigerant gases reused will reduce. As such this will have nil impact on the relative proportion of gas recovered between options. </w:t>
            </w:r>
          </w:p>
          <w:p w:rsidR="00F268D2" w:rsidRPr="00F268D2" w:rsidRDefault="000E62FA" w:rsidP="00A8486A">
            <w:pPr>
              <w:pStyle w:val="BodyText0"/>
              <w:spacing w:before="60" w:after="60" w:afterAutospacing="0" w:line="240" w:lineRule="auto"/>
              <w:rPr>
                <w:rFonts w:ascii="Times New Roman" w:hAnsi="Times New Roman" w:cs="Times New Roman"/>
                <w:i/>
                <w:iCs/>
                <w:sz w:val="20"/>
                <w:szCs w:val="20"/>
              </w:rPr>
            </w:pPr>
            <w:r w:rsidRPr="00F268D2">
              <w:rPr>
                <w:rFonts w:ascii="Times New Roman" w:hAnsi="Times New Roman" w:cs="Times New Roman"/>
                <w:sz w:val="20"/>
                <w:szCs w:val="20"/>
              </w:rPr>
              <w:t xml:space="preserve">The effect of this could be a reduction in the reuse and recovery of refrigerant </w:t>
            </w:r>
            <w:proofErr w:type="gramStart"/>
            <w:r w:rsidRPr="00F268D2">
              <w:rPr>
                <w:rFonts w:ascii="Times New Roman" w:hAnsi="Times New Roman" w:cs="Times New Roman"/>
                <w:sz w:val="20"/>
                <w:szCs w:val="20"/>
              </w:rPr>
              <w:t>gases,</w:t>
            </w:r>
            <w:proofErr w:type="gramEnd"/>
            <w:r w:rsidRPr="00F268D2">
              <w:rPr>
                <w:rFonts w:ascii="Times New Roman" w:hAnsi="Times New Roman" w:cs="Times New Roman"/>
                <w:sz w:val="20"/>
                <w:szCs w:val="20"/>
              </w:rPr>
              <w:t xml:space="preserve"> however overall, this would have no net impact on the incremental costs or benefits of the options.  For the purpose of the analysis the CBA assumes the carbon price </w:t>
            </w:r>
            <w:r>
              <w:rPr>
                <w:rFonts w:ascii="Times New Roman" w:hAnsi="Times New Roman" w:cs="Times New Roman"/>
                <w:sz w:val="20"/>
                <w:szCs w:val="20"/>
              </w:rPr>
              <w:t xml:space="preserve">does not </w:t>
            </w:r>
            <w:r w:rsidRPr="00F268D2">
              <w:rPr>
                <w:rFonts w:ascii="Times New Roman" w:hAnsi="Times New Roman" w:cs="Times New Roman"/>
                <w:sz w:val="20"/>
                <w:szCs w:val="20"/>
              </w:rPr>
              <w:t>appl</w:t>
            </w:r>
            <w:r>
              <w:rPr>
                <w:rFonts w:ascii="Times New Roman" w:hAnsi="Times New Roman" w:cs="Times New Roman"/>
                <w:sz w:val="20"/>
                <w:szCs w:val="20"/>
              </w:rPr>
              <w:t>y</w:t>
            </w:r>
            <w:r w:rsidRPr="00F268D2">
              <w:rPr>
                <w:rFonts w:ascii="Times New Roman" w:hAnsi="Times New Roman" w:cs="Times New Roman"/>
                <w:sz w:val="20"/>
                <w:szCs w:val="20"/>
              </w:rPr>
              <w:t xml:space="preserve"> as the current status quo. </w:t>
            </w:r>
          </w:p>
        </w:tc>
      </w:tr>
      <w:tr w:rsidR="00F268D2" w:rsidRPr="00F268D2" w:rsidTr="00BF08BF">
        <w:trPr>
          <w:cantSplit/>
          <w:trHeight w:val="1253"/>
        </w:trPr>
        <w:tc>
          <w:tcPr>
            <w:tcW w:w="1843" w:type="dxa"/>
            <w:tcMar>
              <w:top w:w="0" w:type="dxa"/>
              <w:left w:w="108" w:type="dxa"/>
              <w:bottom w:w="0" w:type="dxa"/>
              <w:right w:w="108" w:type="dxa"/>
            </w:tcMar>
            <w:hideMark/>
          </w:tcPr>
          <w:p w:rsidR="00F268D2" w:rsidRPr="00F268D2" w:rsidRDefault="00F268D2" w:rsidP="00B75744">
            <w:pPr>
              <w:pStyle w:val="BodyText0"/>
              <w:spacing w:before="60" w:after="60" w:afterAutospacing="0" w:line="240" w:lineRule="auto"/>
              <w:rPr>
                <w:rFonts w:ascii="Times New Roman" w:hAnsi="Times New Roman" w:cs="Times New Roman"/>
                <w:sz w:val="20"/>
                <w:szCs w:val="20"/>
              </w:rPr>
            </w:pPr>
            <w:r w:rsidRPr="00F268D2">
              <w:rPr>
                <w:rFonts w:ascii="Times New Roman" w:hAnsi="Times New Roman" w:cs="Times New Roman"/>
                <w:sz w:val="20"/>
                <w:szCs w:val="20"/>
              </w:rPr>
              <w:t>Affected by global refrigerant prices</w:t>
            </w:r>
          </w:p>
        </w:tc>
        <w:tc>
          <w:tcPr>
            <w:tcW w:w="7088" w:type="dxa"/>
            <w:hideMark/>
          </w:tcPr>
          <w:p w:rsidR="00F268D2" w:rsidRPr="00F268D2" w:rsidRDefault="00F268D2" w:rsidP="00B75744">
            <w:pPr>
              <w:pStyle w:val="BodyText0"/>
              <w:spacing w:before="60" w:after="60" w:afterAutospacing="0" w:line="240" w:lineRule="auto"/>
              <w:rPr>
                <w:rFonts w:ascii="Times New Roman" w:hAnsi="Times New Roman" w:cs="Times New Roman"/>
                <w:sz w:val="20"/>
                <w:szCs w:val="20"/>
              </w:rPr>
            </w:pPr>
            <w:r w:rsidRPr="00F268D2">
              <w:rPr>
                <w:rFonts w:ascii="Times New Roman" w:hAnsi="Times New Roman" w:cs="Times New Roman"/>
                <w:sz w:val="20"/>
                <w:szCs w:val="20"/>
              </w:rPr>
              <w:t xml:space="preserve">The following assumption taken from the RAC EOL report (KPMG, 2014) will need to be adjusted: </w:t>
            </w:r>
          </w:p>
          <w:p w:rsidR="00F268D2" w:rsidRPr="00F268D2" w:rsidRDefault="00F268D2" w:rsidP="00B75744">
            <w:pPr>
              <w:pStyle w:val="BodyText0"/>
              <w:spacing w:before="60" w:after="60" w:afterAutospacing="0" w:line="240" w:lineRule="auto"/>
              <w:rPr>
                <w:rFonts w:ascii="Times New Roman" w:hAnsi="Times New Roman" w:cs="Times New Roman"/>
                <w:i/>
                <w:sz w:val="20"/>
                <w:szCs w:val="20"/>
              </w:rPr>
            </w:pPr>
            <w:r w:rsidRPr="00F268D2">
              <w:rPr>
                <w:rFonts w:ascii="Times New Roman" w:hAnsi="Times New Roman" w:cs="Times New Roman"/>
                <w:i/>
                <w:sz w:val="20"/>
                <w:szCs w:val="20"/>
              </w:rPr>
              <w:t>“Based on estimated refrigerant recovery rates per unit at end-of-life (40% for refrigerators and freezers and 80% for split air conditioners), refer to report section 2.1, Table 1: Estimated refrigerant recovery rates for RAC equipment”</w:t>
            </w:r>
          </w:p>
          <w:p w:rsidR="00F268D2" w:rsidRPr="00F268D2" w:rsidRDefault="00F268D2" w:rsidP="00B75744">
            <w:pPr>
              <w:pStyle w:val="BodyText0"/>
              <w:spacing w:before="60" w:after="60" w:afterAutospacing="0" w:line="240" w:lineRule="auto"/>
              <w:rPr>
                <w:rFonts w:ascii="Times New Roman" w:hAnsi="Times New Roman" w:cs="Times New Roman"/>
                <w:i/>
                <w:iCs/>
                <w:sz w:val="20"/>
                <w:szCs w:val="20"/>
              </w:rPr>
            </w:pPr>
            <w:r w:rsidRPr="00F268D2">
              <w:rPr>
                <w:rFonts w:ascii="Times New Roman" w:hAnsi="Times New Roman" w:cs="Times New Roman"/>
                <w:sz w:val="20"/>
                <w:szCs w:val="20"/>
              </w:rPr>
              <w:t xml:space="preserve">Workshop advised there is no significant impact.  Therefore no change to the base case in the RAC EOL </w:t>
            </w:r>
          </w:p>
        </w:tc>
      </w:tr>
      <w:tr w:rsidR="00F268D2" w:rsidRPr="00F268D2" w:rsidTr="00BF08BF">
        <w:trPr>
          <w:cantSplit/>
          <w:trHeight w:val="674"/>
        </w:trPr>
        <w:tc>
          <w:tcPr>
            <w:tcW w:w="1843" w:type="dxa"/>
            <w:tcMar>
              <w:top w:w="0" w:type="dxa"/>
              <w:left w:w="108" w:type="dxa"/>
              <w:bottom w:w="0" w:type="dxa"/>
              <w:right w:w="108" w:type="dxa"/>
            </w:tcMar>
            <w:hideMark/>
          </w:tcPr>
          <w:p w:rsidR="00F268D2" w:rsidRPr="00F268D2" w:rsidRDefault="00F268D2" w:rsidP="00B75744">
            <w:pPr>
              <w:pStyle w:val="BodyText0"/>
              <w:spacing w:before="60" w:after="60" w:afterAutospacing="0" w:line="240" w:lineRule="auto"/>
              <w:rPr>
                <w:rFonts w:ascii="Times New Roman" w:hAnsi="Times New Roman" w:cs="Times New Roman"/>
                <w:sz w:val="20"/>
                <w:szCs w:val="20"/>
              </w:rPr>
            </w:pPr>
            <w:r w:rsidRPr="00F268D2">
              <w:rPr>
                <w:rFonts w:ascii="Times New Roman" w:hAnsi="Times New Roman" w:cs="Times New Roman"/>
                <w:sz w:val="20"/>
                <w:szCs w:val="20"/>
              </w:rPr>
              <w:t xml:space="preserve">Leakage rates lower </w:t>
            </w:r>
          </w:p>
        </w:tc>
        <w:tc>
          <w:tcPr>
            <w:tcW w:w="7088" w:type="dxa"/>
            <w:hideMark/>
          </w:tcPr>
          <w:p w:rsidR="00F268D2" w:rsidRPr="00F268D2" w:rsidRDefault="00F268D2" w:rsidP="00B75744">
            <w:pPr>
              <w:pStyle w:val="BodyText0"/>
              <w:spacing w:before="60" w:after="60" w:afterAutospacing="0" w:line="240" w:lineRule="auto"/>
              <w:rPr>
                <w:rFonts w:ascii="Times New Roman" w:hAnsi="Times New Roman" w:cs="Times New Roman"/>
                <w:sz w:val="20"/>
                <w:szCs w:val="20"/>
              </w:rPr>
            </w:pPr>
            <w:r w:rsidRPr="00F268D2">
              <w:rPr>
                <w:rFonts w:ascii="Times New Roman" w:hAnsi="Times New Roman" w:cs="Times New Roman"/>
                <w:sz w:val="20"/>
                <w:szCs w:val="20"/>
              </w:rPr>
              <w:t xml:space="preserve">A proportion of the refrigerant charge in air conditioners maybe lost prior to decommissioning.  </w:t>
            </w:r>
          </w:p>
          <w:p w:rsidR="00F268D2" w:rsidRPr="00F268D2" w:rsidRDefault="00F268D2" w:rsidP="00B75744">
            <w:pPr>
              <w:pStyle w:val="BodyText0"/>
              <w:spacing w:before="60" w:after="60" w:afterAutospacing="0" w:line="240" w:lineRule="auto"/>
              <w:rPr>
                <w:rFonts w:ascii="Times New Roman" w:hAnsi="Times New Roman" w:cs="Times New Roman"/>
                <w:sz w:val="20"/>
                <w:szCs w:val="20"/>
              </w:rPr>
            </w:pPr>
            <w:r w:rsidRPr="00F268D2">
              <w:rPr>
                <w:rFonts w:ascii="Times New Roman" w:hAnsi="Times New Roman" w:cs="Times New Roman"/>
                <w:sz w:val="20"/>
                <w:szCs w:val="20"/>
              </w:rPr>
              <w:t xml:space="preserve">The RAC EOL report (KPMG, 2014) takes into account initial charge and leakage rates by assuming the quantity of refrigerant that remains at end of life as outlined in Appendix C.  </w:t>
            </w:r>
          </w:p>
          <w:p w:rsidR="00F268D2" w:rsidRPr="00F268D2" w:rsidRDefault="00F268D2" w:rsidP="00B75744">
            <w:pPr>
              <w:pStyle w:val="BodyText0"/>
              <w:spacing w:before="60" w:after="60" w:afterAutospacing="0" w:line="240" w:lineRule="auto"/>
              <w:rPr>
                <w:rFonts w:ascii="Times New Roman" w:hAnsi="Times New Roman" w:cs="Times New Roman"/>
                <w:sz w:val="20"/>
                <w:szCs w:val="20"/>
              </w:rPr>
            </w:pPr>
            <w:r w:rsidRPr="00F268D2">
              <w:rPr>
                <w:rFonts w:ascii="Times New Roman" w:hAnsi="Times New Roman" w:cs="Times New Roman"/>
                <w:sz w:val="20"/>
                <w:szCs w:val="20"/>
              </w:rPr>
              <w:t xml:space="preserve">Therefore no change to the base case in the RAC EOL. </w:t>
            </w:r>
          </w:p>
        </w:tc>
      </w:tr>
      <w:tr w:rsidR="00F268D2" w:rsidRPr="00F268D2" w:rsidTr="00BF08BF">
        <w:trPr>
          <w:cantSplit/>
          <w:trHeight w:val="283"/>
        </w:trPr>
        <w:tc>
          <w:tcPr>
            <w:tcW w:w="8931" w:type="dxa"/>
            <w:gridSpan w:val="2"/>
            <w:shd w:val="clear" w:color="auto" w:fill="DAEEF3" w:themeFill="accent5" w:themeFillTint="33"/>
            <w:tcMar>
              <w:top w:w="0" w:type="dxa"/>
              <w:left w:w="108" w:type="dxa"/>
              <w:bottom w:w="0" w:type="dxa"/>
              <w:right w:w="108" w:type="dxa"/>
            </w:tcMar>
          </w:tcPr>
          <w:p w:rsidR="00F268D2" w:rsidRPr="00F268D2" w:rsidRDefault="00F268D2" w:rsidP="00B75744">
            <w:pPr>
              <w:pStyle w:val="BodyText0"/>
              <w:spacing w:before="60" w:after="60" w:afterAutospacing="0" w:line="240" w:lineRule="auto"/>
              <w:rPr>
                <w:rFonts w:ascii="Times New Roman" w:hAnsi="Times New Roman" w:cs="Times New Roman"/>
                <w:b/>
                <w:sz w:val="20"/>
                <w:szCs w:val="20"/>
              </w:rPr>
            </w:pPr>
            <w:r w:rsidRPr="00F268D2">
              <w:rPr>
                <w:rFonts w:ascii="Times New Roman" w:hAnsi="Times New Roman" w:cs="Times New Roman"/>
                <w:b/>
                <w:sz w:val="20"/>
                <w:szCs w:val="20"/>
              </w:rPr>
              <w:t>Insulating foam</w:t>
            </w:r>
          </w:p>
        </w:tc>
      </w:tr>
      <w:tr w:rsidR="00F268D2" w:rsidRPr="00F268D2" w:rsidTr="00BF08BF">
        <w:trPr>
          <w:cantSplit/>
          <w:trHeight w:val="996"/>
        </w:trPr>
        <w:tc>
          <w:tcPr>
            <w:tcW w:w="1843" w:type="dxa"/>
            <w:tcMar>
              <w:top w:w="0" w:type="dxa"/>
              <w:left w:w="108" w:type="dxa"/>
              <w:bottom w:w="0" w:type="dxa"/>
              <w:right w:w="108" w:type="dxa"/>
            </w:tcMar>
          </w:tcPr>
          <w:p w:rsidR="00F268D2" w:rsidRPr="00F268D2" w:rsidRDefault="00F268D2" w:rsidP="00B75744">
            <w:pPr>
              <w:pStyle w:val="BodyText0"/>
              <w:spacing w:before="60" w:after="60" w:afterAutospacing="0" w:line="240" w:lineRule="auto"/>
              <w:rPr>
                <w:rFonts w:ascii="Times New Roman" w:hAnsi="Times New Roman" w:cs="Times New Roman"/>
                <w:sz w:val="20"/>
                <w:szCs w:val="20"/>
              </w:rPr>
            </w:pPr>
            <w:r w:rsidRPr="00F268D2">
              <w:rPr>
                <w:rFonts w:ascii="Times New Roman" w:hAnsi="Times New Roman" w:cs="Times New Roman"/>
                <w:sz w:val="20"/>
                <w:szCs w:val="20"/>
              </w:rPr>
              <w:t xml:space="preserve">Quantities of foam </w:t>
            </w:r>
          </w:p>
        </w:tc>
        <w:tc>
          <w:tcPr>
            <w:tcW w:w="7088" w:type="dxa"/>
          </w:tcPr>
          <w:p w:rsidR="00F268D2" w:rsidRPr="00F268D2" w:rsidRDefault="00F268D2" w:rsidP="00B75744">
            <w:pPr>
              <w:pStyle w:val="BodyText0"/>
              <w:spacing w:before="60" w:after="60" w:afterAutospacing="0" w:line="240" w:lineRule="auto"/>
              <w:rPr>
                <w:rFonts w:ascii="Times New Roman" w:hAnsi="Times New Roman" w:cs="Times New Roman"/>
                <w:sz w:val="20"/>
                <w:szCs w:val="20"/>
              </w:rPr>
            </w:pPr>
            <w:r w:rsidRPr="00F268D2">
              <w:rPr>
                <w:rFonts w:ascii="Times New Roman" w:hAnsi="Times New Roman" w:cs="Times New Roman"/>
                <w:sz w:val="20"/>
                <w:szCs w:val="20"/>
              </w:rPr>
              <w:t xml:space="preserve">Foam blowing agent may contain ODS, SGG or pentane.  Blowing agent is released when waste foam is shredded.  The 2005 MEPS has resulted in an increase in the thickness of the insulating foam: </w:t>
            </w:r>
          </w:p>
          <w:p w:rsidR="00F268D2" w:rsidRPr="00F268D2" w:rsidRDefault="00F268D2" w:rsidP="00B75744">
            <w:pPr>
              <w:pStyle w:val="BulletText"/>
              <w:spacing w:before="60" w:after="60" w:afterAutospacing="0" w:line="240" w:lineRule="auto"/>
              <w:rPr>
                <w:rFonts w:cs="Times New Roman"/>
                <w:sz w:val="20"/>
                <w:szCs w:val="20"/>
              </w:rPr>
            </w:pPr>
            <w:r w:rsidRPr="00F268D2">
              <w:rPr>
                <w:rFonts w:cs="Times New Roman"/>
                <w:sz w:val="20"/>
                <w:szCs w:val="20"/>
              </w:rPr>
              <w:t xml:space="preserve">15 year old air conditioner is likely to have an energy efficiency rating of 2 </w:t>
            </w:r>
          </w:p>
          <w:p w:rsidR="00F268D2" w:rsidRPr="00F268D2" w:rsidRDefault="00F268D2" w:rsidP="00B75744">
            <w:pPr>
              <w:pStyle w:val="BulletText"/>
              <w:spacing w:before="60" w:after="60" w:afterAutospacing="0" w:line="240" w:lineRule="auto"/>
              <w:rPr>
                <w:rFonts w:cs="Times New Roman"/>
                <w:sz w:val="20"/>
                <w:szCs w:val="20"/>
              </w:rPr>
            </w:pPr>
            <w:r w:rsidRPr="00F268D2">
              <w:rPr>
                <w:rFonts w:cs="Times New Roman"/>
                <w:sz w:val="20"/>
                <w:szCs w:val="20"/>
              </w:rPr>
              <w:t xml:space="preserve">A new air conditioner is likely to have a rating of 7. </w:t>
            </w:r>
          </w:p>
          <w:p w:rsidR="00F268D2" w:rsidRPr="00F268D2" w:rsidRDefault="00F268D2" w:rsidP="00B75744">
            <w:pPr>
              <w:pStyle w:val="BodyText0"/>
              <w:spacing w:before="60" w:after="60" w:afterAutospacing="0" w:line="240" w:lineRule="auto"/>
              <w:rPr>
                <w:rFonts w:ascii="Times New Roman" w:hAnsi="Times New Roman" w:cs="Times New Roman"/>
                <w:sz w:val="20"/>
                <w:szCs w:val="20"/>
              </w:rPr>
            </w:pPr>
            <w:r w:rsidRPr="00F268D2">
              <w:rPr>
                <w:rFonts w:ascii="Times New Roman" w:hAnsi="Times New Roman" w:cs="Times New Roman"/>
                <w:sz w:val="20"/>
                <w:szCs w:val="20"/>
              </w:rPr>
              <w:t xml:space="preserve">A query was raised regarding the foam content in refrigerants and the following were suggested as being appropriate (KPMG, 2013): </w:t>
            </w:r>
          </w:p>
          <w:p w:rsidR="00F268D2" w:rsidRPr="00F268D2" w:rsidRDefault="00F268D2" w:rsidP="00BF08BF">
            <w:pPr>
              <w:pStyle w:val="BulletText"/>
              <w:spacing w:before="60" w:after="60" w:afterAutospacing="0" w:line="240" w:lineRule="auto"/>
              <w:rPr>
                <w:rFonts w:cs="Times New Roman"/>
                <w:sz w:val="20"/>
                <w:szCs w:val="20"/>
              </w:rPr>
            </w:pPr>
            <w:r w:rsidRPr="00F268D2">
              <w:rPr>
                <w:rFonts w:cs="Times New Roman"/>
                <w:sz w:val="20"/>
                <w:szCs w:val="20"/>
              </w:rPr>
              <w:t>Content of foam 5 % to 10% by volume</w:t>
            </w:r>
          </w:p>
          <w:p w:rsidR="00F268D2" w:rsidRPr="00F268D2" w:rsidRDefault="00F268D2" w:rsidP="00BF08BF">
            <w:pPr>
              <w:pStyle w:val="BulletText"/>
              <w:spacing w:before="60" w:after="60" w:afterAutospacing="0" w:line="240" w:lineRule="auto"/>
              <w:rPr>
                <w:rFonts w:cs="Times New Roman"/>
                <w:sz w:val="20"/>
                <w:szCs w:val="20"/>
              </w:rPr>
            </w:pPr>
            <w:r w:rsidRPr="00F268D2">
              <w:rPr>
                <w:rFonts w:cs="Times New Roman"/>
                <w:sz w:val="20"/>
                <w:szCs w:val="20"/>
              </w:rPr>
              <w:t xml:space="preserve">Type of foam blowing agent due to changes to pentane in the late 1992 – 1994. </w:t>
            </w:r>
          </w:p>
          <w:p w:rsidR="00F268D2" w:rsidRDefault="00F268D2" w:rsidP="00B75744">
            <w:pPr>
              <w:pStyle w:val="BodyText0"/>
              <w:spacing w:before="60" w:after="60" w:afterAutospacing="0" w:line="240" w:lineRule="auto"/>
              <w:rPr>
                <w:rFonts w:ascii="Times New Roman" w:hAnsi="Times New Roman" w:cs="Times New Roman"/>
                <w:sz w:val="20"/>
                <w:szCs w:val="20"/>
              </w:rPr>
            </w:pPr>
            <w:r w:rsidRPr="00F268D2">
              <w:rPr>
                <w:rFonts w:ascii="Times New Roman" w:hAnsi="Times New Roman" w:cs="Times New Roman"/>
                <w:sz w:val="20"/>
                <w:szCs w:val="20"/>
              </w:rPr>
              <w:t xml:space="preserve">The values applied in the RAC EOL materials report aligns with the values raised in the workshop. Therefore no change is required to the proposed base case.  </w:t>
            </w:r>
          </w:p>
          <w:p w:rsidR="00BF08BF" w:rsidRPr="00F268D2" w:rsidRDefault="00BF08BF" w:rsidP="00B75744">
            <w:pPr>
              <w:pStyle w:val="BodyText0"/>
              <w:spacing w:before="60" w:after="60" w:afterAutospacing="0" w:line="240" w:lineRule="auto"/>
              <w:rPr>
                <w:rFonts w:ascii="Times New Roman" w:hAnsi="Times New Roman" w:cs="Times New Roman"/>
                <w:sz w:val="20"/>
                <w:szCs w:val="20"/>
              </w:rPr>
            </w:pPr>
          </w:p>
        </w:tc>
      </w:tr>
      <w:tr w:rsidR="00F268D2" w:rsidRPr="00F268D2" w:rsidTr="00BF08BF">
        <w:trPr>
          <w:cantSplit/>
          <w:trHeight w:val="283"/>
        </w:trPr>
        <w:tc>
          <w:tcPr>
            <w:tcW w:w="8931" w:type="dxa"/>
            <w:gridSpan w:val="2"/>
            <w:shd w:val="clear" w:color="auto" w:fill="DAEEF3" w:themeFill="accent5" w:themeFillTint="33"/>
            <w:tcMar>
              <w:top w:w="0" w:type="dxa"/>
              <w:left w:w="108" w:type="dxa"/>
              <w:bottom w:w="0" w:type="dxa"/>
              <w:right w:w="108" w:type="dxa"/>
            </w:tcMar>
          </w:tcPr>
          <w:p w:rsidR="00F268D2" w:rsidRPr="00F268D2" w:rsidRDefault="00F268D2" w:rsidP="00B75744">
            <w:pPr>
              <w:pStyle w:val="BodyText0"/>
              <w:spacing w:before="60" w:after="60" w:afterAutospacing="0" w:line="240" w:lineRule="auto"/>
              <w:rPr>
                <w:rFonts w:ascii="Times New Roman" w:hAnsi="Times New Roman" w:cs="Times New Roman"/>
                <w:b/>
                <w:sz w:val="20"/>
                <w:szCs w:val="20"/>
              </w:rPr>
            </w:pPr>
            <w:r w:rsidRPr="00F268D2">
              <w:rPr>
                <w:rFonts w:ascii="Times New Roman" w:hAnsi="Times New Roman" w:cs="Times New Roman"/>
                <w:b/>
                <w:sz w:val="20"/>
                <w:szCs w:val="20"/>
              </w:rPr>
              <w:t>Hazardous Materials</w:t>
            </w:r>
          </w:p>
        </w:tc>
      </w:tr>
      <w:tr w:rsidR="00F268D2" w:rsidRPr="00F268D2" w:rsidTr="00BF08BF">
        <w:trPr>
          <w:cantSplit/>
          <w:trHeight w:val="1474"/>
        </w:trPr>
        <w:tc>
          <w:tcPr>
            <w:tcW w:w="1843" w:type="dxa"/>
            <w:tcMar>
              <w:top w:w="0" w:type="dxa"/>
              <w:left w:w="108" w:type="dxa"/>
              <w:bottom w:w="0" w:type="dxa"/>
              <w:right w:w="108" w:type="dxa"/>
            </w:tcMar>
          </w:tcPr>
          <w:p w:rsidR="00F268D2" w:rsidRPr="00F268D2" w:rsidRDefault="00F268D2" w:rsidP="00B75744">
            <w:pPr>
              <w:pStyle w:val="BodyText0"/>
              <w:spacing w:before="60" w:after="60" w:afterAutospacing="0" w:line="240" w:lineRule="auto"/>
              <w:rPr>
                <w:rFonts w:ascii="Times New Roman" w:hAnsi="Times New Roman" w:cs="Times New Roman"/>
                <w:sz w:val="20"/>
                <w:szCs w:val="20"/>
              </w:rPr>
            </w:pPr>
            <w:r w:rsidRPr="00F268D2">
              <w:rPr>
                <w:rFonts w:ascii="Times New Roman" w:hAnsi="Times New Roman" w:cs="Times New Roman"/>
                <w:sz w:val="20"/>
                <w:szCs w:val="20"/>
              </w:rPr>
              <w:t xml:space="preserve">Phase out of heavy metals </w:t>
            </w:r>
          </w:p>
        </w:tc>
        <w:tc>
          <w:tcPr>
            <w:tcW w:w="7088" w:type="dxa"/>
          </w:tcPr>
          <w:p w:rsidR="00F268D2" w:rsidRPr="00F268D2" w:rsidRDefault="00F268D2" w:rsidP="00B75744">
            <w:pPr>
              <w:pStyle w:val="BodyText0"/>
              <w:spacing w:before="60" w:after="60" w:afterAutospacing="0" w:line="240" w:lineRule="auto"/>
              <w:rPr>
                <w:rFonts w:ascii="Times New Roman" w:hAnsi="Times New Roman" w:cs="Times New Roman"/>
                <w:sz w:val="20"/>
                <w:szCs w:val="20"/>
              </w:rPr>
            </w:pPr>
            <w:r w:rsidRPr="00F268D2">
              <w:rPr>
                <w:rFonts w:ascii="Times New Roman" w:hAnsi="Times New Roman" w:cs="Times New Roman"/>
                <w:sz w:val="20"/>
                <w:szCs w:val="20"/>
              </w:rPr>
              <w:t xml:space="preserve">The European Union Directive is expected to influence the refrigerator and freezer waste stream in Australia.  </w:t>
            </w:r>
            <w:r w:rsidR="00B02D49">
              <w:rPr>
                <w:rFonts w:ascii="Times New Roman" w:hAnsi="Times New Roman" w:cs="Times New Roman"/>
                <w:sz w:val="20"/>
                <w:szCs w:val="20"/>
              </w:rPr>
              <w:t>A p</w:t>
            </w:r>
            <w:r w:rsidRPr="00F268D2">
              <w:rPr>
                <w:rFonts w:ascii="Times New Roman" w:hAnsi="Times New Roman" w:cs="Times New Roman"/>
                <w:sz w:val="20"/>
                <w:szCs w:val="20"/>
              </w:rPr>
              <w:t xml:space="preserve">hase out of heavy metals under the European Union </w:t>
            </w:r>
            <w:proofErr w:type="spellStart"/>
            <w:r w:rsidRPr="00F268D2">
              <w:rPr>
                <w:rFonts w:ascii="Times New Roman" w:hAnsi="Times New Roman" w:cs="Times New Roman"/>
                <w:sz w:val="20"/>
                <w:szCs w:val="20"/>
              </w:rPr>
              <w:t>RoHS</w:t>
            </w:r>
            <w:proofErr w:type="spellEnd"/>
            <w:r w:rsidRPr="00F268D2">
              <w:rPr>
                <w:rFonts w:ascii="Times New Roman" w:hAnsi="Times New Roman" w:cs="Times New Roman"/>
                <w:sz w:val="20"/>
                <w:szCs w:val="20"/>
              </w:rPr>
              <w:t xml:space="preserve"> Directive that took effect on 1 July 2006.  This will create a gradual decline of </w:t>
            </w:r>
            <w:r w:rsidR="00C66B91">
              <w:rPr>
                <w:rFonts w:ascii="Times New Roman" w:hAnsi="Times New Roman" w:cs="Times New Roman"/>
                <w:sz w:val="20"/>
                <w:szCs w:val="20"/>
              </w:rPr>
              <w:t>heavy metals</w:t>
            </w:r>
            <w:r w:rsidRPr="00F268D2">
              <w:rPr>
                <w:rFonts w:ascii="Times New Roman" w:hAnsi="Times New Roman" w:cs="Times New Roman"/>
                <w:sz w:val="20"/>
                <w:szCs w:val="20"/>
              </w:rPr>
              <w:t xml:space="preserve"> in the RAC waste stream by 2024.</w:t>
            </w:r>
          </w:p>
          <w:p w:rsidR="003F75B8" w:rsidRDefault="00F268D2">
            <w:pPr>
              <w:pStyle w:val="BodyText0"/>
              <w:spacing w:before="60" w:after="60" w:afterAutospacing="0" w:line="240" w:lineRule="auto"/>
              <w:rPr>
                <w:rFonts w:ascii="Times New Roman" w:hAnsi="Times New Roman" w:cs="Times New Roman"/>
                <w:sz w:val="20"/>
                <w:szCs w:val="20"/>
              </w:rPr>
            </w:pPr>
            <w:r w:rsidRPr="00F268D2">
              <w:rPr>
                <w:rFonts w:ascii="Times New Roman" w:hAnsi="Times New Roman" w:cs="Times New Roman"/>
                <w:sz w:val="20"/>
                <w:szCs w:val="20"/>
              </w:rPr>
              <w:t xml:space="preserve">Analysis assumes the </w:t>
            </w:r>
            <w:r w:rsidR="002577FE">
              <w:rPr>
                <w:rFonts w:ascii="Times New Roman" w:hAnsi="Times New Roman" w:cs="Times New Roman"/>
                <w:sz w:val="20"/>
                <w:szCs w:val="20"/>
              </w:rPr>
              <w:t>e</w:t>
            </w:r>
            <w:r w:rsidRPr="00F268D2">
              <w:rPr>
                <w:rFonts w:ascii="Times New Roman" w:hAnsi="Times New Roman" w:cs="Times New Roman"/>
                <w:sz w:val="20"/>
                <w:szCs w:val="20"/>
              </w:rPr>
              <w:t xml:space="preserve">ffect of the European Union </w:t>
            </w:r>
            <w:proofErr w:type="spellStart"/>
            <w:r w:rsidRPr="00F268D2">
              <w:rPr>
                <w:rFonts w:ascii="Times New Roman" w:hAnsi="Times New Roman" w:cs="Times New Roman"/>
                <w:sz w:val="20"/>
                <w:szCs w:val="20"/>
              </w:rPr>
              <w:t>RoHS</w:t>
            </w:r>
            <w:proofErr w:type="spellEnd"/>
            <w:r w:rsidRPr="00F268D2">
              <w:rPr>
                <w:rFonts w:ascii="Times New Roman" w:hAnsi="Times New Roman" w:cs="Times New Roman"/>
                <w:sz w:val="20"/>
                <w:szCs w:val="20"/>
              </w:rPr>
              <w:t xml:space="preserve"> Directive </w:t>
            </w:r>
            <w:r w:rsidR="00B02D49">
              <w:rPr>
                <w:rFonts w:ascii="Times New Roman" w:hAnsi="Times New Roman" w:cs="Times New Roman"/>
                <w:sz w:val="20"/>
                <w:szCs w:val="20"/>
              </w:rPr>
              <w:t>will be a</w:t>
            </w:r>
            <w:r w:rsidR="00B02D49" w:rsidRPr="00F268D2">
              <w:rPr>
                <w:rFonts w:ascii="Times New Roman" w:hAnsi="Times New Roman" w:cs="Times New Roman"/>
                <w:sz w:val="20"/>
                <w:szCs w:val="20"/>
              </w:rPr>
              <w:t xml:space="preserve"> </w:t>
            </w:r>
            <w:r w:rsidRPr="00F268D2">
              <w:rPr>
                <w:rFonts w:ascii="Times New Roman" w:hAnsi="Times New Roman" w:cs="Times New Roman"/>
                <w:sz w:val="20"/>
                <w:szCs w:val="20"/>
              </w:rPr>
              <w:t xml:space="preserve">reduction in hazardous materials, hence no changes required to the waste material composition.  Therefore no change is required to the proposed base case.  </w:t>
            </w:r>
          </w:p>
        </w:tc>
      </w:tr>
      <w:tr w:rsidR="00F268D2" w:rsidRPr="00F268D2" w:rsidTr="00BF08BF">
        <w:trPr>
          <w:cantSplit/>
          <w:trHeight w:val="283"/>
        </w:trPr>
        <w:tc>
          <w:tcPr>
            <w:tcW w:w="8931" w:type="dxa"/>
            <w:gridSpan w:val="2"/>
            <w:shd w:val="clear" w:color="auto" w:fill="DAEEF3" w:themeFill="accent5" w:themeFillTint="33"/>
            <w:tcMar>
              <w:top w:w="0" w:type="dxa"/>
              <w:left w:w="108" w:type="dxa"/>
              <w:bottom w:w="0" w:type="dxa"/>
              <w:right w:w="108" w:type="dxa"/>
            </w:tcMar>
          </w:tcPr>
          <w:p w:rsidR="00F268D2" w:rsidRPr="00F268D2" w:rsidRDefault="00F268D2" w:rsidP="00B75744">
            <w:pPr>
              <w:pStyle w:val="BodyText0"/>
              <w:spacing w:before="60" w:after="60" w:afterAutospacing="0" w:line="240" w:lineRule="auto"/>
              <w:rPr>
                <w:rFonts w:ascii="Times New Roman" w:hAnsi="Times New Roman" w:cs="Times New Roman"/>
                <w:b/>
                <w:sz w:val="20"/>
                <w:szCs w:val="20"/>
              </w:rPr>
            </w:pPr>
            <w:r w:rsidRPr="00F268D2">
              <w:rPr>
                <w:rFonts w:ascii="Times New Roman" w:hAnsi="Times New Roman" w:cs="Times New Roman"/>
                <w:b/>
                <w:sz w:val="20"/>
                <w:szCs w:val="20"/>
              </w:rPr>
              <w:lastRenderedPageBreak/>
              <w:t>Plastics</w:t>
            </w:r>
          </w:p>
        </w:tc>
      </w:tr>
      <w:tr w:rsidR="00F268D2" w:rsidRPr="00F268D2" w:rsidTr="00BF08BF">
        <w:trPr>
          <w:cantSplit/>
          <w:trHeight w:val="948"/>
        </w:trPr>
        <w:tc>
          <w:tcPr>
            <w:tcW w:w="1843" w:type="dxa"/>
            <w:tcMar>
              <w:top w:w="0" w:type="dxa"/>
              <w:left w:w="108" w:type="dxa"/>
              <w:bottom w:w="0" w:type="dxa"/>
              <w:right w:w="108" w:type="dxa"/>
            </w:tcMar>
          </w:tcPr>
          <w:p w:rsidR="00F268D2" w:rsidRPr="00F268D2" w:rsidRDefault="00F268D2" w:rsidP="00B75744">
            <w:pPr>
              <w:pStyle w:val="BodyText0"/>
              <w:spacing w:before="60" w:after="60" w:afterAutospacing="0" w:line="240" w:lineRule="auto"/>
              <w:rPr>
                <w:rFonts w:ascii="Times New Roman" w:hAnsi="Times New Roman" w:cs="Times New Roman"/>
                <w:sz w:val="20"/>
                <w:szCs w:val="20"/>
              </w:rPr>
            </w:pPr>
            <w:r w:rsidRPr="00F268D2">
              <w:rPr>
                <w:rFonts w:ascii="Times New Roman" w:hAnsi="Times New Roman" w:cs="Times New Roman"/>
                <w:sz w:val="20"/>
                <w:szCs w:val="20"/>
              </w:rPr>
              <w:t>Increased volume of plastics</w:t>
            </w:r>
          </w:p>
        </w:tc>
        <w:tc>
          <w:tcPr>
            <w:tcW w:w="7088" w:type="dxa"/>
          </w:tcPr>
          <w:p w:rsidR="00F268D2" w:rsidRPr="00F268D2" w:rsidRDefault="00F268D2" w:rsidP="00B75744">
            <w:pPr>
              <w:pStyle w:val="BodyText0"/>
              <w:spacing w:before="60" w:after="60" w:afterAutospacing="0" w:line="240" w:lineRule="auto"/>
              <w:rPr>
                <w:rFonts w:ascii="Times New Roman" w:hAnsi="Times New Roman" w:cs="Times New Roman"/>
                <w:b/>
                <w:sz w:val="20"/>
                <w:szCs w:val="20"/>
              </w:rPr>
            </w:pPr>
            <w:r w:rsidRPr="00F268D2">
              <w:rPr>
                <w:rFonts w:ascii="Times New Roman" w:hAnsi="Times New Roman" w:cs="Times New Roman"/>
                <w:sz w:val="20"/>
                <w:szCs w:val="20"/>
              </w:rPr>
              <w:t xml:space="preserve">The volume of plastic in RAC equipment has and is expected to continue to increase relative to metal.  The value of resources which can be recovered from </w:t>
            </w:r>
            <w:proofErr w:type="gramStart"/>
            <w:r w:rsidRPr="00F268D2">
              <w:rPr>
                <w:rFonts w:ascii="Times New Roman" w:hAnsi="Times New Roman" w:cs="Times New Roman"/>
                <w:sz w:val="20"/>
                <w:szCs w:val="20"/>
              </w:rPr>
              <w:t>EOL,</w:t>
            </w:r>
            <w:proofErr w:type="gramEnd"/>
            <w:r w:rsidRPr="00F268D2">
              <w:rPr>
                <w:rFonts w:ascii="Times New Roman" w:hAnsi="Times New Roman" w:cs="Times New Roman"/>
                <w:sz w:val="20"/>
                <w:szCs w:val="20"/>
              </w:rPr>
              <w:t xml:space="preserve"> may become uneconomical for metal recyclers. </w:t>
            </w:r>
            <w:bookmarkStart w:id="99" w:name="_Toc390178096"/>
            <w:r w:rsidRPr="00F268D2">
              <w:rPr>
                <w:rFonts w:ascii="Times New Roman" w:hAnsi="Times New Roman" w:cs="Times New Roman"/>
                <w:sz w:val="20"/>
                <w:szCs w:val="20"/>
              </w:rPr>
              <w:t xml:space="preserve"> The </w:t>
            </w:r>
            <w:r w:rsidR="00B02D49">
              <w:rPr>
                <w:rFonts w:ascii="Times New Roman" w:hAnsi="Times New Roman" w:cs="Times New Roman"/>
                <w:sz w:val="20"/>
                <w:szCs w:val="20"/>
              </w:rPr>
              <w:t>R</w:t>
            </w:r>
            <w:r w:rsidR="00B02D49" w:rsidRPr="00F268D2">
              <w:rPr>
                <w:rFonts w:ascii="Times New Roman" w:hAnsi="Times New Roman" w:cs="Times New Roman"/>
                <w:sz w:val="20"/>
                <w:szCs w:val="20"/>
              </w:rPr>
              <w:t xml:space="preserve">AC </w:t>
            </w:r>
            <w:r w:rsidRPr="00F268D2">
              <w:rPr>
                <w:rFonts w:ascii="Times New Roman" w:hAnsi="Times New Roman" w:cs="Times New Roman"/>
                <w:sz w:val="20"/>
                <w:szCs w:val="20"/>
              </w:rPr>
              <w:t xml:space="preserve">EOL </w:t>
            </w:r>
            <w:r w:rsidR="00455CB0" w:rsidRPr="00F268D2">
              <w:rPr>
                <w:rFonts w:ascii="Times New Roman" w:hAnsi="Times New Roman" w:cs="Times New Roman"/>
                <w:sz w:val="20"/>
                <w:szCs w:val="20"/>
              </w:rPr>
              <w:t>report (</w:t>
            </w:r>
            <w:r w:rsidRPr="00F268D2">
              <w:rPr>
                <w:rFonts w:ascii="Times New Roman" w:hAnsi="Times New Roman" w:cs="Times New Roman"/>
                <w:sz w:val="20"/>
                <w:szCs w:val="20"/>
              </w:rPr>
              <w:t>KPMG, 2014) has assumed that the material composition of the RAC equipment is static (i.e. no change to the material composition over time).</w:t>
            </w:r>
            <w:bookmarkEnd w:id="99"/>
            <w:r w:rsidRPr="00F268D2">
              <w:rPr>
                <w:rFonts w:ascii="Times New Roman" w:hAnsi="Times New Roman" w:cs="Times New Roman"/>
                <w:b/>
                <w:sz w:val="20"/>
                <w:szCs w:val="20"/>
              </w:rPr>
              <w:t xml:space="preserve"> </w:t>
            </w:r>
          </w:p>
          <w:p w:rsidR="00F268D2" w:rsidRPr="00F268D2" w:rsidRDefault="00F268D2" w:rsidP="00B75744">
            <w:pPr>
              <w:pStyle w:val="BodyText0"/>
              <w:spacing w:before="60" w:after="60" w:afterAutospacing="0" w:line="240" w:lineRule="auto"/>
              <w:rPr>
                <w:rFonts w:ascii="Times New Roman" w:hAnsi="Times New Roman" w:cs="Times New Roman"/>
                <w:sz w:val="20"/>
                <w:szCs w:val="20"/>
              </w:rPr>
            </w:pPr>
            <w:r w:rsidRPr="00F268D2">
              <w:rPr>
                <w:rFonts w:ascii="Times New Roman" w:hAnsi="Times New Roman" w:cs="Times New Roman"/>
                <w:sz w:val="20"/>
                <w:szCs w:val="20"/>
              </w:rPr>
              <w:t>Workshop advised that the assumption regarding</w:t>
            </w:r>
            <w:r w:rsidR="00B02D49">
              <w:rPr>
                <w:rFonts w:ascii="Times New Roman" w:hAnsi="Times New Roman" w:cs="Times New Roman"/>
                <w:sz w:val="20"/>
                <w:szCs w:val="20"/>
              </w:rPr>
              <w:t xml:space="preserve"> increasing</w:t>
            </w:r>
            <w:r w:rsidRPr="00F268D2">
              <w:rPr>
                <w:rFonts w:ascii="Times New Roman" w:hAnsi="Times New Roman" w:cs="Times New Roman"/>
                <w:sz w:val="20"/>
                <w:szCs w:val="20"/>
              </w:rPr>
              <w:t xml:space="preserve"> the plastic content is appropriate. </w:t>
            </w:r>
          </w:p>
        </w:tc>
      </w:tr>
    </w:tbl>
    <w:p w:rsidR="00F268D2" w:rsidRPr="00F268D2" w:rsidRDefault="00F268D2" w:rsidP="0016103D">
      <w:pPr>
        <w:pStyle w:val="Heading3"/>
        <w:numPr>
          <w:ilvl w:val="0"/>
          <w:numId w:val="0"/>
        </w:numPr>
      </w:pPr>
      <w:r w:rsidRPr="00F268D2">
        <w:t xml:space="preserve">Material composition and treatment of RAC equipment at EOL </w:t>
      </w:r>
    </w:p>
    <w:p w:rsidR="00F268D2" w:rsidRPr="00F268D2" w:rsidRDefault="00F268D2" w:rsidP="00F268D2">
      <w:pPr>
        <w:pStyle w:val="BodyText"/>
      </w:pPr>
      <w:r w:rsidRPr="00F268D2">
        <w:t xml:space="preserve">The bank of RAC equipment that will reach EOL and enter the disposal chain is based on the material composition of equipment purchased 10 to 25 years prior. The current market trends affecting the composition of the RAC equipment purchased </w:t>
      </w:r>
      <w:proofErr w:type="gramStart"/>
      <w:r w:rsidRPr="00F268D2">
        <w:t>today,</w:t>
      </w:r>
      <w:proofErr w:type="gramEnd"/>
      <w:r w:rsidRPr="00F268D2">
        <w:t xml:space="preserve"> will commence entering the waste stream after 2024. Hence, the waste material composition of RAC equipment over the analysis period is based on existing stock.</w:t>
      </w:r>
    </w:p>
    <w:p w:rsidR="00F268D2" w:rsidRPr="00F268D2" w:rsidRDefault="00F268D2" w:rsidP="00F268D2">
      <w:pPr>
        <w:pStyle w:val="BodyText"/>
      </w:pPr>
      <w:r w:rsidRPr="00F268D2">
        <w:t>Under the status quo scenario it is assumed the majority o</w:t>
      </w:r>
      <w:r w:rsidR="002577FE">
        <w:t>f</w:t>
      </w:r>
      <w:r w:rsidRPr="00F268D2">
        <w:t xml:space="preserve"> RAC equipment finds its way to the metal recyclers where it is shredded, forming plastic </w:t>
      </w:r>
      <w:proofErr w:type="spellStart"/>
      <w:r w:rsidRPr="00F268D2">
        <w:t>floc</w:t>
      </w:r>
      <w:proofErr w:type="spellEnd"/>
      <w:r w:rsidRPr="00F268D2">
        <w:t xml:space="preserve"> and shredded metal. The metal is recycled, shredder </w:t>
      </w:r>
      <w:proofErr w:type="spellStart"/>
      <w:r w:rsidRPr="00F268D2">
        <w:t>floc</w:t>
      </w:r>
      <w:proofErr w:type="spellEnd"/>
      <w:r w:rsidRPr="00F268D2">
        <w:t xml:space="preserve"> is sent to landfill and a proportion of refrigerant gases are collected. </w:t>
      </w:r>
    </w:p>
    <w:p w:rsidR="00F268D2" w:rsidRPr="00F268D2" w:rsidRDefault="00F268D2" w:rsidP="00F268D2">
      <w:pPr>
        <w:pStyle w:val="BodyText"/>
      </w:pPr>
      <w:r w:rsidRPr="00F268D2">
        <w:t xml:space="preserve">There is no significant disassembly of RAC equipment. Where this may occur, it is predominately for split or ducted air conditioning units which have appreciable scrap metal value, and hence incentive for separation. Scrap metal merchants are more likely to receive and on-sell separated metals from RAC equipment. It is not cost effective to manually disassemble refrigerators. </w:t>
      </w:r>
    </w:p>
    <w:p w:rsidR="00F268D2" w:rsidRPr="00F268D2" w:rsidRDefault="00F268D2" w:rsidP="00F268D2">
      <w:pPr>
        <w:pStyle w:val="BodyText"/>
      </w:pPr>
      <w:r w:rsidRPr="00F268D2">
        <w:t>Along the disposal pathway the recovery rates of refrigerant gases varies, for air conditioners recovery is high, but lower for domestic refrigerators and freezers at end-of-life.</w:t>
      </w:r>
    </w:p>
    <w:p w:rsidR="00F268D2" w:rsidRPr="00F268D2" w:rsidRDefault="00F268D2" w:rsidP="00F268D2">
      <w:pPr>
        <w:pStyle w:val="BodyText"/>
        <w:rPr>
          <w:i/>
        </w:rPr>
      </w:pPr>
      <w:r w:rsidRPr="00F268D2">
        <w:rPr>
          <w:i/>
        </w:rPr>
        <w:t xml:space="preserve">Shredded metals </w:t>
      </w:r>
    </w:p>
    <w:p w:rsidR="00F268D2" w:rsidRPr="00F268D2" w:rsidRDefault="00F268D2" w:rsidP="00F268D2">
      <w:pPr>
        <w:pStyle w:val="BodyText"/>
        <w:rPr>
          <w:i/>
        </w:rPr>
      </w:pPr>
      <w:r w:rsidRPr="00F268D2">
        <w:t xml:space="preserve">Shredded metal comprises mainly ferrous metal (iron and steel), non-ferrous metals (mainly copper and aluminium) comprise only 1% to 2% of shredded metal.  Most scrap metal is exported to China and South East Asia, but some recycled steel is used in the Victorian and New South Wales steel mills (the RAC EOL report, KPMG, 2014). </w:t>
      </w:r>
    </w:p>
    <w:p w:rsidR="00F268D2" w:rsidRPr="00F268D2" w:rsidRDefault="00F268D2" w:rsidP="00F268D2">
      <w:pPr>
        <w:pStyle w:val="BodyText"/>
        <w:rPr>
          <w:i/>
        </w:rPr>
      </w:pPr>
      <w:r w:rsidRPr="00F268D2">
        <w:rPr>
          <w:i/>
        </w:rPr>
        <w:t xml:space="preserve">Shredder </w:t>
      </w:r>
      <w:proofErr w:type="spellStart"/>
      <w:r w:rsidRPr="00F268D2">
        <w:rPr>
          <w:i/>
        </w:rPr>
        <w:t>floc</w:t>
      </w:r>
      <w:proofErr w:type="spellEnd"/>
      <w:r w:rsidRPr="00F268D2">
        <w:rPr>
          <w:i/>
        </w:rPr>
        <w:t xml:space="preserve"> </w:t>
      </w:r>
    </w:p>
    <w:p w:rsidR="00F268D2" w:rsidRPr="00F268D2" w:rsidRDefault="00F268D2" w:rsidP="00F268D2">
      <w:pPr>
        <w:pStyle w:val="BodyText"/>
      </w:pPr>
      <w:r w:rsidRPr="00F268D2">
        <w:t xml:space="preserve">There are no significant exports of shredded plastic waste or </w:t>
      </w:r>
      <w:proofErr w:type="spellStart"/>
      <w:r w:rsidRPr="00F268D2">
        <w:t>floc</w:t>
      </w:r>
      <w:proofErr w:type="spellEnd"/>
      <w:r w:rsidRPr="00F268D2">
        <w:t xml:space="preserve">, as they have no saleable value.  All shredder </w:t>
      </w:r>
      <w:proofErr w:type="spellStart"/>
      <w:r w:rsidRPr="00F268D2">
        <w:t>floc</w:t>
      </w:r>
      <w:proofErr w:type="spellEnd"/>
      <w:r w:rsidRPr="00F268D2">
        <w:t xml:space="preserve"> is currently disposed of to landfill.  Shredding of polyurethane foam will release blowing agents into the atmosphere, including fluorinated compounds in older appliances.</w:t>
      </w:r>
    </w:p>
    <w:p w:rsidR="00F268D2" w:rsidRPr="00F268D2" w:rsidRDefault="00F268D2" w:rsidP="00F268D2">
      <w:pPr>
        <w:pStyle w:val="BodyText"/>
        <w:rPr>
          <w:i/>
        </w:rPr>
      </w:pPr>
      <w:r w:rsidRPr="00F268D2">
        <w:rPr>
          <w:i/>
        </w:rPr>
        <w:t>Refrigerants gases</w:t>
      </w:r>
    </w:p>
    <w:p w:rsidR="00F268D2" w:rsidRPr="00F268D2" w:rsidRDefault="00F268D2" w:rsidP="00E506EB">
      <w:pPr>
        <w:pStyle w:val="BodyText"/>
        <w:rPr>
          <w:rFonts w:eastAsia="Batang"/>
          <w:lang w:eastAsia="ko-KR"/>
        </w:rPr>
      </w:pPr>
      <w:r w:rsidRPr="00F268D2">
        <w:rPr>
          <w:rFonts w:eastAsia="Batang"/>
          <w:lang w:eastAsia="ko-KR"/>
        </w:rPr>
        <w:t xml:space="preserve">It is estimated 30% – 40% of the refrigerant gases collected from EOL refrigerators are collected (KPMG, 2014).  Recovery rates are </w:t>
      </w:r>
      <w:r w:rsidRPr="00E506EB">
        <w:t>significantly</w:t>
      </w:r>
      <w:r w:rsidRPr="00F268D2">
        <w:rPr>
          <w:rFonts w:eastAsia="Batang"/>
          <w:lang w:eastAsia="ko-KR"/>
        </w:rPr>
        <w:t xml:space="preserve"> affected by the activities of “scavenger” parties collecting RAC equipment from the kerbside and other points in the disposal chain.  They sell directly to metal recycles.  </w:t>
      </w:r>
      <w:r w:rsidR="00455CB0">
        <w:rPr>
          <w:rFonts w:eastAsia="Batang"/>
          <w:lang w:eastAsia="ko-KR"/>
        </w:rPr>
        <w:t>No recovery of</w:t>
      </w:r>
      <w:r w:rsidRPr="00F268D2">
        <w:rPr>
          <w:rFonts w:eastAsia="Batang"/>
          <w:lang w:eastAsia="ko-KR"/>
        </w:rPr>
        <w:t xml:space="preserve"> refrigerant gases </w:t>
      </w:r>
      <w:r w:rsidR="00455CB0">
        <w:rPr>
          <w:rFonts w:eastAsia="Batang"/>
          <w:lang w:eastAsia="ko-KR"/>
        </w:rPr>
        <w:t>is</w:t>
      </w:r>
      <w:r w:rsidRPr="00F268D2">
        <w:rPr>
          <w:rFonts w:eastAsia="Batang"/>
          <w:lang w:eastAsia="ko-KR"/>
        </w:rPr>
        <w:t xml:space="preserve"> assumed </w:t>
      </w:r>
      <w:r w:rsidR="00B02D49">
        <w:rPr>
          <w:rFonts w:eastAsia="Batang"/>
          <w:lang w:eastAsia="ko-KR"/>
        </w:rPr>
        <w:t xml:space="preserve">when scavengers are involved </w:t>
      </w:r>
      <w:r w:rsidRPr="00F268D2">
        <w:rPr>
          <w:rFonts w:eastAsia="Batang"/>
          <w:lang w:eastAsia="ko-KR"/>
        </w:rPr>
        <w:t xml:space="preserve">(KPMG, 2014).  Recovery rates for air conditioners are </w:t>
      </w:r>
      <w:r w:rsidRPr="00F268D2">
        <w:rPr>
          <w:rFonts w:eastAsia="Batang"/>
          <w:lang w:eastAsia="ko-KR"/>
        </w:rPr>
        <w:lastRenderedPageBreak/>
        <w:t xml:space="preserve">much greater. A licensed service technician is generally involved in installation, they collect refrigerant from the obsolete unit. </w:t>
      </w:r>
    </w:p>
    <w:p w:rsidR="00F268D2" w:rsidRPr="00F268D2" w:rsidRDefault="00F268D2" w:rsidP="00F268D2">
      <w:pPr>
        <w:pStyle w:val="BodyText"/>
      </w:pPr>
      <w:r w:rsidRPr="00F268D2">
        <w:t>Technicians remove the refrigerant charge more than 80 per cent of the time when they are replacing an air conditioner. The refrigerant is then sent to Refrigerant Reclaim Australia (RRA) for destruction (via a refrigerant wholesaler) or is collected for reuse.</w:t>
      </w:r>
    </w:p>
    <w:p w:rsidR="00F268D2" w:rsidRPr="00F268D2" w:rsidRDefault="00F268D2" w:rsidP="00F268D2">
      <w:pPr>
        <w:pStyle w:val="BodyText"/>
        <w:rPr>
          <w:i/>
        </w:rPr>
      </w:pPr>
      <w:r w:rsidRPr="00F268D2">
        <w:rPr>
          <w:i/>
        </w:rPr>
        <w:t xml:space="preserve">Foam blowing agent </w:t>
      </w:r>
    </w:p>
    <w:p w:rsidR="00F268D2" w:rsidRPr="00F268D2" w:rsidRDefault="00F268D2" w:rsidP="00F268D2">
      <w:pPr>
        <w:pStyle w:val="BodyText"/>
        <w:rPr>
          <w:rFonts w:eastAsia="Batang"/>
          <w:szCs w:val="22"/>
          <w:lang w:eastAsia="ko-KR"/>
        </w:rPr>
      </w:pPr>
      <w:r w:rsidRPr="00F268D2">
        <w:rPr>
          <w:szCs w:val="22"/>
        </w:rPr>
        <w:t>Domestic refrigerators contain approximately 5 to 10 kg of insulating polyurethane foam, about 5% by weight of blowing agent (</w:t>
      </w:r>
      <w:r w:rsidRPr="00F268D2">
        <w:t>the RAC EOL report, KPMG, 2014).</w:t>
      </w:r>
      <w:r w:rsidRPr="00F268D2">
        <w:rPr>
          <w:szCs w:val="22"/>
        </w:rPr>
        <w:t xml:space="preserve">  It is likely the blowing agent is released on shredding due to the increase in surface area, heat of shredding, and the breakdown of the encapsulating metal or plastic structure of the appliance </w:t>
      </w:r>
      <w:r w:rsidRPr="00F268D2">
        <w:t xml:space="preserve">(the RAC EOL report, KPMG, 2014). </w:t>
      </w:r>
      <w:r w:rsidRPr="00F268D2">
        <w:rPr>
          <w:szCs w:val="22"/>
        </w:rPr>
        <w:t>2013)</w:t>
      </w:r>
      <w:r w:rsidR="00455CB0" w:rsidRPr="00F268D2">
        <w:rPr>
          <w:szCs w:val="22"/>
        </w:rPr>
        <w:t xml:space="preserve">. </w:t>
      </w:r>
      <w:r w:rsidR="00455CB0" w:rsidRPr="00F268D2">
        <w:t>Insulating</w:t>
      </w:r>
      <w:r w:rsidRPr="00F268D2">
        <w:t xml:space="preserve"> foam will be collected as a part of shredder </w:t>
      </w:r>
      <w:proofErr w:type="spellStart"/>
      <w:r w:rsidRPr="00F268D2">
        <w:t>floc</w:t>
      </w:r>
      <w:proofErr w:type="spellEnd"/>
      <w:r w:rsidRPr="00F268D2">
        <w:t xml:space="preserve"> (the RAC EOL report, KPMG, 2014).  </w:t>
      </w:r>
    </w:p>
    <w:p w:rsidR="00F268D2" w:rsidRPr="00A24C24" w:rsidRDefault="00F268D2" w:rsidP="00F268D2">
      <w:pPr>
        <w:autoSpaceDE w:val="0"/>
        <w:autoSpaceDN w:val="0"/>
        <w:adjustRightInd w:val="0"/>
        <w:rPr>
          <w:rFonts w:eastAsia="Batang"/>
          <w:lang w:eastAsia="ko-KR"/>
        </w:rPr>
      </w:pPr>
      <w:r w:rsidRPr="00F268D2">
        <w:rPr>
          <w:rFonts w:eastAsia="Batang"/>
          <w:lang w:eastAsia="ko-KR"/>
        </w:rPr>
        <w:t xml:space="preserve">Refrigerators manufactured prior to 1995 are likely to contain chlorofluorocarbons (CFCs) as blowing agents.  These compounds have since been phased out and replaced to some extent by </w:t>
      </w:r>
      <w:proofErr w:type="spellStart"/>
      <w:r w:rsidRPr="00F268D2">
        <w:rPr>
          <w:rFonts w:eastAsia="Batang"/>
          <w:lang w:eastAsia="ko-KR"/>
        </w:rPr>
        <w:t>hydrochlorofluorocarbons</w:t>
      </w:r>
      <w:proofErr w:type="spellEnd"/>
      <w:r w:rsidRPr="00F268D2">
        <w:rPr>
          <w:rFonts w:eastAsia="Batang"/>
          <w:lang w:eastAsia="ko-KR"/>
        </w:rPr>
        <w:t xml:space="preserve"> (HCFCs) and later by </w:t>
      </w:r>
      <w:proofErr w:type="spellStart"/>
      <w:r w:rsidRPr="00F268D2">
        <w:rPr>
          <w:rFonts w:eastAsia="Batang"/>
          <w:lang w:eastAsia="ko-KR"/>
        </w:rPr>
        <w:t>hydrofluorocarbons</w:t>
      </w:r>
      <w:proofErr w:type="spellEnd"/>
      <w:r w:rsidRPr="00F268D2">
        <w:rPr>
          <w:rFonts w:eastAsia="Batang"/>
          <w:lang w:eastAsia="ko-KR"/>
        </w:rPr>
        <w:t xml:space="preserve"> (HFCs).  The higher cost of these gases and the phase out of HCFCs has led to the widespread use of hydrocarbons such as pentane.</w:t>
      </w:r>
      <w:r w:rsidRPr="00A24C24">
        <w:rPr>
          <w:rFonts w:eastAsia="Batang"/>
          <w:lang w:eastAsia="ko-KR"/>
        </w:rPr>
        <w:t xml:space="preserve">  </w:t>
      </w:r>
    </w:p>
    <w:p w:rsidR="008F6C5D" w:rsidRDefault="00F268D2" w:rsidP="00F268D2">
      <w:pPr>
        <w:pStyle w:val="Heading1"/>
        <w:numPr>
          <w:ilvl w:val="0"/>
          <w:numId w:val="0"/>
        </w:numPr>
      </w:pPr>
      <w:bookmarkStart w:id="100" w:name="_Toc403647597"/>
      <w:r>
        <w:lastRenderedPageBreak/>
        <w:t>Appendix B – Recovery Pathways</w:t>
      </w:r>
      <w:bookmarkEnd w:id="100"/>
    </w:p>
    <w:p w:rsidR="00F268D2" w:rsidRPr="00F268D2" w:rsidRDefault="00F268D2" w:rsidP="00F268D2">
      <w:pPr>
        <w:pStyle w:val="BodyText"/>
      </w:pPr>
    </w:p>
    <w:p w:rsidR="00F268D2" w:rsidRDefault="00F268D2" w:rsidP="00F268D2">
      <w:pPr>
        <w:pStyle w:val="Caption"/>
      </w:pPr>
      <w:r>
        <w:t xml:space="preserve">Appendix Table B </w:t>
      </w:r>
      <w:r w:rsidR="00586F30">
        <w:fldChar w:fldCharType="begin"/>
      </w:r>
      <w:r w:rsidR="00C478AE">
        <w:instrText xml:space="preserve"> SEQ Appendix_Table_B \* ARABIC </w:instrText>
      </w:r>
      <w:r w:rsidR="00586F30">
        <w:fldChar w:fldCharType="separate"/>
      </w:r>
      <w:r w:rsidR="001E5D7A">
        <w:rPr>
          <w:noProof/>
        </w:rPr>
        <w:t>1</w:t>
      </w:r>
      <w:r w:rsidR="00586F30">
        <w:rPr>
          <w:noProof/>
        </w:rPr>
        <w:fldChar w:fldCharType="end"/>
      </w:r>
      <w:r>
        <w:t>: Recovery pathway, air conditioners</w:t>
      </w:r>
    </w:p>
    <w:tbl>
      <w:tblPr>
        <w:tblStyle w:val="TableGrid"/>
        <w:tblW w:w="0" w:type="auto"/>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tblPr>
      <w:tblGrid>
        <w:gridCol w:w="2093"/>
        <w:gridCol w:w="1657"/>
        <w:gridCol w:w="1657"/>
        <w:gridCol w:w="1657"/>
        <w:gridCol w:w="1657"/>
      </w:tblGrid>
      <w:tr w:rsidR="00F268D2" w:rsidRPr="000E144F" w:rsidTr="00F268D2">
        <w:tc>
          <w:tcPr>
            <w:tcW w:w="2093" w:type="dxa"/>
            <w:shd w:val="clear" w:color="auto" w:fill="1F497D" w:themeFill="text2"/>
          </w:tcPr>
          <w:p w:rsidR="00F268D2" w:rsidRPr="000E144F" w:rsidRDefault="00F268D2" w:rsidP="00B75744">
            <w:pPr>
              <w:pStyle w:val="BodyText"/>
              <w:spacing w:before="60" w:after="60"/>
              <w:rPr>
                <w:sz w:val="20"/>
              </w:rPr>
            </w:pPr>
          </w:p>
        </w:tc>
        <w:tc>
          <w:tcPr>
            <w:tcW w:w="1657" w:type="dxa"/>
            <w:shd w:val="clear" w:color="auto" w:fill="1F497D" w:themeFill="text2"/>
          </w:tcPr>
          <w:p w:rsidR="00F268D2" w:rsidRPr="000E144F" w:rsidRDefault="00F268D2" w:rsidP="00B75744">
            <w:pPr>
              <w:pStyle w:val="BodyText"/>
              <w:spacing w:before="60" w:after="60"/>
              <w:jc w:val="right"/>
              <w:rPr>
                <w:b/>
                <w:color w:val="FFFFFF" w:themeColor="background1"/>
                <w:sz w:val="20"/>
              </w:rPr>
            </w:pPr>
            <w:r>
              <w:rPr>
                <w:b/>
                <w:color w:val="FFFFFF" w:themeColor="background1"/>
                <w:sz w:val="20"/>
              </w:rPr>
              <w:t>Base Case (status quo)</w:t>
            </w:r>
          </w:p>
        </w:tc>
        <w:tc>
          <w:tcPr>
            <w:tcW w:w="1657" w:type="dxa"/>
            <w:shd w:val="clear" w:color="auto" w:fill="1F497D" w:themeFill="text2"/>
          </w:tcPr>
          <w:p w:rsidR="00F268D2" w:rsidRPr="000E144F" w:rsidRDefault="00F268D2" w:rsidP="00B75744">
            <w:pPr>
              <w:pStyle w:val="BodyText"/>
              <w:spacing w:before="60" w:after="60"/>
              <w:jc w:val="right"/>
              <w:rPr>
                <w:b/>
                <w:color w:val="FFFFFF" w:themeColor="background1"/>
                <w:sz w:val="20"/>
              </w:rPr>
            </w:pPr>
            <w:r w:rsidRPr="000E144F">
              <w:rPr>
                <w:b/>
                <w:color w:val="FFFFFF" w:themeColor="background1"/>
                <w:sz w:val="20"/>
              </w:rPr>
              <w:t>Option 1 – Voluntary Scheme</w:t>
            </w:r>
          </w:p>
        </w:tc>
        <w:tc>
          <w:tcPr>
            <w:tcW w:w="1657" w:type="dxa"/>
            <w:shd w:val="clear" w:color="auto" w:fill="1F497D" w:themeFill="text2"/>
          </w:tcPr>
          <w:p w:rsidR="00F268D2" w:rsidRPr="000E144F" w:rsidRDefault="00F268D2" w:rsidP="00B75744">
            <w:pPr>
              <w:pStyle w:val="BodyText"/>
              <w:spacing w:before="60" w:after="60"/>
              <w:jc w:val="right"/>
              <w:rPr>
                <w:b/>
                <w:color w:val="FFFFFF" w:themeColor="background1"/>
                <w:sz w:val="20"/>
              </w:rPr>
            </w:pPr>
            <w:r w:rsidRPr="000E144F">
              <w:rPr>
                <w:b/>
                <w:color w:val="FFFFFF" w:themeColor="background1"/>
                <w:sz w:val="20"/>
              </w:rPr>
              <w:t>Option 2 – Co-Regulatory Approach</w:t>
            </w:r>
          </w:p>
        </w:tc>
        <w:tc>
          <w:tcPr>
            <w:tcW w:w="1657" w:type="dxa"/>
            <w:shd w:val="clear" w:color="auto" w:fill="1F497D" w:themeFill="text2"/>
          </w:tcPr>
          <w:p w:rsidR="00F268D2" w:rsidRPr="000E144F" w:rsidRDefault="00F268D2" w:rsidP="00B75744">
            <w:pPr>
              <w:pStyle w:val="BodyText"/>
              <w:spacing w:before="60" w:after="60"/>
              <w:jc w:val="right"/>
              <w:rPr>
                <w:b/>
                <w:color w:val="FFFFFF" w:themeColor="background1"/>
                <w:sz w:val="20"/>
              </w:rPr>
            </w:pPr>
            <w:r w:rsidRPr="000E144F">
              <w:rPr>
                <w:b/>
                <w:color w:val="FFFFFF" w:themeColor="background1"/>
                <w:sz w:val="20"/>
              </w:rPr>
              <w:t>Option 3 – Mandatory Scheme</w:t>
            </w:r>
          </w:p>
        </w:tc>
      </w:tr>
      <w:tr w:rsidR="00F268D2" w:rsidRPr="000E144F" w:rsidTr="00F268D2">
        <w:tc>
          <w:tcPr>
            <w:tcW w:w="2093" w:type="dxa"/>
            <w:vAlign w:val="center"/>
          </w:tcPr>
          <w:p w:rsidR="00F268D2" w:rsidRPr="00F268D2" w:rsidRDefault="00F268D2" w:rsidP="00F268D2">
            <w:pPr>
              <w:pStyle w:val="BodyText"/>
              <w:spacing w:before="60" w:after="60"/>
              <w:jc w:val="left"/>
              <w:rPr>
                <w:sz w:val="20"/>
              </w:rPr>
            </w:pPr>
            <w:r w:rsidRPr="00F268D2">
              <w:rPr>
                <w:sz w:val="20"/>
              </w:rPr>
              <w:t>Landfill</w:t>
            </w:r>
          </w:p>
        </w:tc>
        <w:tc>
          <w:tcPr>
            <w:tcW w:w="1657" w:type="dxa"/>
            <w:vAlign w:val="center"/>
          </w:tcPr>
          <w:p w:rsidR="00F268D2" w:rsidRPr="000E144F" w:rsidRDefault="00F268D2" w:rsidP="00F268D2">
            <w:pPr>
              <w:pStyle w:val="BodyText"/>
              <w:spacing w:before="60" w:after="60"/>
              <w:jc w:val="right"/>
              <w:rPr>
                <w:sz w:val="20"/>
              </w:rPr>
            </w:pPr>
            <w:r>
              <w:rPr>
                <w:sz w:val="20"/>
              </w:rPr>
              <w:t>100 per cent</w:t>
            </w:r>
          </w:p>
        </w:tc>
        <w:tc>
          <w:tcPr>
            <w:tcW w:w="1657" w:type="dxa"/>
            <w:vAlign w:val="center"/>
          </w:tcPr>
          <w:p w:rsidR="00F268D2" w:rsidRPr="000E144F" w:rsidRDefault="00F268D2" w:rsidP="00F268D2">
            <w:pPr>
              <w:pStyle w:val="BodyText"/>
              <w:spacing w:before="60" w:after="60"/>
              <w:jc w:val="right"/>
              <w:rPr>
                <w:sz w:val="20"/>
              </w:rPr>
            </w:pPr>
            <w:r>
              <w:rPr>
                <w:sz w:val="20"/>
              </w:rPr>
              <w:t>92.5 per cent</w:t>
            </w:r>
          </w:p>
        </w:tc>
        <w:tc>
          <w:tcPr>
            <w:tcW w:w="1657" w:type="dxa"/>
            <w:vAlign w:val="center"/>
          </w:tcPr>
          <w:p w:rsidR="00F268D2" w:rsidRPr="00F268D2" w:rsidRDefault="00F268D2" w:rsidP="00F268D2">
            <w:pPr>
              <w:pStyle w:val="BodyText"/>
              <w:spacing w:before="60" w:after="60"/>
              <w:jc w:val="right"/>
              <w:rPr>
                <w:sz w:val="20"/>
              </w:rPr>
            </w:pPr>
            <w:r>
              <w:rPr>
                <w:sz w:val="20"/>
              </w:rPr>
              <w:t>70-85 per cent</w:t>
            </w:r>
          </w:p>
        </w:tc>
        <w:tc>
          <w:tcPr>
            <w:tcW w:w="1657" w:type="dxa"/>
            <w:vAlign w:val="center"/>
          </w:tcPr>
          <w:p w:rsidR="00F268D2" w:rsidRPr="00F268D2" w:rsidRDefault="00F268D2" w:rsidP="00F268D2">
            <w:pPr>
              <w:pStyle w:val="BodyText"/>
              <w:spacing w:before="60" w:after="60"/>
              <w:jc w:val="right"/>
              <w:rPr>
                <w:sz w:val="20"/>
              </w:rPr>
            </w:pPr>
            <w:r>
              <w:rPr>
                <w:sz w:val="20"/>
              </w:rPr>
              <w:t>50 per cent</w:t>
            </w:r>
          </w:p>
        </w:tc>
      </w:tr>
      <w:tr w:rsidR="00F268D2" w:rsidRPr="000E144F" w:rsidTr="00F268D2">
        <w:tc>
          <w:tcPr>
            <w:tcW w:w="2093" w:type="dxa"/>
            <w:vAlign w:val="center"/>
          </w:tcPr>
          <w:p w:rsidR="00F268D2" w:rsidRPr="00F268D2" w:rsidRDefault="00F268D2" w:rsidP="00F268D2">
            <w:pPr>
              <w:pStyle w:val="BodyText"/>
              <w:spacing w:before="60" w:after="60"/>
              <w:jc w:val="left"/>
              <w:rPr>
                <w:sz w:val="20"/>
              </w:rPr>
            </w:pPr>
            <w:r w:rsidRPr="00F268D2">
              <w:rPr>
                <w:sz w:val="20"/>
              </w:rPr>
              <w:t>Plastic Re-use</w:t>
            </w:r>
          </w:p>
        </w:tc>
        <w:tc>
          <w:tcPr>
            <w:tcW w:w="1657" w:type="dxa"/>
            <w:vAlign w:val="center"/>
          </w:tcPr>
          <w:p w:rsidR="00F268D2" w:rsidRPr="000E144F" w:rsidRDefault="00F268D2" w:rsidP="00F268D2">
            <w:pPr>
              <w:pStyle w:val="BodyText"/>
              <w:spacing w:before="60" w:after="60"/>
              <w:jc w:val="right"/>
              <w:rPr>
                <w:sz w:val="20"/>
              </w:rPr>
            </w:pPr>
            <w:r>
              <w:rPr>
                <w:sz w:val="20"/>
              </w:rPr>
              <w:t>0 per cent</w:t>
            </w:r>
          </w:p>
        </w:tc>
        <w:tc>
          <w:tcPr>
            <w:tcW w:w="1657" w:type="dxa"/>
            <w:vAlign w:val="center"/>
          </w:tcPr>
          <w:p w:rsidR="00F268D2" w:rsidRPr="00F268D2" w:rsidRDefault="00F268D2" w:rsidP="00F268D2">
            <w:pPr>
              <w:pStyle w:val="BodyText"/>
              <w:spacing w:before="60" w:after="60"/>
              <w:jc w:val="right"/>
              <w:rPr>
                <w:sz w:val="20"/>
              </w:rPr>
            </w:pPr>
            <w:r w:rsidRPr="00F268D2">
              <w:rPr>
                <w:sz w:val="20"/>
              </w:rPr>
              <w:t>7.5 per cent</w:t>
            </w:r>
          </w:p>
        </w:tc>
        <w:tc>
          <w:tcPr>
            <w:tcW w:w="1657" w:type="dxa"/>
            <w:vAlign w:val="center"/>
          </w:tcPr>
          <w:p w:rsidR="00F268D2" w:rsidRPr="00F268D2" w:rsidRDefault="00F268D2" w:rsidP="00F268D2">
            <w:pPr>
              <w:pStyle w:val="BodyText"/>
              <w:spacing w:before="60" w:after="60"/>
              <w:jc w:val="right"/>
              <w:rPr>
                <w:sz w:val="20"/>
              </w:rPr>
            </w:pPr>
            <w:r w:rsidRPr="00F268D2">
              <w:rPr>
                <w:sz w:val="20"/>
              </w:rPr>
              <w:t>15-30 per cent</w:t>
            </w:r>
          </w:p>
        </w:tc>
        <w:tc>
          <w:tcPr>
            <w:tcW w:w="1657" w:type="dxa"/>
            <w:vAlign w:val="center"/>
          </w:tcPr>
          <w:p w:rsidR="00F268D2" w:rsidRPr="00F268D2" w:rsidRDefault="00F268D2" w:rsidP="00F268D2">
            <w:pPr>
              <w:pStyle w:val="BodyText"/>
              <w:spacing w:before="60" w:after="60"/>
              <w:jc w:val="right"/>
              <w:rPr>
                <w:sz w:val="20"/>
              </w:rPr>
            </w:pPr>
            <w:r w:rsidRPr="00F268D2">
              <w:rPr>
                <w:sz w:val="20"/>
              </w:rPr>
              <w:t>50 per cent</w:t>
            </w:r>
          </w:p>
        </w:tc>
      </w:tr>
      <w:tr w:rsidR="00F268D2" w:rsidRPr="000E144F" w:rsidTr="00F268D2">
        <w:tc>
          <w:tcPr>
            <w:tcW w:w="2093" w:type="dxa"/>
            <w:vAlign w:val="center"/>
          </w:tcPr>
          <w:p w:rsidR="00F268D2" w:rsidRPr="00F268D2" w:rsidRDefault="00F268D2" w:rsidP="00F268D2">
            <w:pPr>
              <w:pStyle w:val="BodyText"/>
              <w:spacing w:before="60" w:after="60"/>
              <w:jc w:val="left"/>
              <w:rPr>
                <w:sz w:val="20"/>
              </w:rPr>
            </w:pPr>
            <w:r w:rsidRPr="00F268D2">
              <w:rPr>
                <w:sz w:val="20"/>
              </w:rPr>
              <w:t>Metals Sold</w:t>
            </w:r>
          </w:p>
        </w:tc>
        <w:tc>
          <w:tcPr>
            <w:tcW w:w="1657" w:type="dxa"/>
            <w:vAlign w:val="center"/>
          </w:tcPr>
          <w:p w:rsidR="00F268D2" w:rsidRPr="000E144F" w:rsidRDefault="00F268D2" w:rsidP="00F268D2">
            <w:pPr>
              <w:pStyle w:val="BodyText"/>
              <w:spacing w:before="60" w:after="60"/>
              <w:jc w:val="right"/>
              <w:rPr>
                <w:sz w:val="20"/>
              </w:rPr>
            </w:pPr>
            <w:r>
              <w:rPr>
                <w:sz w:val="20"/>
              </w:rPr>
              <w:t>90 per cent</w:t>
            </w:r>
          </w:p>
        </w:tc>
        <w:tc>
          <w:tcPr>
            <w:tcW w:w="1657" w:type="dxa"/>
            <w:vAlign w:val="center"/>
          </w:tcPr>
          <w:p w:rsidR="00F268D2" w:rsidRPr="000E144F" w:rsidRDefault="00F268D2" w:rsidP="00F268D2">
            <w:pPr>
              <w:pStyle w:val="BodyText"/>
              <w:spacing w:before="60" w:after="60"/>
              <w:jc w:val="right"/>
              <w:rPr>
                <w:sz w:val="20"/>
              </w:rPr>
            </w:pPr>
            <w:r>
              <w:rPr>
                <w:sz w:val="20"/>
              </w:rPr>
              <w:t>90 per cent</w:t>
            </w:r>
          </w:p>
        </w:tc>
        <w:tc>
          <w:tcPr>
            <w:tcW w:w="1657" w:type="dxa"/>
            <w:vAlign w:val="center"/>
          </w:tcPr>
          <w:p w:rsidR="00F268D2" w:rsidRPr="000E144F" w:rsidRDefault="00F268D2" w:rsidP="00F268D2">
            <w:pPr>
              <w:pStyle w:val="BodyText"/>
              <w:spacing w:before="60" w:after="60"/>
              <w:jc w:val="right"/>
              <w:rPr>
                <w:sz w:val="20"/>
              </w:rPr>
            </w:pPr>
            <w:r>
              <w:rPr>
                <w:sz w:val="20"/>
              </w:rPr>
              <w:t>90 per cent</w:t>
            </w:r>
          </w:p>
        </w:tc>
        <w:tc>
          <w:tcPr>
            <w:tcW w:w="1657" w:type="dxa"/>
            <w:vAlign w:val="center"/>
          </w:tcPr>
          <w:p w:rsidR="00F268D2" w:rsidRPr="000E144F" w:rsidRDefault="00F268D2" w:rsidP="00F268D2">
            <w:pPr>
              <w:pStyle w:val="BodyText"/>
              <w:spacing w:before="60" w:after="60"/>
              <w:jc w:val="right"/>
              <w:rPr>
                <w:sz w:val="20"/>
              </w:rPr>
            </w:pPr>
            <w:r>
              <w:rPr>
                <w:sz w:val="20"/>
              </w:rPr>
              <w:t>90 per cent</w:t>
            </w:r>
          </w:p>
        </w:tc>
      </w:tr>
      <w:tr w:rsidR="00F268D2" w:rsidRPr="000E144F" w:rsidTr="00F268D2">
        <w:tc>
          <w:tcPr>
            <w:tcW w:w="2093" w:type="dxa"/>
            <w:vAlign w:val="center"/>
          </w:tcPr>
          <w:p w:rsidR="00F268D2" w:rsidRPr="00F268D2" w:rsidRDefault="00F268D2" w:rsidP="00F268D2">
            <w:pPr>
              <w:pStyle w:val="BodyText"/>
              <w:spacing w:before="60" w:after="60"/>
              <w:jc w:val="left"/>
              <w:rPr>
                <w:sz w:val="20"/>
              </w:rPr>
            </w:pPr>
            <w:r w:rsidRPr="00F268D2">
              <w:rPr>
                <w:sz w:val="20"/>
              </w:rPr>
              <w:t>Collected Refrigerant</w:t>
            </w:r>
          </w:p>
        </w:tc>
        <w:tc>
          <w:tcPr>
            <w:tcW w:w="1657" w:type="dxa"/>
            <w:vAlign w:val="center"/>
          </w:tcPr>
          <w:p w:rsidR="00F268D2" w:rsidRPr="000E144F" w:rsidRDefault="00F268D2" w:rsidP="00F268D2">
            <w:pPr>
              <w:pStyle w:val="BodyText"/>
              <w:spacing w:before="60" w:after="60"/>
              <w:jc w:val="right"/>
              <w:rPr>
                <w:sz w:val="20"/>
                <w:highlight w:val="yellow"/>
              </w:rPr>
            </w:pPr>
            <w:r>
              <w:rPr>
                <w:sz w:val="20"/>
              </w:rPr>
              <w:t>80 per cent</w:t>
            </w:r>
          </w:p>
        </w:tc>
        <w:tc>
          <w:tcPr>
            <w:tcW w:w="1657" w:type="dxa"/>
            <w:vAlign w:val="center"/>
          </w:tcPr>
          <w:p w:rsidR="00F268D2" w:rsidRPr="000E144F" w:rsidRDefault="00F268D2" w:rsidP="00F268D2">
            <w:pPr>
              <w:pStyle w:val="BodyText"/>
              <w:spacing w:before="60" w:after="60"/>
              <w:jc w:val="right"/>
              <w:rPr>
                <w:sz w:val="20"/>
                <w:highlight w:val="yellow"/>
              </w:rPr>
            </w:pPr>
            <w:r>
              <w:rPr>
                <w:sz w:val="20"/>
              </w:rPr>
              <w:t>80 per cent</w:t>
            </w:r>
          </w:p>
        </w:tc>
        <w:tc>
          <w:tcPr>
            <w:tcW w:w="1657" w:type="dxa"/>
            <w:vAlign w:val="center"/>
          </w:tcPr>
          <w:p w:rsidR="00F268D2" w:rsidRPr="000E144F" w:rsidRDefault="00F268D2" w:rsidP="00F268D2">
            <w:pPr>
              <w:pStyle w:val="BodyText"/>
              <w:spacing w:before="60" w:after="60"/>
              <w:jc w:val="right"/>
              <w:rPr>
                <w:sz w:val="20"/>
                <w:highlight w:val="yellow"/>
              </w:rPr>
            </w:pPr>
            <w:r>
              <w:rPr>
                <w:sz w:val="20"/>
              </w:rPr>
              <w:t>80 per cent</w:t>
            </w:r>
          </w:p>
        </w:tc>
        <w:tc>
          <w:tcPr>
            <w:tcW w:w="1657" w:type="dxa"/>
            <w:vAlign w:val="center"/>
          </w:tcPr>
          <w:p w:rsidR="00F268D2" w:rsidRPr="000E144F" w:rsidRDefault="00F268D2" w:rsidP="00F268D2">
            <w:pPr>
              <w:pStyle w:val="BodyText"/>
              <w:spacing w:before="60" w:after="60"/>
              <w:jc w:val="right"/>
              <w:rPr>
                <w:sz w:val="20"/>
                <w:highlight w:val="yellow"/>
              </w:rPr>
            </w:pPr>
            <w:r>
              <w:rPr>
                <w:sz w:val="20"/>
              </w:rPr>
              <w:t>80 per cent</w:t>
            </w:r>
          </w:p>
        </w:tc>
      </w:tr>
    </w:tbl>
    <w:p w:rsidR="00F268D2" w:rsidRDefault="00F268D2" w:rsidP="00F268D2">
      <w:pPr>
        <w:pStyle w:val="Source"/>
      </w:pPr>
      <w:r>
        <w:t>Source: Department of the Environment</w:t>
      </w:r>
    </w:p>
    <w:p w:rsidR="00F268D2" w:rsidRDefault="00F268D2" w:rsidP="00F268D2">
      <w:pPr>
        <w:pStyle w:val="BodyText"/>
      </w:pPr>
    </w:p>
    <w:p w:rsidR="00F268D2" w:rsidRDefault="00F268D2" w:rsidP="00F268D2">
      <w:pPr>
        <w:pStyle w:val="Caption"/>
      </w:pPr>
      <w:r>
        <w:t xml:space="preserve">Appendix Table B </w:t>
      </w:r>
      <w:r w:rsidR="008227F4">
        <w:t>2</w:t>
      </w:r>
      <w:r>
        <w:t xml:space="preserve">: Recovery pathway, </w:t>
      </w:r>
      <w:r w:rsidR="00316F6A">
        <w:t>refrigerators</w:t>
      </w:r>
    </w:p>
    <w:tbl>
      <w:tblPr>
        <w:tblStyle w:val="TableGrid"/>
        <w:tblW w:w="0" w:type="auto"/>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tblPr>
      <w:tblGrid>
        <w:gridCol w:w="2660"/>
        <w:gridCol w:w="1515"/>
        <w:gridCol w:w="1515"/>
        <w:gridCol w:w="1515"/>
        <w:gridCol w:w="1516"/>
      </w:tblGrid>
      <w:tr w:rsidR="00F268D2" w:rsidRPr="000E144F" w:rsidTr="00676F5A">
        <w:tc>
          <w:tcPr>
            <w:tcW w:w="2660" w:type="dxa"/>
            <w:shd w:val="clear" w:color="auto" w:fill="1F497D" w:themeFill="text2"/>
          </w:tcPr>
          <w:p w:rsidR="00F268D2" w:rsidRPr="000E144F" w:rsidRDefault="00F268D2" w:rsidP="00B75744">
            <w:pPr>
              <w:pStyle w:val="BodyText"/>
              <w:spacing w:before="60" w:after="60"/>
              <w:rPr>
                <w:sz w:val="20"/>
              </w:rPr>
            </w:pPr>
          </w:p>
        </w:tc>
        <w:tc>
          <w:tcPr>
            <w:tcW w:w="1515" w:type="dxa"/>
            <w:shd w:val="clear" w:color="auto" w:fill="1F497D" w:themeFill="text2"/>
          </w:tcPr>
          <w:p w:rsidR="00F268D2" w:rsidRPr="000E144F" w:rsidRDefault="00F268D2" w:rsidP="00B75744">
            <w:pPr>
              <w:pStyle w:val="BodyText"/>
              <w:spacing w:before="60" w:after="60"/>
              <w:jc w:val="right"/>
              <w:rPr>
                <w:b/>
                <w:color w:val="FFFFFF" w:themeColor="background1"/>
                <w:sz w:val="20"/>
              </w:rPr>
            </w:pPr>
            <w:r>
              <w:rPr>
                <w:b/>
                <w:color w:val="FFFFFF" w:themeColor="background1"/>
                <w:sz w:val="20"/>
              </w:rPr>
              <w:t>Base Case (status quo)</w:t>
            </w:r>
          </w:p>
        </w:tc>
        <w:tc>
          <w:tcPr>
            <w:tcW w:w="1515" w:type="dxa"/>
            <w:shd w:val="clear" w:color="auto" w:fill="1F497D" w:themeFill="text2"/>
          </w:tcPr>
          <w:p w:rsidR="00F268D2" w:rsidRPr="000E144F" w:rsidRDefault="00F268D2" w:rsidP="00B75744">
            <w:pPr>
              <w:pStyle w:val="BodyText"/>
              <w:spacing w:before="60" w:after="60"/>
              <w:jc w:val="right"/>
              <w:rPr>
                <w:b/>
                <w:color w:val="FFFFFF" w:themeColor="background1"/>
                <w:sz w:val="20"/>
              </w:rPr>
            </w:pPr>
            <w:r w:rsidRPr="000E144F">
              <w:rPr>
                <w:b/>
                <w:color w:val="FFFFFF" w:themeColor="background1"/>
                <w:sz w:val="20"/>
              </w:rPr>
              <w:t>Option 1 – Voluntary Scheme</w:t>
            </w:r>
          </w:p>
        </w:tc>
        <w:tc>
          <w:tcPr>
            <w:tcW w:w="1515" w:type="dxa"/>
            <w:shd w:val="clear" w:color="auto" w:fill="1F497D" w:themeFill="text2"/>
          </w:tcPr>
          <w:p w:rsidR="00F268D2" w:rsidRPr="000E144F" w:rsidRDefault="00F268D2" w:rsidP="00B75744">
            <w:pPr>
              <w:pStyle w:val="BodyText"/>
              <w:spacing w:before="60" w:after="60"/>
              <w:jc w:val="right"/>
              <w:rPr>
                <w:b/>
                <w:color w:val="FFFFFF" w:themeColor="background1"/>
                <w:sz w:val="20"/>
              </w:rPr>
            </w:pPr>
            <w:r w:rsidRPr="000E144F">
              <w:rPr>
                <w:b/>
                <w:color w:val="FFFFFF" w:themeColor="background1"/>
                <w:sz w:val="20"/>
              </w:rPr>
              <w:t>Option 2 – Co-Regulatory Approach</w:t>
            </w:r>
          </w:p>
        </w:tc>
        <w:tc>
          <w:tcPr>
            <w:tcW w:w="1516" w:type="dxa"/>
            <w:shd w:val="clear" w:color="auto" w:fill="1F497D" w:themeFill="text2"/>
          </w:tcPr>
          <w:p w:rsidR="00F268D2" w:rsidRPr="000E144F" w:rsidRDefault="00F268D2" w:rsidP="00B75744">
            <w:pPr>
              <w:pStyle w:val="BodyText"/>
              <w:spacing w:before="60" w:after="60"/>
              <w:jc w:val="right"/>
              <w:rPr>
                <w:b/>
                <w:color w:val="FFFFFF" w:themeColor="background1"/>
                <w:sz w:val="20"/>
              </w:rPr>
            </w:pPr>
            <w:r w:rsidRPr="000E144F">
              <w:rPr>
                <w:b/>
                <w:color w:val="FFFFFF" w:themeColor="background1"/>
                <w:sz w:val="20"/>
              </w:rPr>
              <w:t>Option 3 – Mandatory Scheme</w:t>
            </w:r>
          </w:p>
        </w:tc>
      </w:tr>
      <w:tr w:rsidR="00F268D2" w:rsidRPr="000E144F" w:rsidTr="00676F5A">
        <w:tc>
          <w:tcPr>
            <w:tcW w:w="2660" w:type="dxa"/>
          </w:tcPr>
          <w:p w:rsidR="00F268D2" w:rsidRPr="00F268D2" w:rsidRDefault="00F268D2" w:rsidP="00B75744">
            <w:pPr>
              <w:pStyle w:val="BodyText"/>
              <w:spacing w:before="60" w:after="60"/>
              <w:jc w:val="left"/>
              <w:rPr>
                <w:sz w:val="20"/>
              </w:rPr>
            </w:pPr>
            <w:r w:rsidRPr="00F268D2">
              <w:rPr>
                <w:sz w:val="20"/>
              </w:rPr>
              <w:t>Retailer</w:t>
            </w:r>
          </w:p>
        </w:tc>
        <w:tc>
          <w:tcPr>
            <w:tcW w:w="1515" w:type="dxa"/>
          </w:tcPr>
          <w:p w:rsidR="00F268D2" w:rsidRPr="00F268D2" w:rsidRDefault="00F268D2" w:rsidP="00B75744">
            <w:pPr>
              <w:pStyle w:val="BodyText"/>
              <w:spacing w:before="60" w:after="60"/>
              <w:jc w:val="right"/>
              <w:rPr>
                <w:sz w:val="20"/>
              </w:rPr>
            </w:pPr>
            <w:r w:rsidRPr="00F268D2">
              <w:rPr>
                <w:sz w:val="20"/>
              </w:rPr>
              <w:t>30 per cent</w:t>
            </w:r>
          </w:p>
        </w:tc>
        <w:tc>
          <w:tcPr>
            <w:tcW w:w="1515" w:type="dxa"/>
            <w:vAlign w:val="center"/>
          </w:tcPr>
          <w:p w:rsidR="00F268D2" w:rsidRPr="00F268D2" w:rsidRDefault="00F268D2" w:rsidP="00B75744">
            <w:pPr>
              <w:pStyle w:val="BodyText"/>
              <w:spacing w:before="60" w:after="60"/>
              <w:jc w:val="right"/>
              <w:rPr>
                <w:sz w:val="20"/>
              </w:rPr>
            </w:pPr>
            <w:r w:rsidRPr="00F268D2">
              <w:rPr>
                <w:sz w:val="20"/>
              </w:rPr>
              <w:t>35 per cent</w:t>
            </w:r>
          </w:p>
        </w:tc>
        <w:tc>
          <w:tcPr>
            <w:tcW w:w="1515" w:type="dxa"/>
            <w:vAlign w:val="center"/>
          </w:tcPr>
          <w:p w:rsidR="00F268D2" w:rsidRPr="00F268D2" w:rsidRDefault="00F268D2" w:rsidP="00B75744">
            <w:pPr>
              <w:pStyle w:val="BodyText"/>
              <w:spacing w:before="60" w:after="60"/>
              <w:jc w:val="right"/>
              <w:rPr>
                <w:sz w:val="20"/>
              </w:rPr>
            </w:pPr>
            <w:r w:rsidRPr="00F268D2">
              <w:rPr>
                <w:sz w:val="20"/>
              </w:rPr>
              <w:t>35 per cent</w:t>
            </w:r>
          </w:p>
        </w:tc>
        <w:tc>
          <w:tcPr>
            <w:tcW w:w="1516" w:type="dxa"/>
            <w:vAlign w:val="center"/>
          </w:tcPr>
          <w:p w:rsidR="00F268D2" w:rsidRPr="00F268D2" w:rsidRDefault="00F268D2" w:rsidP="00B75744">
            <w:pPr>
              <w:pStyle w:val="BodyText"/>
              <w:spacing w:before="60" w:after="60"/>
              <w:jc w:val="right"/>
              <w:rPr>
                <w:sz w:val="20"/>
              </w:rPr>
            </w:pPr>
            <w:r w:rsidRPr="00F268D2">
              <w:rPr>
                <w:sz w:val="20"/>
              </w:rPr>
              <w:t>70 per cent</w:t>
            </w:r>
          </w:p>
        </w:tc>
      </w:tr>
      <w:tr w:rsidR="00F268D2" w:rsidRPr="000E144F" w:rsidTr="00676F5A">
        <w:tc>
          <w:tcPr>
            <w:tcW w:w="2660" w:type="dxa"/>
          </w:tcPr>
          <w:p w:rsidR="00F268D2" w:rsidRPr="00F268D2" w:rsidRDefault="00F268D2" w:rsidP="00B75744">
            <w:pPr>
              <w:pStyle w:val="BodyText"/>
              <w:spacing w:before="60" w:after="60"/>
              <w:jc w:val="left"/>
              <w:rPr>
                <w:sz w:val="20"/>
              </w:rPr>
            </w:pPr>
            <w:r w:rsidRPr="00F268D2">
              <w:rPr>
                <w:sz w:val="20"/>
              </w:rPr>
              <w:t>Kerbside</w:t>
            </w:r>
            <w:r w:rsidR="00676F5A">
              <w:rPr>
                <w:sz w:val="20"/>
              </w:rPr>
              <w:t>/Booked Collections</w:t>
            </w:r>
          </w:p>
        </w:tc>
        <w:tc>
          <w:tcPr>
            <w:tcW w:w="1515" w:type="dxa"/>
          </w:tcPr>
          <w:p w:rsidR="00F268D2" w:rsidRPr="00F268D2" w:rsidRDefault="00F268D2" w:rsidP="00B75744">
            <w:pPr>
              <w:pStyle w:val="BodyText"/>
              <w:spacing w:before="60" w:after="60"/>
              <w:jc w:val="right"/>
              <w:rPr>
                <w:sz w:val="20"/>
              </w:rPr>
            </w:pPr>
            <w:r w:rsidRPr="00F268D2">
              <w:rPr>
                <w:sz w:val="20"/>
              </w:rPr>
              <w:t>60 per cent</w:t>
            </w:r>
          </w:p>
        </w:tc>
        <w:tc>
          <w:tcPr>
            <w:tcW w:w="1515" w:type="dxa"/>
            <w:vAlign w:val="center"/>
          </w:tcPr>
          <w:p w:rsidR="00F268D2" w:rsidRPr="00F268D2" w:rsidRDefault="00F268D2" w:rsidP="00B75744">
            <w:pPr>
              <w:pStyle w:val="BodyText"/>
              <w:spacing w:before="60" w:after="60"/>
              <w:jc w:val="right"/>
              <w:rPr>
                <w:sz w:val="20"/>
              </w:rPr>
            </w:pPr>
            <w:r w:rsidRPr="00F268D2">
              <w:rPr>
                <w:sz w:val="20"/>
              </w:rPr>
              <w:t>55 per cent</w:t>
            </w:r>
          </w:p>
        </w:tc>
        <w:tc>
          <w:tcPr>
            <w:tcW w:w="1515" w:type="dxa"/>
            <w:vAlign w:val="center"/>
          </w:tcPr>
          <w:p w:rsidR="00F268D2" w:rsidRPr="00F268D2" w:rsidRDefault="00F268D2" w:rsidP="00B75744">
            <w:pPr>
              <w:pStyle w:val="BodyText"/>
              <w:spacing w:before="60" w:after="60"/>
              <w:jc w:val="right"/>
              <w:rPr>
                <w:sz w:val="20"/>
              </w:rPr>
            </w:pPr>
            <w:r w:rsidRPr="00F268D2">
              <w:rPr>
                <w:sz w:val="20"/>
              </w:rPr>
              <w:t>55 per cent</w:t>
            </w:r>
          </w:p>
        </w:tc>
        <w:tc>
          <w:tcPr>
            <w:tcW w:w="1516" w:type="dxa"/>
            <w:vAlign w:val="center"/>
          </w:tcPr>
          <w:p w:rsidR="00F268D2" w:rsidRPr="00F268D2" w:rsidRDefault="00F268D2" w:rsidP="00B75744">
            <w:pPr>
              <w:pStyle w:val="BodyText"/>
              <w:spacing w:before="60" w:after="60"/>
              <w:jc w:val="right"/>
              <w:rPr>
                <w:sz w:val="20"/>
              </w:rPr>
            </w:pPr>
            <w:r w:rsidRPr="00F268D2">
              <w:rPr>
                <w:sz w:val="20"/>
              </w:rPr>
              <w:t>20 per cent</w:t>
            </w:r>
          </w:p>
        </w:tc>
      </w:tr>
      <w:tr w:rsidR="00F268D2" w:rsidRPr="000E144F" w:rsidTr="00676F5A">
        <w:tc>
          <w:tcPr>
            <w:tcW w:w="2660" w:type="dxa"/>
          </w:tcPr>
          <w:p w:rsidR="00F268D2" w:rsidRPr="00F268D2" w:rsidRDefault="00F268D2" w:rsidP="00305FA1">
            <w:pPr>
              <w:pStyle w:val="BodyText"/>
              <w:numPr>
                <w:ilvl w:val="0"/>
                <w:numId w:val="16"/>
              </w:numPr>
              <w:spacing w:before="60" w:after="60"/>
              <w:jc w:val="left"/>
              <w:rPr>
                <w:sz w:val="20"/>
              </w:rPr>
            </w:pPr>
            <w:r w:rsidRPr="00F268D2">
              <w:rPr>
                <w:sz w:val="20"/>
              </w:rPr>
              <w:t>Scavengers</w:t>
            </w:r>
          </w:p>
        </w:tc>
        <w:tc>
          <w:tcPr>
            <w:tcW w:w="1515" w:type="dxa"/>
          </w:tcPr>
          <w:p w:rsidR="00F268D2" w:rsidRPr="00F268D2" w:rsidRDefault="00F268D2" w:rsidP="00B75744">
            <w:pPr>
              <w:pStyle w:val="BodyText"/>
              <w:spacing w:before="60" w:after="60"/>
              <w:jc w:val="right"/>
              <w:rPr>
                <w:sz w:val="20"/>
              </w:rPr>
            </w:pPr>
            <w:r w:rsidRPr="00F268D2">
              <w:rPr>
                <w:sz w:val="20"/>
              </w:rPr>
              <w:t>30 per cent</w:t>
            </w:r>
          </w:p>
        </w:tc>
        <w:tc>
          <w:tcPr>
            <w:tcW w:w="1515" w:type="dxa"/>
            <w:vAlign w:val="center"/>
          </w:tcPr>
          <w:p w:rsidR="00F268D2" w:rsidRPr="00F268D2" w:rsidRDefault="00F268D2" w:rsidP="00B75744">
            <w:pPr>
              <w:pStyle w:val="BodyText"/>
              <w:spacing w:before="60" w:after="60"/>
              <w:jc w:val="right"/>
              <w:rPr>
                <w:sz w:val="20"/>
              </w:rPr>
            </w:pPr>
            <w:r w:rsidRPr="00F268D2">
              <w:rPr>
                <w:sz w:val="20"/>
              </w:rPr>
              <w:t>25 per cent</w:t>
            </w:r>
          </w:p>
        </w:tc>
        <w:tc>
          <w:tcPr>
            <w:tcW w:w="1515" w:type="dxa"/>
            <w:vAlign w:val="center"/>
          </w:tcPr>
          <w:p w:rsidR="00F268D2" w:rsidRPr="00F268D2" w:rsidRDefault="00F268D2" w:rsidP="00B75744">
            <w:pPr>
              <w:pStyle w:val="BodyText"/>
              <w:spacing w:before="60" w:after="60"/>
              <w:jc w:val="right"/>
              <w:rPr>
                <w:sz w:val="20"/>
              </w:rPr>
            </w:pPr>
            <w:r w:rsidRPr="00F268D2">
              <w:rPr>
                <w:sz w:val="20"/>
              </w:rPr>
              <w:t>25 per cent</w:t>
            </w:r>
          </w:p>
        </w:tc>
        <w:tc>
          <w:tcPr>
            <w:tcW w:w="1516" w:type="dxa"/>
            <w:vAlign w:val="center"/>
          </w:tcPr>
          <w:p w:rsidR="00F268D2" w:rsidRPr="00F268D2" w:rsidRDefault="00F268D2" w:rsidP="00B75744">
            <w:pPr>
              <w:pStyle w:val="BodyText"/>
              <w:spacing w:before="60" w:after="60"/>
              <w:jc w:val="right"/>
              <w:rPr>
                <w:sz w:val="20"/>
              </w:rPr>
            </w:pPr>
            <w:r w:rsidRPr="00F268D2">
              <w:rPr>
                <w:sz w:val="20"/>
              </w:rPr>
              <w:t>10 per cent</w:t>
            </w:r>
          </w:p>
        </w:tc>
      </w:tr>
      <w:tr w:rsidR="00F268D2" w:rsidRPr="000E144F" w:rsidTr="00676F5A">
        <w:tc>
          <w:tcPr>
            <w:tcW w:w="2660" w:type="dxa"/>
          </w:tcPr>
          <w:p w:rsidR="00F268D2" w:rsidRPr="00F268D2" w:rsidRDefault="00F268D2" w:rsidP="00305FA1">
            <w:pPr>
              <w:pStyle w:val="BodyText"/>
              <w:numPr>
                <w:ilvl w:val="0"/>
                <w:numId w:val="16"/>
              </w:numPr>
              <w:spacing w:before="60" w:after="60"/>
              <w:jc w:val="left"/>
              <w:rPr>
                <w:sz w:val="20"/>
              </w:rPr>
            </w:pPr>
            <w:r w:rsidRPr="00F268D2">
              <w:rPr>
                <w:sz w:val="20"/>
              </w:rPr>
              <w:t>Local Councils</w:t>
            </w:r>
          </w:p>
        </w:tc>
        <w:tc>
          <w:tcPr>
            <w:tcW w:w="1515" w:type="dxa"/>
          </w:tcPr>
          <w:p w:rsidR="00F268D2" w:rsidRPr="00F268D2" w:rsidRDefault="00F268D2" w:rsidP="00B75744">
            <w:pPr>
              <w:pStyle w:val="BodyText"/>
              <w:spacing w:before="60" w:after="60"/>
              <w:jc w:val="right"/>
              <w:rPr>
                <w:sz w:val="20"/>
              </w:rPr>
            </w:pPr>
            <w:r w:rsidRPr="00F268D2">
              <w:rPr>
                <w:sz w:val="20"/>
              </w:rPr>
              <w:t>30 per cent</w:t>
            </w:r>
          </w:p>
        </w:tc>
        <w:tc>
          <w:tcPr>
            <w:tcW w:w="1515" w:type="dxa"/>
            <w:vAlign w:val="center"/>
          </w:tcPr>
          <w:p w:rsidR="00F268D2" w:rsidRPr="00F268D2" w:rsidRDefault="00F268D2" w:rsidP="00B75744">
            <w:pPr>
              <w:pStyle w:val="BodyText"/>
              <w:spacing w:before="60" w:after="60"/>
              <w:jc w:val="right"/>
              <w:rPr>
                <w:sz w:val="20"/>
              </w:rPr>
            </w:pPr>
            <w:r w:rsidRPr="00F268D2">
              <w:rPr>
                <w:sz w:val="20"/>
              </w:rPr>
              <w:t>30 per cent</w:t>
            </w:r>
          </w:p>
        </w:tc>
        <w:tc>
          <w:tcPr>
            <w:tcW w:w="1515" w:type="dxa"/>
            <w:vAlign w:val="center"/>
          </w:tcPr>
          <w:p w:rsidR="00F268D2" w:rsidRPr="00F268D2" w:rsidRDefault="00F268D2" w:rsidP="00B75744">
            <w:pPr>
              <w:pStyle w:val="BodyText"/>
              <w:spacing w:before="60" w:after="60"/>
              <w:jc w:val="right"/>
              <w:rPr>
                <w:sz w:val="20"/>
              </w:rPr>
            </w:pPr>
            <w:r w:rsidRPr="00F268D2">
              <w:rPr>
                <w:sz w:val="20"/>
              </w:rPr>
              <w:t>30 per cent</w:t>
            </w:r>
          </w:p>
        </w:tc>
        <w:tc>
          <w:tcPr>
            <w:tcW w:w="1516" w:type="dxa"/>
            <w:vAlign w:val="center"/>
          </w:tcPr>
          <w:p w:rsidR="00F268D2" w:rsidRPr="00F268D2" w:rsidRDefault="00F268D2" w:rsidP="00B75744">
            <w:pPr>
              <w:pStyle w:val="BodyText"/>
              <w:spacing w:before="60" w:after="60"/>
              <w:jc w:val="right"/>
              <w:rPr>
                <w:sz w:val="20"/>
              </w:rPr>
            </w:pPr>
            <w:r w:rsidRPr="00F268D2">
              <w:rPr>
                <w:sz w:val="20"/>
              </w:rPr>
              <w:t>10 per cent</w:t>
            </w:r>
          </w:p>
        </w:tc>
      </w:tr>
      <w:tr w:rsidR="00F268D2" w:rsidRPr="000E144F" w:rsidTr="00676F5A">
        <w:tc>
          <w:tcPr>
            <w:tcW w:w="2660" w:type="dxa"/>
          </w:tcPr>
          <w:p w:rsidR="00F268D2" w:rsidRPr="00F268D2" w:rsidRDefault="00F268D2" w:rsidP="00F268D2">
            <w:pPr>
              <w:pStyle w:val="BodyText"/>
              <w:spacing w:before="60" w:after="60"/>
              <w:jc w:val="left"/>
              <w:rPr>
                <w:sz w:val="20"/>
              </w:rPr>
            </w:pPr>
            <w:r w:rsidRPr="00F268D2">
              <w:rPr>
                <w:sz w:val="20"/>
              </w:rPr>
              <w:t>Other</w:t>
            </w:r>
          </w:p>
        </w:tc>
        <w:tc>
          <w:tcPr>
            <w:tcW w:w="1515" w:type="dxa"/>
          </w:tcPr>
          <w:p w:rsidR="00F268D2" w:rsidRPr="00F268D2" w:rsidRDefault="00F268D2" w:rsidP="00B75744">
            <w:pPr>
              <w:pStyle w:val="BodyText"/>
              <w:spacing w:before="60" w:after="60"/>
              <w:jc w:val="right"/>
              <w:rPr>
                <w:sz w:val="20"/>
              </w:rPr>
            </w:pPr>
            <w:r w:rsidRPr="00F268D2">
              <w:rPr>
                <w:sz w:val="20"/>
              </w:rPr>
              <w:t>10 per cent</w:t>
            </w:r>
          </w:p>
        </w:tc>
        <w:tc>
          <w:tcPr>
            <w:tcW w:w="1515" w:type="dxa"/>
            <w:vAlign w:val="center"/>
          </w:tcPr>
          <w:p w:rsidR="00F268D2" w:rsidRPr="00F268D2" w:rsidRDefault="00F268D2" w:rsidP="00B75744">
            <w:pPr>
              <w:pStyle w:val="BodyText"/>
              <w:spacing w:before="60" w:after="60"/>
              <w:jc w:val="right"/>
              <w:rPr>
                <w:sz w:val="20"/>
              </w:rPr>
            </w:pPr>
            <w:r w:rsidRPr="00F268D2">
              <w:rPr>
                <w:sz w:val="20"/>
              </w:rPr>
              <w:t>10 per cent</w:t>
            </w:r>
          </w:p>
        </w:tc>
        <w:tc>
          <w:tcPr>
            <w:tcW w:w="1515" w:type="dxa"/>
            <w:vAlign w:val="center"/>
          </w:tcPr>
          <w:p w:rsidR="00F268D2" w:rsidRPr="00F268D2" w:rsidRDefault="00F268D2" w:rsidP="00B75744">
            <w:pPr>
              <w:pStyle w:val="BodyText"/>
              <w:spacing w:before="60" w:after="60"/>
              <w:jc w:val="right"/>
              <w:rPr>
                <w:sz w:val="20"/>
              </w:rPr>
            </w:pPr>
            <w:r w:rsidRPr="00F268D2">
              <w:rPr>
                <w:sz w:val="20"/>
              </w:rPr>
              <w:t>10 per cent</w:t>
            </w:r>
          </w:p>
        </w:tc>
        <w:tc>
          <w:tcPr>
            <w:tcW w:w="1516" w:type="dxa"/>
            <w:vAlign w:val="center"/>
          </w:tcPr>
          <w:p w:rsidR="00F268D2" w:rsidRPr="00F268D2" w:rsidRDefault="00F268D2" w:rsidP="00B75744">
            <w:pPr>
              <w:pStyle w:val="BodyText"/>
              <w:spacing w:before="60" w:after="60"/>
              <w:jc w:val="right"/>
              <w:rPr>
                <w:sz w:val="20"/>
              </w:rPr>
            </w:pPr>
            <w:r w:rsidRPr="00F268D2">
              <w:rPr>
                <w:sz w:val="20"/>
              </w:rPr>
              <w:t>10 per cent</w:t>
            </w:r>
          </w:p>
        </w:tc>
      </w:tr>
      <w:tr w:rsidR="00F268D2" w:rsidRPr="000E144F" w:rsidTr="00676F5A">
        <w:tc>
          <w:tcPr>
            <w:tcW w:w="2660" w:type="dxa"/>
          </w:tcPr>
          <w:p w:rsidR="00F268D2" w:rsidRPr="00F268D2" w:rsidRDefault="00F268D2" w:rsidP="00F268D2">
            <w:pPr>
              <w:pStyle w:val="BodyText"/>
              <w:spacing w:before="60" w:after="60"/>
              <w:jc w:val="left"/>
              <w:rPr>
                <w:sz w:val="20"/>
              </w:rPr>
            </w:pPr>
            <w:r w:rsidRPr="00F268D2">
              <w:rPr>
                <w:sz w:val="20"/>
              </w:rPr>
              <w:t>Landfill</w:t>
            </w:r>
          </w:p>
        </w:tc>
        <w:tc>
          <w:tcPr>
            <w:tcW w:w="1515" w:type="dxa"/>
          </w:tcPr>
          <w:p w:rsidR="00F268D2" w:rsidRPr="00F268D2" w:rsidRDefault="00F268D2" w:rsidP="00B75744">
            <w:pPr>
              <w:pStyle w:val="BodyText"/>
              <w:spacing w:before="60" w:after="60"/>
              <w:jc w:val="right"/>
              <w:rPr>
                <w:sz w:val="20"/>
              </w:rPr>
            </w:pPr>
            <w:r w:rsidRPr="00F268D2">
              <w:rPr>
                <w:sz w:val="20"/>
              </w:rPr>
              <w:t>100 per cent</w:t>
            </w:r>
          </w:p>
        </w:tc>
        <w:tc>
          <w:tcPr>
            <w:tcW w:w="1515" w:type="dxa"/>
            <w:vAlign w:val="center"/>
          </w:tcPr>
          <w:p w:rsidR="00F268D2" w:rsidRPr="00F268D2" w:rsidRDefault="00F268D2" w:rsidP="00B75744">
            <w:pPr>
              <w:pStyle w:val="BodyText"/>
              <w:spacing w:before="60" w:after="60"/>
              <w:jc w:val="right"/>
              <w:rPr>
                <w:sz w:val="20"/>
              </w:rPr>
            </w:pPr>
            <w:r w:rsidRPr="00F268D2">
              <w:rPr>
                <w:sz w:val="20"/>
              </w:rPr>
              <w:t>92.5 per cent</w:t>
            </w:r>
          </w:p>
        </w:tc>
        <w:tc>
          <w:tcPr>
            <w:tcW w:w="1515" w:type="dxa"/>
            <w:vAlign w:val="center"/>
          </w:tcPr>
          <w:p w:rsidR="00F268D2" w:rsidRPr="00F268D2" w:rsidRDefault="00F268D2" w:rsidP="00B75744">
            <w:pPr>
              <w:pStyle w:val="BodyText"/>
              <w:spacing w:before="60" w:after="60"/>
              <w:jc w:val="right"/>
              <w:rPr>
                <w:sz w:val="20"/>
              </w:rPr>
            </w:pPr>
            <w:r w:rsidRPr="00F268D2">
              <w:rPr>
                <w:sz w:val="20"/>
              </w:rPr>
              <w:t>70-85 per cent</w:t>
            </w:r>
          </w:p>
        </w:tc>
        <w:tc>
          <w:tcPr>
            <w:tcW w:w="1516" w:type="dxa"/>
            <w:vAlign w:val="center"/>
          </w:tcPr>
          <w:p w:rsidR="00F268D2" w:rsidRPr="00F268D2" w:rsidRDefault="00F268D2" w:rsidP="00B75744">
            <w:pPr>
              <w:pStyle w:val="BodyText"/>
              <w:spacing w:before="60" w:after="60"/>
              <w:jc w:val="right"/>
              <w:rPr>
                <w:sz w:val="20"/>
              </w:rPr>
            </w:pPr>
            <w:r w:rsidRPr="00F268D2">
              <w:rPr>
                <w:sz w:val="20"/>
              </w:rPr>
              <w:t>30 per cent</w:t>
            </w:r>
          </w:p>
        </w:tc>
      </w:tr>
      <w:tr w:rsidR="00F268D2" w:rsidRPr="000E144F" w:rsidTr="00676F5A">
        <w:tc>
          <w:tcPr>
            <w:tcW w:w="2660" w:type="dxa"/>
          </w:tcPr>
          <w:p w:rsidR="00F268D2" w:rsidRPr="00F268D2" w:rsidRDefault="00F268D2" w:rsidP="00F268D2">
            <w:pPr>
              <w:pStyle w:val="BodyText"/>
              <w:spacing w:before="60" w:after="60"/>
              <w:jc w:val="left"/>
              <w:rPr>
                <w:sz w:val="20"/>
              </w:rPr>
            </w:pPr>
            <w:r w:rsidRPr="00F268D2">
              <w:rPr>
                <w:sz w:val="20"/>
              </w:rPr>
              <w:t>Plastic Re-use</w:t>
            </w:r>
          </w:p>
        </w:tc>
        <w:tc>
          <w:tcPr>
            <w:tcW w:w="1515" w:type="dxa"/>
          </w:tcPr>
          <w:p w:rsidR="00F268D2" w:rsidRPr="00F268D2" w:rsidRDefault="00F268D2" w:rsidP="00B75744">
            <w:pPr>
              <w:pStyle w:val="BodyText"/>
              <w:spacing w:before="60" w:after="60"/>
              <w:jc w:val="right"/>
              <w:rPr>
                <w:sz w:val="20"/>
              </w:rPr>
            </w:pPr>
            <w:r w:rsidRPr="00F268D2">
              <w:rPr>
                <w:sz w:val="20"/>
              </w:rPr>
              <w:t>0 per cent</w:t>
            </w:r>
          </w:p>
        </w:tc>
        <w:tc>
          <w:tcPr>
            <w:tcW w:w="1515" w:type="dxa"/>
            <w:vAlign w:val="center"/>
          </w:tcPr>
          <w:p w:rsidR="00F268D2" w:rsidRPr="00F268D2" w:rsidRDefault="00F268D2" w:rsidP="00B75744">
            <w:pPr>
              <w:pStyle w:val="BodyText"/>
              <w:spacing w:before="60" w:after="60"/>
              <w:jc w:val="right"/>
              <w:rPr>
                <w:sz w:val="20"/>
              </w:rPr>
            </w:pPr>
            <w:r w:rsidRPr="00F268D2">
              <w:rPr>
                <w:sz w:val="20"/>
              </w:rPr>
              <w:t>7.5 per cent</w:t>
            </w:r>
          </w:p>
        </w:tc>
        <w:tc>
          <w:tcPr>
            <w:tcW w:w="1515" w:type="dxa"/>
            <w:vAlign w:val="center"/>
          </w:tcPr>
          <w:p w:rsidR="00F268D2" w:rsidRPr="00F268D2" w:rsidRDefault="00F268D2" w:rsidP="00B75744">
            <w:pPr>
              <w:pStyle w:val="BodyText"/>
              <w:spacing w:before="60" w:after="60"/>
              <w:jc w:val="right"/>
              <w:rPr>
                <w:sz w:val="20"/>
              </w:rPr>
            </w:pPr>
            <w:r w:rsidRPr="00F268D2">
              <w:rPr>
                <w:sz w:val="20"/>
              </w:rPr>
              <w:t>15-30 per cent</w:t>
            </w:r>
          </w:p>
        </w:tc>
        <w:tc>
          <w:tcPr>
            <w:tcW w:w="1516" w:type="dxa"/>
            <w:vAlign w:val="center"/>
          </w:tcPr>
          <w:p w:rsidR="00F268D2" w:rsidRPr="00F268D2" w:rsidRDefault="00F268D2" w:rsidP="00B75744">
            <w:pPr>
              <w:pStyle w:val="BodyText"/>
              <w:spacing w:before="60" w:after="60"/>
              <w:jc w:val="right"/>
              <w:rPr>
                <w:sz w:val="20"/>
              </w:rPr>
            </w:pPr>
            <w:r w:rsidRPr="00F268D2">
              <w:rPr>
                <w:sz w:val="20"/>
              </w:rPr>
              <w:t>70 per cent</w:t>
            </w:r>
          </w:p>
        </w:tc>
      </w:tr>
      <w:tr w:rsidR="00F268D2" w:rsidRPr="000E144F" w:rsidTr="00676F5A">
        <w:tc>
          <w:tcPr>
            <w:tcW w:w="2660" w:type="dxa"/>
          </w:tcPr>
          <w:p w:rsidR="00F268D2" w:rsidRPr="00F268D2" w:rsidRDefault="00F268D2" w:rsidP="00F268D2">
            <w:pPr>
              <w:pStyle w:val="BodyText"/>
              <w:spacing w:before="60" w:after="60"/>
              <w:jc w:val="left"/>
              <w:rPr>
                <w:sz w:val="20"/>
              </w:rPr>
            </w:pPr>
            <w:r w:rsidRPr="00F268D2">
              <w:rPr>
                <w:sz w:val="20"/>
              </w:rPr>
              <w:t>Metals Sold</w:t>
            </w:r>
          </w:p>
        </w:tc>
        <w:tc>
          <w:tcPr>
            <w:tcW w:w="1515" w:type="dxa"/>
          </w:tcPr>
          <w:p w:rsidR="00F268D2" w:rsidRPr="00F268D2" w:rsidRDefault="00F268D2" w:rsidP="00B75744">
            <w:pPr>
              <w:pStyle w:val="BodyText"/>
              <w:spacing w:before="60" w:after="60"/>
              <w:jc w:val="right"/>
              <w:rPr>
                <w:sz w:val="20"/>
              </w:rPr>
            </w:pPr>
            <w:r w:rsidRPr="00F268D2">
              <w:rPr>
                <w:sz w:val="20"/>
              </w:rPr>
              <w:t>90 per cent</w:t>
            </w:r>
          </w:p>
        </w:tc>
        <w:tc>
          <w:tcPr>
            <w:tcW w:w="1515" w:type="dxa"/>
            <w:vAlign w:val="center"/>
          </w:tcPr>
          <w:p w:rsidR="00F268D2" w:rsidRPr="00F268D2" w:rsidRDefault="00F268D2" w:rsidP="00B75744">
            <w:pPr>
              <w:pStyle w:val="BodyText"/>
              <w:spacing w:before="60" w:after="60"/>
              <w:jc w:val="right"/>
              <w:rPr>
                <w:sz w:val="20"/>
              </w:rPr>
            </w:pPr>
            <w:r w:rsidRPr="00F268D2">
              <w:rPr>
                <w:sz w:val="20"/>
              </w:rPr>
              <w:t>90 per cent</w:t>
            </w:r>
          </w:p>
        </w:tc>
        <w:tc>
          <w:tcPr>
            <w:tcW w:w="1515" w:type="dxa"/>
            <w:vAlign w:val="center"/>
          </w:tcPr>
          <w:p w:rsidR="00F268D2" w:rsidRPr="00F268D2" w:rsidRDefault="00F268D2" w:rsidP="00B75744">
            <w:pPr>
              <w:pStyle w:val="BodyText"/>
              <w:spacing w:before="60" w:after="60"/>
              <w:jc w:val="right"/>
              <w:rPr>
                <w:sz w:val="20"/>
              </w:rPr>
            </w:pPr>
            <w:r w:rsidRPr="00F268D2">
              <w:rPr>
                <w:sz w:val="20"/>
              </w:rPr>
              <w:t>90 per cent</w:t>
            </w:r>
          </w:p>
        </w:tc>
        <w:tc>
          <w:tcPr>
            <w:tcW w:w="1516" w:type="dxa"/>
            <w:vAlign w:val="center"/>
          </w:tcPr>
          <w:p w:rsidR="00F268D2" w:rsidRPr="00F268D2" w:rsidRDefault="00F268D2" w:rsidP="00B75744">
            <w:pPr>
              <w:pStyle w:val="BodyText"/>
              <w:spacing w:before="60" w:after="60"/>
              <w:jc w:val="right"/>
              <w:rPr>
                <w:sz w:val="20"/>
              </w:rPr>
            </w:pPr>
            <w:r w:rsidRPr="00F268D2">
              <w:rPr>
                <w:sz w:val="20"/>
              </w:rPr>
              <w:t>90 per cent</w:t>
            </w:r>
          </w:p>
        </w:tc>
      </w:tr>
      <w:tr w:rsidR="00F268D2" w:rsidRPr="000E144F" w:rsidTr="00676F5A">
        <w:tc>
          <w:tcPr>
            <w:tcW w:w="2660" w:type="dxa"/>
          </w:tcPr>
          <w:p w:rsidR="00F268D2" w:rsidRPr="00F268D2" w:rsidRDefault="00F268D2" w:rsidP="00F268D2">
            <w:pPr>
              <w:pStyle w:val="BodyText"/>
              <w:spacing w:before="60" w:after="60"/>
              <w:jc w:val="left"/>
              <w:rPr>
                <w:sz w:val="20"/>
              </w:rPr>
            </w:pPr>
            <w:r w:rsidRPr="00F268D2">
              <w:rPr>
                <w:sz w:val="20"/>
              </w:rPr>
              <w:t>Collected Refrigerant</w:t>
            </w:r>
          </w:p>
        </w:tc>
        <w:tc>
          <w:tcPr>
            <w:tcW w:w="1515" w:type="dxa"/>
          </w:tcPr>
          <w:p w:rsidR="00F268D2" w:rsidRPr="00F268D2" w:rsidRDefault="00F268D2" w:rsidP="00B75744">
            <w:pPr>
              <w:pStyle w:val="BodyText"/>
              <w:spacing w:before="60" w:after="60"/>
              <w:jc w:val="right"/>
              <w:rPr>
                <w:sz w:val="20"/>
              </w:rPr>
            </w:pPr>
            <w:r w:rsidRPr="00F268D2">
              <w:rPr>
                <w:sz w:val="20"/>
              </w:rPr>
              <w:t>30-40 per cent</w:t>
            </w:r>
          </w:p>
        </w:tc>
        <w:tc>
          <w:tcPr>
            <w:tcW w:w="1515" w:type="dxa"/>
            <w:vAlign w:val="center"/>
          </w:tcPr>
          <w:p w:rsidR="00F268D2" w:rsidRPr="00F268D2" w:rsidRDefault="00F268D2" w:rsidP="00B75744">
            <w:pPr>
              <w:pStyle w:val="BodyText"/>
              <w:spacing w:before="60" w:after="60"/>
              <w:jc w:val="right"/>
              <w:rPr>
                <w:sz w:val="20"/>
              </w:rPr>
            </w:pPr>
            <w:r w:rsidRPr="00F268D2">
              <w:rPr>
                <w:sz w:val="20"/>
              </w:rPr>
              <w:t>35-45 per cent</w:t>
            </w:r>
          </w:p>
        </w:tc>
        <w:tc>
          <w:tcPr>
            <w:tcW w:w="1515" w:type="dxa"/>
            <w:vAlign w:val="center"/>
          </w:tcPr>
          <w:p w:rsidR="00F268D2" w:rsidRPr="00F268D2" w:rsidRDefault="00F268D2" w:rsidP="00B75744">
            <w:pPr>
              <w:pStyle w:val="BodyText"/>
              <w:spacing w:before="60" w:after="60"/>
              <w:jc w:val="right"/>
              <w:rPr>
                <w:sz w:val="20"/>
              </w:rPr>
            </w:pPr>
            <w:r w:rsidRPr="00F268D2">
              <w:rPr>
                <w:sz w:val="20"/>
              </w:rPr>
              <w:t>35-45 per cent</w:t>
            </w:r>
          </w:p>
        </w:tc>
        <w:tc>
          <w:tcPr>
            <w:tcW w:w="1516" w:type="dxa"/>
            <w:vAlign w:val="center"/>
          </w:tcPr>
          <w:p w:rsidR="00F268D2" w:rsidRPr="00F268D2" w:rsidRDefault="00F268D2" w:rsidP="00B75744">
            <w:pPr>
              <w:pStyle w:val="BodyText"/>
              <w:spacing w:before="60" w:after="60"/>
              <w:jc w:val="right"/>
              <w:rPr>
                <w:sz w:val="20"/>
              </w:rPr>
            </w:pPr>
            <w:r w:rsidRPr="00F268D2">
              <w:rPr>
                <w:sz w:val="20"/>
              </w:rPr>
              <w:t>70 per cent</w:t>
            </w:r>
          </w:p>
        </w:tc>
      </w:tr>
    </w:tbl>
    <w:p w:rsidR="00F268D2" w:rsidRDefault="00F268D2" w:rsidP="00F268D2">
      <w:pPr>
        <w:pStyle w:val="Source"/>
      </w:pPr>
      <w:r>
        <w:t>Source: Department of the Environment</w:t>
      </w:r>
    </w:p>
    <w:p w:rsidR="0081406E" w:rsidRDefault="000E1FD9">
      <w:pPr>
        <w:pStyle w:val="Heading1"/>
        <w:numPr>
          <w:ilvl w:val="0"/>
          <w:numId w:val="0"/>
        </w:numPr>
      </w:pPr>
      <w:bookmarkStart w:id="101" w:name="_Toc403647598"/>
      <w:r>
        <w:lastRenderedPageBreak/>
        <w:t>Appendix C – Assumptions and Parameter Values</w:t>
      </w:r>
      <w:bookmarkEnd w:id="101"/>
    </w:p>
    <w:p w:rsidR="0081406E" w:rsidRDefault="00884D9F" w:rsidP="0016103D">
      <w:pPr>
        <w:pStyle w:val="Heading3"/>
        <w:numPr>
          <w:ilvl w:val="0"/>
          <w:numId w:val="0"/>
        </w:numPr>
      </w:pPr>
      <w:r>
        <w:t>Compliance Costs</w:t>
      </w:r>
    </w:p>
    <w:p w:rsidR="00A516EB" w:rsidRDefault="00A516EB">
      <w:pPr>
        <w:pStyle w:val="BodyText"/>
      </w:pPr>
    </w:p>
    <w:p w:rsidR="00A516EB" w:rsidRDefault="00884D9F">
      <w:pPr>
        <w:pStyle w:val="Caption"/>
      </w:pPr>
      <w:r>
        <w:t xml:space="preserve">Appendix Table C </w:t>
      </w:r>
      <w:r w:rsidR="00586F30">
        <w:fldChar w:fldCharType="begin"/>
      </w:r>
      <w:r>
        <w:instrText xml:space="preserve"> SEQ Appendix_Table_C \* ARABIC </w:instrText>
      </w:r>
      <w:r w:rsidR="00586F30">
        <w:fldChar w:fldCharType="separate"/>
      </w:r>
      <w:r w:rsidR="001E5D7A">
        <w:rPr>
          <w:noProof/>
        </w:rPr>
        <w:t>1</w:t>
      </w:r>
      <w:r w:rsidR="00586F30">
        <w:fldChar w:fldCharType="end"/>
      </w:r>
      <w:r>
        <w:t>: Government costs of compliance ($2014), Option 1</w:t>
      </w:r>
    </w:p>
    <w:tbl>
      <w:tblPr>
        <w:tblStyle w:val="TableGrid"/>
        <w:tblW w:w="8613"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tblPr>
      <w:tblGrid>
        <w:gridCol w:w="2871"/>
        <w:gridCol w:w="2871"/>
        <w:gridCol w:w="2871"/>
      </w:tblGrid>
      <w:tr w:rsidR="007500A5" w:rsidRPr="00C8251D" w:rsidTr="00884D9F">
        <w:tc>
          <w:tcPr>
            <w:tcW w:w="2871" w:type="dxa"/>
            <w:shd w:val="clear" w:color="auto" w:fill="1F497D" w:themeFill="text2"/>
          </w:tcPr>
          <w:p w:rsidR="0081406E" w:rsidRPr="00013197" w:rsidRDefault="00E10441" w:rsidP="00013197">
            <w:pPr>
              <w:pStyle w:val="BodyText"/>
              <w:rPr>
                <w:b/>
                <w:color w:val="FFFFFF" w:themeColor="background1"/>
              </w:rPr>
            </w:pPr>
            <w:r w:rsidRPr="00013197">
              <w:rPr>
                <w:b/>
                <w:color w:val="FFFFFF" w:themeColor="background1"/>
              </w:rPr>
              <w:t>Description</w:t>
            </w:r>
          </w:p>
        </w:tc>
        <w:tc>
          <w:tcPr>
            <w:tcW w:w="2871" w:type="dxa"/>
            <w:shd w:val="clear" w:color="auto" w:fill="1F497D" w:themeFill="text2"/>
            <w:vAlign w:val="center"/>
          </w:tcPr>
          <w:p w:rsidR="0081406E" w:rsidRPr="00013197" w:rsidRDefault="00E10441" w:rsidP="00013197">
            <w:pPr>
              <w:pStyle w:val="BodyText"/>
              <w:jc w:val="right"/>
              <w:rPr>
                <w:b/>
                <w:color w:val="FFFFFF" w:themeColor="background1"/>
              </w:rPr>
            </w:pPr>
            <w:r w:rsidRPr="00013197">
              <w:rPr>
                <w:b/>
                <w:color w:val="FFFFFF" w:themeColor="background1"/>
              </w:rPr>
              <w:t>Type of cost</w:t>
            </w:r>
          </w:p>
        </w:tc>
        <w:tc>
          <w:tcPr>
            <w:tcW w:w="2871" w:type="dxa"/>
            <w:shd w:val="clear" w:color="auto" w:fill="1F497D" w:themeFill="text2"/>
            <w:vAlign w:val="center"/>
          </w:tcPr>
          <w:p w:rsidR="0081406E" w:rsidRPr="00013197" w:rsidRDefault="007500A5" w:rsidP="00013197">
            <w:pPr>
              <w:pStyle w:val="BodyText"/>
              <w:jc w:val="right"/>
              <w:rPr>
                <w:b/>
                <w:color w:val="FFFFFF" w:themeColor="background1"/>
              </w:rPr>
            </w:pPr>
            <w:r w:rsidRPr="00013197">
              <w:rPr>
                <w:b/>
                <w:color w:val="FFFFFF" w:themeColor="background1"/>
              </w:rPr>
              <w:t>Cost per annum</w:t>
            </w:r>
          </w:p>
        </w:tc>
      </w:tr>
      <w:tr w:rsidR="00884D9F" w:rsidRPr="00C8251D" w:rsidTr="00884D9F">
        <w:tc>
          <w:tcPr>
            <w:tcW w:w="2871" w:type="dxa"/>
            <w:shd w:val="clear" w:color="auto" w:fill="C6D9F1" w:themeFill="text2" w:themeFillTint="33"/>
          </w:tcPr>
          <w:p w:rsidR="0081406E" w:rsidRDefault="00884D9F">
            <w:pPr>
              <w:pStyle w:val="BodyText"/>
              <w:spacing w:before="60" w:after="60"/>
              <w:rPr>
                <w:sz w:val="20"/>
              </w:rPr>
            </w:pPr>
            <w:r>
              <w:rPr>
                <w:sz w:val="20"/>
              </w:rPr>
              <w:t>Independent chair</w:t>
            </w:r>
          </w:p>
        </w:tc>
        <w:tc>
          <w:tcPr>
            <w:tcW w:w="2871" w:type="dxa"/>
            <w:vAlign w:val="center"/>
          </w:tcPr>
          <w:p w:rsidR="00884D9F" w:rsidRDefault="00884D9F" w:rsidP="00884D9F">
            <w:pPr>
              <w:pStyle w:val="BodyText"/>
              <w:spacing w:before="60" w:after="60"/>
              <w:jc w:val="right"/>
              <w:rPr>
                <w:sz w:val="20"/>
              </w:rPr>
            </w:pPr>
            <w:r>
              <w:rPr>
                <w:sz w:val="20"/>
              </w:rPr>
              <w:t>Initial (2 years)</w:t>
            </w:r>
          </w:p>
        </w:tc>
        <w:tc>
          <w:tcPr>
            <w:tcW w:w="2871" w:type="dxa"/>
            <w:vAlign w:val="center"/>
          </w:tcPr>
          <w:p w:rsidR="0081406E" w:rsidRDefault="00884D9F">
            <w:pPr>
              <w:pStyle w:val="BodyText"/>
              <w:spacing w:before="60" w:after="60"/>
              <w:jc w:val="right"/>
              <w:rPr>
                <w:sz w:val="20"/>
              </w:rPr>
            </w:pPr>
            <w:r>
              <w:rPr>
                <w:sz w:val="20"/>
              </w:rPr>
              <w:t>$75,000</w:t>
            </w:r>
          </w:p>
        </w:tc>
      </w:tr>
      <w:tr w:rsidR="00884D9F" w:rsidRPr="00C8251D" w:rsidTr="00884D9F">
        <w:tc>
          <w:tcPr>
            <w:tcW w:w="2871" w:type="dxa"/>
            <w:shd w:val="clear" w:color="auto" w:fill="C6D9F1" w:themeFill="text2" w:themeFillTint="33"/>
          </w:tcPr>
          <w:p w:rsidR="0081406E" w:rsidRDefault="00884D9F">
            <w:pPr>
              <w:pStyle w:val="BodyText"/>
              <w:spacing w:before="60" w:after="60"/>
              <w:rPr>
                <w:sz w:val="20"/>
              </w:rPr>
            </w:pPr>
            <w:r>
              <w:rPr>
                <w:sz w:val="20"/>
              </w:rPr>
              <w:t>Workshop fees</w:t>
            </w:r>
          </w:p>
        </w:tc>
        <w:tc>
          <w:tcPr>
            <w:tcW w:w="2871" w:type="dxa"/>
            <w:vAlign w:val="center"/>
          </w:tcPr>
          <w:p w:rsidR="00884D9F" w:rsidRDefault="00884D9F" w:rsidP="00884D9F">
            <w:pPr>
              <w:pStyle w:val="BodyText"/>
              <w:spacing w:before="60" w:after="60"/>
              <w:jc w:val="right"/>
              <w:rPr>
                <w:sz w:val="20"/>
              </w:rPr>
            </w:pPr>
            <w:r w:rsidRPr="00884D9F">
              <w:rPr>
                <w:sz w:val="20"/>
              </w:rPr>
              <w:t>Initial (2</w:t>
            </w:r>
            <w:r w:rsidR="00B20A92">
              <w:rPr>
                <w:sz w:val="20"/>
              </w:rPr>
              <w:t xml:space="preserve"> </w:t>
            </w:r>
            <w:r w:rsidRPr="00884D9F">
              <w:rPr>
                <w:sz w:val="20"/>
              </w:rPr>
              <w:t>years)</w:t>
            </w:r>
          </w:p>
        </w:tc>
        <w:tc>
          <w:tcPr>
            <w:tcW w:w="2871" w:type="dxa"/>
            <w:vAlign w:val="center"/>
          </w:tcPr>
          <w:p w:rsidR="0081406E" w:rsidRDefault="00884D9F">
            <w:pPr>
              <w:pStyle w:val="BodyText"/>
              <w:spacing w:before="60" w:after="60"/>
              <w:jc w:val="right"/>
              <w:rPr>
                <w:sz w:val="20"/>
              </w:rPr>
            </w:pPr>
            <w:r>
              <w:rPr>
                <w:sz w:val="20"/>
              </w:rPr>
              <w:t>$16,128</w:t>
            </w:r>
          </w:p>
        </w:tc>
      </w:tr>
      <w:tr w:rsidR="00884D9F" w:rsidRPr="00C8251D" w:rsidTr="00884D9F">
        <w:tc>
          <w:tcPr>
            <w:tcW w:w="2871" w:type="dxa"/>
            <w:shd w:val="clear" w:color="auto" w:fill="C6D9F1" w:themeFill="text2" w:themeFillTint="33"/>
          </w:tcPr>
          <w:p w:rsidR="0081406E" w:rsidRDefault="00884D9F">
            <w:pPr>
              <w:pStyle w:val="BodyText"/>
              <w:spacing w:before="60" w:after="60"/>
              <w:rPr>
                <w:sz w:val="20"/>
              </w:rPr>
            </w:pPr>
            <w:r>
              <w:rPr>
                <w:sz w:val="20"/>
              </w:rPr>
              <w:t>Consultancy</w:t>
            </w:r>
          </w:p>
        </w:tc>
        <w:tc>
          <w:tcPr>
            <w:tcW w:w="2871" w:type="dxa"/>
            <w:vAlign w:val="center"/>
          </w:tcPr>
          <w:p w:rsidR="00884D9F" w:rsidRDefault="00884D9F" w:rsidP="00884D9F">
            <w:pPr>
              <w:pStyle w:val="BodyText"/>
              <w:spacing w:before="60" w:after="60"/>
              <w:jc w:val="right"/>
              <w:rPr>
                <w:sz w:val="20"/>
              </w:rPr>
            </w:pPr>
            <w:r w:rsidRPr="00884D9F">
              <w:rPr>
                <w:sz w:val="20"/>
              </w:rPr>
              <w:t>Initial (2 years)</w:t>
            </w:r>
          </w:p>
        </w:tc>
        <w:tc>
          <w:tcPr>
            <w:tcW w:w="2871" w:type="dxa"/>
            <w:vAlign w:val="center"/>
          </w:tcPr>
          <w:p w:rsidR="0081406E" w:rsidRDefault="00884D9F">
            <w:pPr>
              <w:pStyle w:val="BodyText"/>
              <w:spacing w:before="60" w:after="60"/>
              <w:jc w:val="right"/>
              <w:rPr>
                <w:sz w:val="20"/>
              </w:rPr>
            </w:pPr>
            <w:r>
              <w:rPr>
                <w:sz w:val="20"/>
              </w:rPr>
              <w:t>$57,000</w:t>
            </w:r>
          </w:p>
        </w:tc>
      </w:tr>
      <w:tr w:rsidR="00884D9F" w:rsidRPr="00C8251D" w:rsidTr="00884D9F">
        <w:tc>
          <w:tcPr>
            <w:tcW w:w="2871" w:type="dxa"/>
            <w:shd w:val="clear" w:color="auto" w:fill="C6D9F1" w:themeFill="text2" w:themeFillTint="33"/>
          </w:tcPr>
          <w:p w:rsidR="0081406E" w:rsidRDefault="00884D9F">
            <w:pPr>
              <w:pStyle w:val="BodyText"/>
              <w:spacing w:before="60" w:after="60"/>
              <w:rPr>
                <w:sz w:val="20"/>
              </w:rPr>
            </w:pPr>
            <w:r>
              <w:rPr>
                <w:sz w:val="20"/>
              </w:rPr>
              <w:t>Travel</w:t>
            </w:r>
          </w:p>
        </w:tc>
        <w:tc>
          <w:tcPr>
            <w:tcW w:w="2871" w:type="dxa"/>
            <w:vAlign w:val="center"/>
          </w:tcPr>
          <w:p w:rsidR="00884D9F" w:rsidRDefault="00884D9F" w:rsidP="00884D9F">
            <w:pPr>
              <w:pStyle w:val="BodyText"/>
              <w:spacing w:before="60" w:after="60"/>
              <w:jc w:val="right"/>
              <w:rPr>
                <w:sz w:val="20"/>
              </w:rPr>
            </w:pPr>
            <w:r w:rsidRPr="00884D9F">
              <w:rPr>
                <w:sz w:val="20"/>
              </w:rPr>
              <w:t>Initial (2 years)</w:t>
            </w:r>
          </w:p>
        </w:tc>
        <w:tc>
          <w:tcPr>
            <w:tcW w:w="2871" w:type="dxa"/>
            <w:vAlign w:val="center"/>
          </w:tcPr>
          <w:p w:rsidR="0081406E" w:rsidRDefault="00884D9F">
            <w:pPr>
              <w:pStyle w:val="BodyText"/>
              <w:spacing w:before="60" w:after="60"/>
              <w:jc w:val="right"/>
              <w:rPr>
                <w:sz w:val="20"/>
              </w:rPr>
            </w:pPr>
            <w:r>
              <w:rPr>
                <w:sz w:val="20"/>
              </w:rPr>
              <w:t>$3,930</w:t>
            </w:r>
          </w:p>
        </w:tc>
      </w:tr>
      <w:tr w:rsidR="00884D9F" w:rsidRPr="00C8251D" w:rsidTr="00884D9F">
        <w:tc>
          <w:tcPr>
            <w:tcW w:w="2871" w:type="dxa"/>
            <w:shd w:val="clear" w:color="auto" w:fill="C6D9F1" w:themeFill="text2" w:themeFillTint="33"/>
          </w:tcPr>
          <w:p w:rsidR="0081406E" w:rsidRDefault="00884D9F">
            <w:pPr>
              <w:pStyle w:val="BodyText"/>
              <w:spacing w:before="60" w:after="60"/>
              <w:rPr>
                <w:sz w:val="20"/>
              </w:rPr>
            </w:pPr>
            <w:r>
              <w:rPr>
                <w:sz w:val="20"/>
              </w:rPr>
              <w:t>Staff cost (EL1</w:t>
            </w:r>
            <w:r w:rsidR="007500A5">
              <w:rPr>
                <w:sz w:val="20"/>
              </w:rPr>
              <w:t xml:space="preserve"> – 1 FTE</w:t>
            </w:r>
            <w:r>
              <w:rPr>
                <w:sz w:val="20"/>
              </w:rPr>
              <w:t>)</w:t>
            </w:r>
          </w:p>
        </w:tc>
        <w:tc>
          <w:tcPr>
            <w:tcW w:w="2871" w:type="dxa"/>
            <w:vAlign w:val="center"/>
          </w:tcPr>
          <w:p w:rsidR="00884D9F" w:rsidRDefault="00884D9F" w:rsidP="00884D9F">
            <w:pPr>
              <w:pStyle w:val="BodyText"/>
              <w:spacing w:before="60" w:after="60"/>
              <w:jc w:val="right"/>
              <w:rPr>
                <w:sz w:val="20"/>
              </w:rPr>
            </w:pPr>
            <w:r w:rsidRPr="00884D9F">
              <w:rPr>
                <w:sz w:val="20"/>
              </w:rPr>
              <w:t>Initial (2 years)</w:t>
            </w:r>
          </w:p>
        </w:tc>
        <w:tc>
          <w:tcPr>
            <w:tcW w:w="2871" w:type="dxa"/>
            <w:vAlign w:val="center"/>
          </w:tcPr>
          <w:p w:rsidR="0081406E" w:rsidRDefault="00884D9F">
            <w:pPr>
              <w:pStyle w:val="BodyText"/>
              <w:spacing w:before="60" w:after="60"/>
              <w:jc w:val="right"/>
              <w:rPr>
                <w:sz w:val="20"/>
              </w:rPr>
            </w:pPr>
            <w:r>
              <w:rPr>
                <w:sz w:val="20"/>
              </w:rPr>
              <w:t>$158,000</w:t>
            </w:r>
          </w:p>
        </w:tc>
      </w:tr>
      <w:tr w:rsidR="00884D9F" w:rsidRPr="00C8251D" w:rsidTr="00884D9F">
        <w:tc>
          <w:tcPr>
            <w:tcW w:w="2871" w:type="dxa"/>
            <w:shd w:val="clear" w:color="auto" w:fill="C6D9F1" w:themeFill="text2" w:themeFillTint="33"/>
          </w:tcPr>
          <w:p w:rsidR="0081406E" w:rsidRDefault="00884D9F">
            <w:pPr>
              <w:pStyle w:val="BodyText"/>
              <w:spacing w:before="60" w:after="60"/>
              <w:rPr>
                <w:sz w:val="20"/>
              </w:rPr>
            </w:pPr>
            <w:r>
              <w:rPr>
                <w:sz w:val="20"/>
              </w:rPr>
              <w:t>Staff cost (EL2</w:t>
            </w:r>
            <w:r w:rsidR="007500A5">
              <w:rPr>
                <w:sz w:val="20"/>
              </w:rPr>
              <w:t xml:space="preserve"> – 1 FTE</w:t>
            </w:r>
            <w:r>
              <w:rPr>
                <w:sz w:val="20"/>
              </w:rPr>
              <w:t>)</w:t>
            </w:r>
          </w:p>
        </w:tc>
        <w:tc>
          <w:tcPr>
            <w:tcW w:w="2871" w:type="dxa"/>
            <w:vAlign w:val="center"/>
          </w:tcPr>
          <w:p w:rsidR="00884D9F" w:rsidRDefault="00884D9F" w:rsidP="00884D9F">
            <w:pPr>
              <w:pStyle w:val="BodyText"/>
              <w:spacing w:before="60" w:after="60"/>
              <w:jc w:val="right"/>
              <w:rPr>
                <w:sz w:val="20"/>
              </w:rPr>
            </w:pPr>
            <w:r w:rsidRPr="00884D9F">
              <w:rPr>
                <w:sz w:val="20"/>
              </w:rPr>
              <w:t>Initial (2 years)</w:t>
            </w:r>
          </w:p>
        </w:tc>
        <w:tc>
          <w:tcPr>
            <w:tcW w:w="2871" w:type="dxa"/>
            <w:vAlign w:val="center"/>
          </w:tcPr>
          <w:p w:rsidR="0081406E" w:rsidRDefault="00884D9F">
            <w:pPr>
              <w:pStyle w:val="BodyText"/>
              <w:spacing w:before="60" w:after="60"/>
              <w:jc w:val="right"/>
              <w:rPr>
                <w:sz w:val="20"/>
              </w:rPr>
            </w:pPr>
            <w:r>
              <w:rPr>
                <w:sz w:val="20"/>
              </w:rPr>
              <w:t>$194,000</w:t>
            </w:r>
          </w:p>
        </w:tc>
      </w:tr>
    </w:tbl>
    <w:p w:rsidR="00884D9F" w:rsidRDefault="00884D9F" w:rsidP="00884D9F">
      <w:pPr>
        <w:pStyle w:val="Source"/>
      </w:pPr>
      <w:r>
        <w:t>Source: Department of the Environment</w:t>
      </w:r>
    </w:p>
    <w:p w:rsidR="00B20A92" w:rsidRDefault="00B20A92">
      <w:pPr>
        <w:rPr>
          <w:bCs/>
          <w:i/>
          <w:sz w:val="20"/>
        </w:rPr>
      </w:pPr>
    </w:p>
    <w:p w:rsidR="0085085D" w:rsidRDefault="00884D9F">
      <w:pPr>
        <w:pStyle w:val="Caption"/>
      </w:pPr>
      <w:r>
        <w:t xml:space="preserve">Appendix Table C </w:t>
      </w:r>
      <w:r w:rsidR="00586F30">
        <w:fldChar w:fldCharType="begin"/>
      </w:r>
      <w:r>
        <w:instrText xml:space="preserve"> SEQ Appendix_Table_C \* ARABIC </w:instrText>
      </w:r>
      <w:r w:rsidR="00586F30">
        <w:fldChar w:fldCharType="separate"/>
      </w:r>
      <w:r w:rsidR="001E5D7A">
        <w:rPr>
          <w:noProof/>
        </w:rPr>
        <w:t>2</w:t>
      </w:r>
      <w:r w:rsidR="00586F30">
        <w:fldChar w:fldCharType="end"/>
      </w:r>
      <w:r>
        <w:t>: Industry costs of compliance ($2014), Option 1</w:t>
      </w:r>
    </w:p>
    <w:tbl>
      <w:tblPr>
        <w:tblStyle w:val="TableGrid"/>
        <w:tblW w:w="8613"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tblPr>
      <w:tblGrid>
        <w:gridCol w:w="2871"/>
        <w:gridCol w:w="2871"/>
        <w:gridCol w:w="2871"/>
      </w:tblGrid>
      <w:tr w:rsidR="00884D9F" w:rsidRPr="00C8251D" w:rsidTr="007500A5">
        <w:tc>
          <w:tcPr>
            <w:tcW w:w="2871" w:type="dxa"/>
            <w:shd w:val="clear" w:color="auto" w:fill="1F497D" w:themeFill="text2"/>
          </w:tcPr>
          <w:p w:rsidR="0081406E" w:rsidRPr="00013197" w:rsidRDefault="00884D9F" w:rsidP="00013197">
            <w:pPr>
              <w:pStyle w:val="BodyText"/>
              <w:jc w:val="left"/>
              <w:rPr>
                <w:b/>
                <w:color w:val="FFFFFF" w:themeColor="background1"/>
              </w:rPr>
            </w:pPr>
            <w:r w:rsidRPr="00013197">
              <w:rPr>
                <w:b/>
                <w:color w:val="FFFFFF" w:themeColor="background1"/>
              </w:rPr>
              <w:t>Description</w:t>
            </w:r>
          </w:p>
        </w:tc>
        <w:tc>
          <w:tcPr>
            <w:tcW w:w="2871" w:type="dxa"/>
            <w:shd w:val="clear" w:color="auto" w:fill="1F497D" w:themeFill="text2"/>
            <w:vAlign w:val="center"/>
          </w:tcPr>
          <w:p w:rsidR="0081406E" w:rsidRPr="00013197" w:rsidRDefault="00884D9F" w:rsidP="00013197">
            <w:pPr>
              <w:pStyle w:val="BodyText"/>
              <w:jc w:val="right"/>
              <w:rPr>
                <w:b/>
                <w:color w:val="FFFFFF" w:themeColor="background1"/>
              </w:rPr>
            </w:pPr>
            <w:r w:rsidRPr="00013197">
              <w:rPr>
                <w:b/>
                <w:color w:val="FFFFFF" w:themeColor="background1"/>
              </w:rPr>
              <w:t>Type of cost</w:t>
            </w:r>
          </w:p>
        </w:tc>
        <w:tc>
          <w:tcPr>
            <w:tcW w:w="2871" w:type="dxa"/>
            <w:shd w:val="clear" w:color="auto" w:fill="1F497D" w:themeFill="text2"/>
            <w:vAlign w:val="center"/>
          </w:tcPr>
          <w:p w:rsidR="0081406E" w:rsidRPr="00013197" w:rsidRDefault="00884D9F" w:rsidP="00013197">
            <w:pPr>
              <w:pStyle w:val="BodyText"/>
              <w:jc w:val="right"/>
              <w:rPr>
                <w:b/>
                <w:color w:val="FFFFFF" w:themeColor="background1"/>
              </w:rPr>
            </w:pPr>
            <w:r w:rsidRPr="00013197">
              <w:rPr>
                <w:b/>
                <w:color w:val="FFFFFF" w:themeColor="background1"/>
              </w:rPr>
              <w:t>Cost</w:t>
            </w:r>
            <w:r w:rsidR="007500A5" w:rsidRPr="00013197">
              <w:rPr>
                <w:b/>
                <w:color w:val="FFFFFF" w:themeColor="background1"/>
              </w:rPr>
              <w:t xml:space="preserve"> per annum</w:t>
            </w:r>
          </w:p>
        </w:tc>
      </w:tr>
      <w:tr w:rsidR="004F7431" w:rsidRPr="00C8251D" w:rsidTr="00400BE8">
        <w:tc>
          <w:tcPr>
            <w:tcW w:w="2871" w:type="dxa"/>
            <w:shd w:val="clear" w:color="auto" w:fill="C6D9F1" w:themeFill="text2" w:themeFillTint="33"/>
          </w:tcPr>
          <w:p w:rsidR="0081406E" w:rsidRDefault="00E10441">
            <w:pPr>
              <w:pStyle w:val="BodyText"/>
              <w:spacing w:before="60" w:after="60"/>
              <w:rPr>
                <w:sz w:val="20"/>
              </w:rPr>
            </w:pPr>
            <w:r w:rsidRPr="00E10441">
              <w:rPr>
                <w:sz w:val="20"/>
              </w:rPr>
              <w:t>Project manager</w:t>
            </w:r>
          </w:p>
        </w:tc>
        <w:tc>
          <w:tcPr>
            <w:tcW w:w="2871" w:type="dxa"/>
            <w:shd w:val="clear" w:color="auto" w:fill="auto"/>
            <w:vAlign w:val="center"/>
          </w:tcPr>
          <w:p w:rsidR="0081406E" w:rsidRDefault="00E10441">
            <w:pPr>
              <w:pStyle w:val="BodyText"/>
              <w:spacing w:before="60" w:after="60"/>
              <w:jc w:val="right"/>
              <w:rPr>
                <w:sz w:val="20"/>
              </w:rPr>
            </w:pPr>
            <w:r w:rsidRPr="00E10441">
              <w:rPr>
                <w:sz w:val="20"/>
              </w:rPr>
              <w:t>Ongoing</w:t>
            </w:r>
          </w:p>
        </w:tc>
        <w:tc>
          <w:tcPr>
            <w:tcW w:w="2871" w:type="dxa"/>
            <w:shd w:val="clear" w:color="auto" w:fill="auto"/>
            <w:vAlign w:val="center"/>
          </w:tcPr>
          <w:p w:rsidR="0081406E" w:rsidRDefault="00E10441">
            <w:pPr>
              <w:pStyle w:val="BodyText"/>
              <w:spacing w:before="60" w:after="60"/>
              <w:jc w:val="right"/>
              <w:rPr>
                <w:sz w:val="20"/>
              </w:rPr>
            </w:pPr>
            <w:r w:rsidRPr="00E10441">
              <w:rPr>
                <w:sz w:val="20"/>
              </w:rPr>
              <w:t>$150,000</w:t>
            </w:r>
          </w:p>
        </w:tc>
      </w:tr>
      <w:tr w:rsidR="00752704" w:rsidRPr="00C8251D" w:rsidTr="00752704">
        <w:tc>
          <w:tcPr>
            <w:tcW w:w="8613" w:type="dxa"/>
            <w:gridSpan w:val="3"/>
            <w:shd w:val="clear" w:color="auto" w:fill="C6D9F1" w:themeFill="text2" w:themeFillTint="33"/>
            <w:vAlign w:val="center"/>
          </w:tcPr>
          <w:p w:rsidR="0081406E" w:rsidRDefault="00752704">
            <w:pPr>
              <w:pStyle w:val="BodyText"/>
              <w:spacing w:before="60" w:after="60"/>
              <w:jc w:val="left"/>
              <w:rPr>
                <w:sz w:val="20"/>
              </w:rPr>
            </w:pPr>
            <w:r>
              <w:rPr>
                <w:sz w:val="20"/>
              </w:rPr>
              <w:t xml:space="preserve">Application for voluntary accreditation under the </w:t>
            </w:r>
            <w:r>
              <w:rPr>
                <w:i/>
                <w:sz w:val="20"/>
              </w:rPr>
              <w:t>Product Stewardship Act</w:t>
            </w:r>
          </w:p>
        </w:tc>
      </w:tr>
      <w:tr w:rsidR="00884D9F" w:rsidRPr="00C8251D" w:rsidTr="007500A5">
        <w:tc>
          <w:tcPr>
            <w:tcW w:w="2871" w:type="dxa"/>
            <w:shd w:val="clear" w:color="auto" w:fill="C6D9F1" w:themeFill="text2" w:themeFillTint="33"/>
          </w:tcPr>
          <w:p w:rsidR="0081406E" w:rsidRDefault="00752704">
            <w:pPr>
              <w:pStyle w:val="BodyText"/>
              <w:spacing w:before="60" w:after="60"/>
              <w:jc w:val="left"/>
              <w:rPr>
                <w:sz w:val="20"/>
              </w:rPr>
            </w:pPr>
            <w:r>
              <w:rPr>
                <w:sz w:val="20"/>
              </w:rPr>
              <w:t>Independent financial viability assessment</w:t>
            </w:r>
          </w:p>
        </w:tc>
        <w:tc>
          <w:tcPr>
            <w:tcW w:w="2871" w:type="dxa"/>
            <w:vAlign w:val="center"/>
          </w:tcPr>
          <w:p w:rsidR="00884D9F" w:rsidRDefault="00752704" w:rsidP="004F7431">
            <w:pPr>
              <w:pStyle w:val="BodyText"/>
              <w:spacing w:before="60" w:after="60"/>
              <w:jc w:val="right"/>
              <w:rPr>
                <w:sz w:val="20"/>
              </w:rPr>
            </w:pPr>
            <w:r>
              <w:rPr>
                <w:sz w:val="20"/>
              </w:rPr>
              <w:t>Initial</w:t>
            </w:r>
            <w:r w:rsidR="007500A5">
              <w:rPr>
                <w:sz w:val="20"/>
              </w:rPr>
              <w:t xml:space="preserve"> (1year)</w:t>
            </w:r>
          </w:p>
        </w:tc>
        <w:tc>
          <w:tcPr>
            <w:tcW w:w="2871" w:type="dxa"/>
            <w:vAlign w:val="center"/>
          </w:tcPr>
          <w:p w:rsidR="00884D9F" w:rsidRPr="00F268D2" w:rsidRDefault="00752704" w:rsidP="007500A5">
            <w:pPr>
              <w:pStyle w:val="BodyText"/>
              <w:spacing w:before="60" w:after="60"/>
              <w:jc w:val="right"/>
              <w:rPr>
                <w:sz w:val="20"/>
              </w:rPr>
            </w:pPr>
            <w:r>
              <w:rPr>
                <w:sz w:val="20"/>
              </w:rPr>
              <w:t>$20,000</w:t>
            </w:r>
          </w:p>
        </w:tc>
      </w:tr>
      <w:tr w:rsidR="004F7431" w:rsidRPr="00C8251D" w:rsidTr="007500A5">
        <w:tc>
          <w:tcPr>
            <w:tcW w:w="2871" w:type="dxa"/>
            <w:shd w:val="clear" w:color="auto" w:fill="C6D9F1" w:themeFill="text2" w:themeFillTint="33"/>
          </w:tcPr>
          <w:p w:rsidR="0081406E" w:rsidRDefault="004F7431">
            <w:pPr>
              <w:pStyle w:val="BodyText"/>
              <w:spacing w:before="60" w:after="60"/>
              <w:jc w:val="left"/>
              <w:rPr>
                <w:sz w:val="20"/>
              </w:rPr>
            </w:pPr>
            <w:r>
              <w:rPr>
                <w:sz w:val="20"/>
              </w:rPr>
              <w:t>Consultant to prepare application for voluntary accreditation</w:t>
            </w:r>
          </w:p>
        </w:tc>
        <w:tc>
          <w:tcPr>
            <w:tcW w:w="2871" w:type="dxa"/>
            <w:vAlign w:val="center"/>
          </w:tcPr>
          <w:p w:rsidR="004F7431" w:rsidRDefault="004F7431" w:rsidP="004F7431">
            <w:pPr>
              <w:pStyle w:val="BodyText"/>
              <w:spacing w:before="60" w:after="60"/>
              <w:jc w:val="right"/>
              <w:rPr>
                <w:sz w:val="20"/>
              </w:rPr>
            </w:pPr>
            <w:r>
              <w:rPr>
                <w:sz w:val="20"/>
              </w:rPr>
              <w:t>Initial</w:t>
            </w:r>
            <w:r w:rsidR="007500A5">
              <w:rPr>
                <w:sz w:val="20"/>
              </w:rPr>
              <w:t xml:space="preserve"> (1year)</w:t>
            </w:r>
          </w:p>
        </w:tc>
        <w:tc>
          <w:tcPr>
            <w:tcW w:w="2871" w:type="dxa"/>
            <w:vAlign w:val="center"/>
          </w:tcPr>
          <w:p w:rsidR="004F7431" w:rsidRPr="00F268D2" w:rsidRDefault="004F7431" w:rsidP="007500A5">
            <w:pPr>
              <w:pStyle w:val="BodyText"/>
              <w:spacing w:before="60" w:after="60"/>
              <w:jc w:val="right"/>
              <w:rPr>
                <w:sz w:val="20"/>
              </w:rPr>
            </w:pPr>
            <w:r>
              <w:rPr>
                <w:sz w:val="20"/>
              </w:rPr>
              <w:t>$40,000</w:t>
            </w:r>
          </w:p>
        </w:tc>
      </w:tr>
      <w:tr w:rsidR="004F7431" w:rsidRPr="00C8251D" w:rsidTr="007500A5">
        <w:tc>
          <w:tcPr>
            <w:tcW w:w="2871" w:type="dxa"/>
            <w:shd w:val="clear" w:color="auto" w:fill="C6D9F1" w:themeFill="text2" w:themeFillTint="33"/>
          </w:tcPr>
          <w:p w:rsidR="004F7431" w:rsidRDefault="004F7431" w:rsidP="007500A5">
            <w:pPr>
              <w:pStyle w:val="BodyText"/>
              <w:spacing w:before="60" w:after="60"/>
              <w:rPr>
                <w:sz w:val="20"/>
              </w:rPr>
            </w:pPr>
            <w:r>
              <w:rPr>
                <w:sz w:val="20"/>
              </w:rPr>
              <w:t>Application fee</w:t>
            </w:r>
          </w:p>
        </w:tc>
        <w:tc>
          <w:tcPr>
            <w:tcW w:w="2871" w:type="dxa"/>
            <w:vAlign w:val="center"/>
          </w:tcPr>
          <w:p w:rsidR="004F7431" w:rsidRDefault="004F7431" w:rsidP="004F7431">
            <w:pPr>
              <w:pStyle w:val="BodyText"/>
              <w:spacing w:before="60" w:after="60"/>
              <w:jc w:val="right"/>
              <w:rPr>
                <w:sz w:val="20"/>
              </w:rPr>
            </w:pPr>
            <w:r>
              <w:rPr>
                <w:sz w:val="20"/>
              </w:rPr>
              <w:t>Initial</w:t>
            </w:r>
            <w:r w:rsidR="007500A5">
              <w:rPr>
                <w:sz w:val="20"/>
              </w:rPr>
              <w:t xml:space="preserve"> (1year)</w:t>
            </w:r>
          </w:p>
        </w:tc>
        <w:tc>
          <w:tcPr>
            <w:tcW w:w="2871" w:type="dxa"/>
            <w:vAlign w:val="center"/>
          </w:tcPr>
          <w:p w:rsidR="004F7431" w:rsidRDefault="004F7431" w:rsidP="007500A5">
            <w:pPr>
              <w:pStyle w:val="BodyText"/>
              <w:spacing w:before="60" w:after="60"/>
              <w:jc w:val="right"/>
              <w:rPr>
                <w:sz w:val="20"/>
              </w:rPr>
            </w:pPr>
            <w:r>
              <w:rPr>
                <w:sz w:val="20"/>
              </w:rPr>
              <w:t>$26,600</w:t>
            </w:r>
          </w:p>
        </w:tc>
      </w:tr>
      <w:tr w:rsidR="004F7431" w:rsidRPr="00C8251D" w:rsidTr="004F7431">
        <w:tc>
          <w:tcPr>
            <w:tcW w:w="8613" w:type="dxa"/>
            <w:gridSpan w:val="3"/>
            <w:shd w:val="clear" w:color="auto" w:fill="C6D9F1" w:themeFill="text2" w:themeFillTint="33"/>
            <w:vAlign w:val="center"/>
          </w:tcPr>
          <w:p w:rsidR="0081406E" w:rsidRDefault="004F7431">
            <w:pPr>
              <w:pStyle w:val="BodyText"/>
              <w:spacing w:before="60" w:after="60"/>
              <w:jc w:val="left"/>
              <w:rPr>
                <w:sz w:val="20"/>
              </w:rPr>
            </w:pPr>
            <w:r>
              <w:rPr>
                <w:sz w:val="20"/>
              </w:rPr>
              <w:t>Scheme activities</w:t>
            </w:r>
          </w:p>
        </w:tc>
      </w:tr>
      <w:tr w:rsidR="004F7431" w:rsidRPr="00C8251D" w:rsidTr="007500A5">
        <w:tc>
          <w:tcPr>
            <w:tcW w:w="2871" w:type="dxa"/>
            <w:shd w:val="clear" w:color="auto" w:fill="C6D9F1" w:themeFill="text2" w:themeFillTint="33"/>
          </w:tcPr>
          <w:p w:rsidR="0081406E" w:rsidRDefault="004F7431">
            <w:pPr>
              <w:pStyle w:val="BodyText"/>
              <w:spacing w:before="60" w:after="60"/>
              <w:jc w:val="left"/>
              <w:rPr>
                <w:sz w:val="20"/>
              </w:rPr>
            </w:pPr>
            <w:r>
              <w:rPr>
                <w:sz w:val="20"/>
              </w:rPr>
              <w:t>Secretariat and survey costs</w:t>
            </w:r>
          </w:p>
        </w:tc>
        <w:tc>
          <w:tcPr>
            <w:tcW w:w="2871" w:type="dxa"/>
            <w:vAlign w:val="center"/>
          </w:tcPr>
          <w:p w:rsidR="004F7431" w:rsidRDefault="004F7431" w:rsidP="007500A5">
            <w:pPr>
              <w:pStyle w:val="BodyText"/>
              <w:spacing w:before="60" w:after="60"/>
              <w:jc w:val="right"/>
              <w:rPr>
                <w:sz w:val="20"/>
              </w:rPr>
            </w:pPr>
            <w:r>
              <w:rPr>
                <w:sz w:val="20"/>
              </w:rPr>
              <w:t>Ongoing</w:t>
            </w:r>
          </w:p>
        </w:tc>
        <w:tc>
          <w:tcPr>
            <w:tcW w:w="2871" w:type="dxa"/>
            <w:vAlign w:val="center"/>
          </w:tcPr>
          <w:p w:rsidR="004F7431" w:rsidRDefault="004F7431" w:rsidP="007500A5">
            <w:pPr>
              <w:pStyle w:val="BodyText"/>
              <w:spacing w:before="60" w:after="60"/>
              <w:jc w:val="right"/>
              <w:rPr>
                <w:sz w:val="20"/>
              </w:rPr>
            </w:pPr>
            <w:r>
              <w:rPr>
                <w:sz w:val="20"/>
              </w:rPr>
              <w:t>$24,000</w:t>
            </w:r>
          </w:p>
        </w:tc>
      </w:tr>
      <w:tr w:rsidR="004F7431" w:rsidRPr="00C8251D" w:rsidTr="007500A5">
        <w:tc>
          <w:tcPr>
            <w:tcW w:w="2871" w:type="dxa"/>
            <w:shd w:val="clear" w:color="auto" w:fill="C6D9F1" w:themeFill="text2" w:themeFillTint="33"/>
          </w:tcPr>
          <w:p w:rsidR="0081406E" w:rsidRDefault="004F7431">
            <w:pPr>
              <w:pStyle w:val="BodyText"/>
              <w:spacing w:before="60" w:after="60"/>
              <w:jc w:val="left"/>
              <w:rPr>
                <w:sz w:val="20"/>
              </w:rPr>
            </w:pPr>
            <w:r>
              <w:rPr>
                <w:sz w:val="20"/>
              </w:rPr>
              <w:t>Conference costs</w:t>
            </w:r>
          </w:p>
        </w:tc>
        <w:tc>
          <w:tcPr>
            <w:tcW w:w="2871" w:type="dxa"/>
            <w:vAlign w:val="center"/>
          </w:tcPr>
          <w:p w:rsidR="004F7431" w:rsidRDefault="004F7431" w:rsidP="007500A5">
            <w:pPr>
              <w:pStyle w:val="BodyText"/>
              <w:spacing w:before="60" w:after="60"/>
              <w:jc w:val="right"/>
              <w:rPr>
                <w:sz w:val="20"/>
              </w:rPr>
            </w:pPr>
            <w:r>
              <w:rPr>
                <w:sz w:val="20"/>
              </w:rPr>
              <w:t>Ongoing</w:t>
            </w:r>
          </w:p>
        </w:tc>
        <w:tc>
          <w:tcPr>
            <w:tcW w:w="2871" w:type="dxa"/>
            <w:vAlign w:val="center"/>
          </w:tcPr>
          <w:p w:rsidR="004F7431" w:rsidRDefault="004F7431" w:rsidP="007500A5">
            <w:pPr>
              <w:pStyle w:val="BodyText"/>
              <w:spacing w:before="60" w:after="60"/>
              <w:jc w:val="right"/>
              <w:rPr>
                <w:sz w:val="20"/>
              </w:rPr>
            </w:pPr>
            <w:r>
              <w:rPr>
                <w:sz w:val="20"/>
              </w:rPr>
              <w:t>$5,000</w:t>
            </w:r>
          </w:p>
        </w:tc>
      </w:tr>
      <w:tr w:rsidR="004F7431" w:rsidRPr="00C8251D" w:rsidTr="007500A5">
        <w:tc>
          <w:tcPr>
            <w:tcW w:w="2871" w:type="dxa"/>
            <w:shd w:val="clear" w:color="auto" w:fill="C6D9F1" w:themeFill="text2" w:themeFillTint="33"/>
          </w:tcPr>
          <w:p w:rsidR="0081406E" w:rsidRDefault="004F7431">
            <w:pPr>
              <w:pStyle w:val="BodyText"/>
              <w:spacing w:before="60" w:after="60"/>
              <w:jc w:val="left"/>
              <w:rPr>
                <w:sz w:val="20"/>
              </w:rPr>
            </w:pPr>
            <w:r>
              <w:rPr>
                <w:sz w:val="20"/>
              </w:rPr>
              <w:t>Staff overhead costs</w:t>
            </w:r>
          </w:p>
        </w:tc>
        <w:tc>
          <w:tcPr>
            <w:tcW w:w="2871" w:type="dxa"/>
            <w:vAlign w:val="center"/>
          </w:tcPr>
          <w:p w:rsidR="004F7431" w:rsidRDefault="004F7431" w:rsidP="007500A5">
            <w:pPr>
              <w:pStyle w:val="BodyText"/>
              <w:spacing w:before="60" w:after="60"/>
              <w:jc w:val="right"/>
              <w:rPr>
                <w:sz w:val="20"/>
              </w:rPr>
            </w:pPr>
            <w:r>
              <w:rPr>
                <w:sz w:val="20"/>
              </w:rPr>
              <w:t>Ongoing</w:t>
            </w:r>
          </w:p>
        </w:tc>
        <w:tc>
          <w:tcPr>
            <w:tcW w:w="2871" w:type="dxa"/>
            <w:vAlign w:val="center"/>
          </w:tcPr>
          <w:p w:rsidR="004F7431" w:rsidRDefault="004F7431" w:rsidP="007500A5">
            <w:pPr>
              <w:pStyle w:val="BodyText"/>
              <w:spacing w:before="60" w:after="60"/>
              <w:jc w:val="right"/>
              <w:rPr>
                <w:sz w:val="20"/>
              </w:rPr>
            </w:pPr>
            <w:r>
              <w:rPr>
                <w:sz w:val="20"/>
              </w:rPr>
              <w:t>$3,100</w:t>
            </w:r>
          </w:p>
        </w:tc>
      </w:tr>
      <w:tr w:rsidR="004F7431" w:rsidRPr="00C8251D" w:rsidTr="007500A5">
        <w:tc>
          <w:tcPr>
            <w:tcW w:w="2871" w:type="dxa"/>
            <w:shd w:val="clear" w:color="auto" w:fill="C6D9F1" w:themeFill="text2" w:themeFillTint="33"/>
          </w:tcPr>
          <w:p w:rsidR="0081406E" w:rsidRDefault="004F7431">
            <w:pPr>
              <w:pStyle w:val="BodyText"/>
              <w:spacing w:before="60" w:after="60"/>
              <w:jc w:val="left"/>
              <w:rPr>
                <w:sz w:val="20"/>
              </w:rPr>
            </w:pPr>
            <w:r>
              <w:rPr>
                <w:sz w:val="20"/>
              </w:rPr>
              <w:t>Workshops</w:t>
            </w:r>
          </w:p>
        </w:tc>
        <w:tc>
          <w:tcPr>
            <w:tcW w:w="2871" w:type="dxa"/>
            <w:vAlign w:val="center"/>
          </w:tcPr>
          <w:p w:rsidR="004F7431" w:rsidRDefault="004F7431" w:rsidP="007500A5">
            <w:pPr>
              <w:pStyle w:val="BodyText"/>
              <w:spacing w:before="60" w:after="60"/>
              <w:jc w:val="right"/>
              <w:rPr>
                <w:sz w:val="20"/>
              </w:rPr>
            </w:pPr>
            <w:r>
              <w:rPr>
                <w:sz w:val="20"/>
              </w:rPr>
              <w:t>Ongoing</w:t>
            </w:r>
          </w:p>
        </w:tc>
        <w:tc>
          <w:tcPr>
            <w:tcW w:w="2871" w:type="dxa"/>
            <w:vAlign w:val="center"/>
          </w:tcPr>
          <w:p w:rsidR="004F7431" w:rsidRDefault="004F7431" w:rsidP="007500A5">
            <w:pPr>
              <w:pStyle w:val="BodyText"/>
              <w:spacing w:before="60" w:after="60"/>
              <w:jc w:val="right"/>
              <w:rPr>
                <w:sz w:val="20"/>
              </w:rPr>
            </w:pPr>
            <w:r>
              <w:rPr>
                <w:sz w:val="20"/>
              </w:rPr>
              <w:t>$3,000</w:t>
            </w:r>
          </w:p>
        </w:tc>
      </w:tr>
      <w:tr w:rsidR="004F7431" w:rsidRPr="00C8251D" w:rsidTr="007500A5">
        <w:tc>
          <w:tcPr>
            <w:tcW w:w="2871" w:type="dxa"/>
            <w:shd w:val="clear" w:color="auto" w:fill="C6D9F1" w:themeFill="text2" w:themeFillTint="33"/>
          </w:tcPr>
          <w:p w:rsidR="0081406E" w:rsidRDefault="004F7431">
            <w:pPr>
              <w:pStyle w:val="BodyText"/>
              <w:spacing w:before="60" w:after="60"/>
              <w:jc w:val="left"/>
              <w:rPr>
                <w:sz w:val="20"/>
              </w:rPr>
            </w:pPr>
            <w:r>
              <w:rPr>
                <w:sz w:val="20"/>
              </w:rPr>
              <w:t>Auditing of participants</w:t>
            </w:r>
          </w:p>
        </w:tc>
        <w:tc>
          <w:tcPr>
            <w:tcW w:w="2871" w:type="dxa"/>
            <w:vAlign w:val="center"/>
          </w:tcPr>
          <w:p w:rsidR="004F7431" w:rsidRDefault="004F7431" w:rsidP="007500A5">
            <w:pPr>
              <w:pStyle w:val="BodyText"/>
              <w:spacing w:before="60" w:after="60"/>
              <w:jc w:val="right"/>
              <w:rPr>
                <w:sz w:val="20"/>
              </w:rPr>
            </w:pPr>
            <w:r>
              <w:rPr>
                <w:sz w:val="20"/>
              </w:rPr>
              <w:t>Ongoing</w:t>
            </w:r>
          </w:p>
        </w:tc>
        <w:tc>
          <w:tcPr>
            <w:tcW w:w="2871" w:type="dxa"/>
            <w:vAlign w:val="center"/>
          </w:tcPr>
          <w:p w:rsidR="004F7431" w:rsidRPr="004F7431" w:rsidRDefault="00E10441" w:rsidP="007500A5">
            <w:pPr>
              <w:pStyle w:val="BodyText"/>
              <w:spacing w:before="60" w:after="60"/>
              <w:jc w:val="right"/>
              <w:rPr>
                <w:sz w:val="20"/>
              </w:rPr>
            </w:pPr>
            <w:r w:rsidRPr="00E10441">
              <w:rPr>
                <w:sz w:val="20"/>
              </w:rPr>
              <w:t>$30,900</w:t>
            </w:r>
          </w:p>
        </w:tc>
      </w:tr>
      <w:tr w:rsidR="004F7431" w:rsidRPr="00C8251D" w:rsidTr="00425F2D">
        <w:tc>
          <w:tcPr>
            <w:tcW w:w="2871" w:type="dxa"/>
            <w:shd w:val="clear" w:color="auto" w:fill="C6D9F1" w:themeFill="text2" w:themeFillTint="33"/>
          </w:tcPr>
          <w:p w:rsidR="0081406E" w:rsidRDefault="004F7431">
            <w:pPr>
              <w:pStyle w:val="BodyText"/>
              <w:spacing w:before="60" w:after="60"/>
              <w:jc w:val="left"/>
              <w:rPr>
                <w:sz w:val="20"/>
              </w:rPr>
            </w:pPr>
            <w:r>
              <w:rPr>
                <w:sz w:val="20"/>
              </w:rPr>
              <w:t>Travel</w:t>
            </w:r>
          </w:p>
        </w:tc>
        <w:tc>
          <w:tcPr>
            <w:tcW w:w="2871" w:type="dxa"/>
            <w:vAlign w:val="center"/>
          </w:tcPr>
          <w:p w:rsidR="004F7431" w:rsidRDefault="004F7431" w:rsidP="007500A5">
            <w:pPr>
              <w:pStyle w:val="BodyText"/>
              <w:spacing w:before="60" w:after="60"/>
              <w:jc w:val="right"/>
              <w:rPr>
                <w:sz w:val="20"/>
              </w:rPr>
            </w:pPr>
            <w:r>
              <w:rPr>
                <w:sz w:val="20"/>
              </w:rPr>
              <w:t>Ongoing</w:t>
            </w:r>
          </w:p>
        </w:tc>
        <w:tc>
          <w:tcPr>
            <w:tcW w:w="2871" w:type="dxa"/>
            <w:vAlign w:val="center"/>
          </w:tcPr>
          <w:p w:rsidR="004F7431" w:rsidRPr="004F7431" w:rsidRDefault="002577FE" w:rsidP="00425F2D">
            <w:pPr>
              <w:pStyle w:val="BodyText"/>
              <w:spacing w:before="60" w:after="60"/>
              <w:jc w:val="right"/>
              <w:rPr>
                <w:sz w:val="20"/>
              </w:rPr>
            </w:pPr>
            <w:r>
              <w:rPr>
                <w:sz w:val="20"/>
              </w:rPr>
              <w:t>$10,480</w:t>
            </w:r>
          </w:p>
        </w:tc>
      </w:tr>
      <w:tr w:rsidR="004F7431" w:rsidRPr="00C8251D" w:rsidTr="007500A5">
        <w:tc>
          <w:tcPr>
            <w:tcW w:w="2871" w:type="dxa"/>
            <w:shd w:val="clear" w:color="auto" w:fill="C6D9F1" w:themeFill="text2" w:themeFillTint="33"/>
          </w:tcPr>
          <w:p w:rsidR="0081406E" w:rsidRDefault="004F7431">
            <w:pPr>
              <w:pStyle w:val="BodyText"/>
              <w:spacing w:before="60" w:after="60"/>
              <w:jc w:val="left"/>
              <w:rPr>
                <w:sz w:val="20"/>
              </w:rPr>
            </w:pPr>
            <w:r>
              <w:rPr>
                <w:sz w:val="20"/>
              </w:rPr>
              <w:t>Logo development and trademark certification</w:t>
            </w:r>
          </w:p>
        </w:tc>
        <w:tc>
          <w:tcPr>
            <w:tcW w:w="2871" w:type="dxa"/>
            <w:vAlign w:val="center"/>
          </w:tcPr>
          <w:p w:rsidR="004F7431" w:rsidRDefault="004F7431" w:rsidP="007500A5">
            <w:pPr>
              <w:pStyle w:val="BodyText"/>
              <w:spacing w:before="60" w:after="60"/>
              <w:jc w:val="right"/>
              <w:rPr>
                <w:sz w:val="20"/>
              </w:rPr>
            </w:pPr>
            <w:r>
              <w:rPr>
                <w:sz w:val="20"/>
              </w:rPr>
              <w:t>Initial</w:t>
            </w:r>
            <w:r w:rsidR="007500A5">
              <w:rPr>
                <w:sz w:val="20"/>
              </w:rPr>
              <w:t xml:space="preserve"> (1year)</w:t>
            </w:r>
          </w:p>
        </w:tc>
        <w:tc>
          <w:tcPr>
            <w:tcW w:w="2871" w:type="dxa"/>
            <w:vAlign w:val="center"/>
          </w:tcPr>
          <w:p w:rsidR="004F7431" w:rsidRPr="004F7431" w:rsidRDefault="004F7431" w:rsidP="007500A5">
            <w:pPr>
              <w:pStyle w:val="BodyText"/>
              <w:spacing w:before="60" w:after="60"/>
              <w:jc w:val="right"/>
              <w:rPr>
                <w:sz w:val="20"/>
              </w:rPr>
            </w:pPr>
            <w:r>
              <w:rPr>
                <w:sz w:val="20"/>
              </w:rPr>
              <w:t>$5,800</w:t>
            </w:r>
          </w:p>
        </w:tc>
      </w:tr>
      <w:tr w:rsidR="004F7431" w:rsidRPr="00C8251D" w:rsidTr="007500A5">
        <w:tc>
          <w:tcPr>
            <w:tcW w:w="2871" w:type="dxa"/>
            <w:shd w:val="clear" w:color="auto" w:fill="C6D9F1" w:themeFill="text2" w:themeFillTint="33"/>
          </w:tcPr>
          <w:p w:rsidR="0081406E" w:rsidRDefault="004F7431">
            <w:pPr>
              <w:pStyle w:val="BodyText"/>
              <w:spacing w:before="60" w:after="60"/>
              <w:jc w:val="left"/>
              <w:rPr>
                <w:sz w:val="20"/>
              </w:rPr>
            </w:pPr>
            <w:r>
              <w:rPr>
                <w:sz w:val="20"/>
              </w:rPr>
              <w:t>Communications</w:t>
            </w:r>
          </w:p>
        </w:tc>
        <w:tc>
          <w:tcPr>
            <w:tcW w:w="2871" w:type="dxa"/>
            <w:vAlign w:val="center"/>
          </w:tcPr>
          <w:p w:rsidR="004F7431" w:rsidRDefault="004F7431" w:rsidP="007500A5">
            <w:pPr>
              <w:pStyle w:val="BodyText"/>
              <w:spacing w:before="60" w:after="60"/>
              <w:jc w:val="right"/>
              <w:rPr>
                <w:sz w:val="20"/>
              </w:rPr>
            </w:pPr>
            <w:r>
              <w:rPr>
                <w:sz w:val="20"/>
              </w:rPr>
              <w:t>Ongoing</w:t>
            </w:r>
          </w:p>
        </w:tc>
        <w:tc>
          <w:tcPr>
            <w:tcW w:w="2871" w:type="dxa"/>
            <w:vAlign w:val="center"/>
          </w:tcPr>
          <w:p w:rsidR="004F7431" w:rsidRDefault="004F7431" w:rsidP="007500A5">
            <w:pPr>
              <w:pStyle w:val="BodyText"/>
              <w:spacing w:before="60" w:after="60"/>
              <w:jc w:val="right"/>
              <w:rPr>
                <w:sz w:val="20"/>
              </w:rPr>
            </w:pPr>
            <w:r>
              <w:rPr>
                <w:sz w:val="20"/>
              </w:rPr>
              <w:t>$15,700</w:t>
            </w:r>
          </w:p>
        </w:tc>
      </w:tr>
    </w:tbl>
    <w:p w:rsidR="00400BE8" w:rsidRDefault="00884D9F" w:rsidP="00261751">
      <w:pPr>
        <w:pStyle w:val="Source"/>
        <w:rPr>
          <w:bCs/>
          <w:i/>
          <w:sz w:val="20"/>
        </w:rPr>
      </w:pPr>
      <w:r>
        <w:t>Source: Department of the Environment</w:t>
      </w:r>
      <w:r w:rsidR="00400BE8">
        <w:br w:type="page"/>
      </w:r>
    </w:p>
    <w:p w:rsidR="004F7431" w:rsidRDefault="004F7431" w:rsidP="004F7431">
      <w:pPr>
        <w:pStyle w:val="Caption"/>
      </w:pPr>
      <w:r>
        <w:lastRenderedPageBreak/>
        <w:t xml:space="preserve">Appendix Table C </w:t>
      </w:r>
      <w:r w:rsidR="00586F30">
        <w:fldChar w:fldCharType="begin"/>
      </w:r>
      <w:r>
        <w:instrText xml:space="preserve"> SEQ Appendix_Table_C \* ARABIC </w:instrText>
      </w:r>
      <w:r w:rsidR="00586F30">
        <w:fldChar w:fldCharType="separate"/>
      </w:r>
      <w:r w:rsidR="001E5D7A">
        <w:rPr>
          <w:noProof/>
        </w:rPr>
        <w:t>3</w:t>
      </w:r>
      <w:r w:rsidR="00586F30">
        <w:fldChar w:fldCharType="end"/>
      </w:r>
      <w:r>
        <w:t>: Government costs of compliance ($2014), Option 2</w:t>
      </w:r>
    </w:p>
    <w:tbl>
      <w:tblPr>
        <w:tblStyle w:val="TableGrid"/>
        <w:tblW w:w="8613"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tblPr>
      <w:tblGrid>
        <w:gridCol w:w="2871"/>
        <w:gridCol w:w="2871"/>
        <w:gridCol w:w="2871"/>
      </w:tblGrid>
      <w:tr w:rsidR="004F7431" w:rsidRPr="00C8251D" w:rsidTr="00400BE8">
        <w:trPr>
          <w:tblHeader/>
        </w:trPr>
        <w:tc>
          <w:tcPr>
            <w:tcW w:w="2871" w:type="dxa"/>
            <w:shd w:val="clear" w:color="auto" w:fill="1F497D" w:themeFill="text2"/>
          </w:tcPr>
          <w:p w:rsidR="004F7431" w:rsidRPr="00884D9F" w:rsidRDefault="004F7431" w:rsidP="007500A5">
            <w:pPr>
              <w:pStyle w:val="BodyText"/>
              <w:spacing w:before="60" w:after="60"/>
              <w:rPr>
                <w:b/>
                <w:color w:val="FFFFFF" w:themeColor="background1"/>
                <w:sz w:val="20"/>
              </w:rPr>
            </w:pPr>
            <w:r w:rsidRPr="00884D9F">
              <w:rPr>
                <w:b/>
                <w:color w:val="FFFFFF" w:themeColor="background1"/>
                <w:sz w:val="20"/>
              </w:rPr>
              <w:t>Description</w:t>
            </w:r>
          </w:p>
        </w:tc>
        <w:tc>
          <w:tcPr>
            <w:tcW w:w="2871" w:type="dxa"/>
            <w:shd w:val="clear" w:color="auto" w:fill="1F497D" w:themeFill="text2"/>
            <w:vAlign w:val="center"/>
          </w:tcPr>
          <w:p w:rsidR="004F7431" w:rsidRPr="00884D9F" w:rsidRDefault="004F7431" w:rsidP="007500A5">
            <w:pPr>
              <w:pStyle w:val="BodyText"/>
              <w:spacing w:before="60" w:after="60"/>
              <w:jc w:val="right"/>
              <w:rPr>
                <w:b/>
                <w:color w:val="FFFFFF" w:themeColor="background1"/>
                <w:sz w:val="20"/>
              </w:rPr>
            </w:pPr>
            <w:r w:rsidRPr="00884D9F">
              <w:rPr>
                <w:b/>
                <w:color w:val="FFFFFF" w:themeColor="background1"/>
                <w:sz w:val="20"/>
              </w:rPr>
              <w:t>Type of cost</w:t>
            </w:r>
          </w:p>
        </w:tc>
        <w:tc>
          <w:tcPr>
            <w:tcW w:w="2871" w:type="dxa"/>
            <w:shd w:val="clear" w:color="auto" w:fill="1F497D" w:themeFill="text2"/>
            <w:vAlign w:val="center"/>
          </w:tcPr>
          <w:p w:rsidR="004F7431" w:rsidRPr="00884D9F" w:rsidRDefault="004F7431" w:rsidP="007500A5">
            <w:pPr>
              <w:pStyle w:val="BodyText"/>
              <w:spacing w:before="60" w:after="60"/>
              <w:jc w:val="right"/>
              <w:rPr>
                <w:b/>
                <w:color w:val="FFFFFF" w:themeColor="background1"/>
                <w:sz w:val="20"/>
              </w:rPr>
            </w:pPr>
            <w:r w:rsidRPr="00884D9F">
              <w:rPr>
                <w:b/>
                <w:color w:val="FFFFFF" w:themeColor="background1"/>
                <w:sz w:val="20"/>
              </w:rPr>
              <w:t>Cost</w:t>
            </w:r>
            <w:r w:rsidR="007500A5">
              <w:rPr>
                <w:b/>
                <w:color w:val="FFFFFF" w:themeColor="background1"/>
                <w:sz w:val="20"/>
              </w:rPr>
              <w:t xml:space="preserve"> per annum</w:t>
            </w:r>
          </w:p>
        </w:tc>
      </w:tr>
      <w:tr w:rsidR="004F7431" w:rsidRPr="00C8251D" w:rsidTr="007500A5">
        <w:tc>
          <w:tcPr>
            <w:tcW w:w="2871" w:type="dxa"/>
            <w:shd w:val="clear" w:color="auto" w:fill="C6D9F1" w:themeFill="text2" w:themeFillTint="33"/>
          </w:tcPr>
          <w:p w:rsidR="004F7431" w:rsidRDefault="004F7431" w:rsidP="007500A5">
            <w:pPr>
              <w:pStyle w:val="BodyText"/>
              <w:spacing w:before="60" w:after="60"/>
              <w:rPr>
                <w:sz w:val="20"/>
              </w:rPr>
            </w:pPr>
            <w:r>
              <w:rPr>
                <w:sz w:val="20"/>
              </w:rPr>
              <w:t>Travel</w:t>
            </w:r>
          </w:p>
        </w:tc>
        <w:tc>
          <w:tcPr>
            <w:tcW w:w="2871" w:type="dxa"/>
            <w:vAlign w:val="center"/>
          </w:tcPr>
          <w:p w:rsidR="004F7431" w:rsidRDefault="004F7431" w:rsidP="004F7431">
            <w:pPr>
              <w:pStyle w:val="BodyText"/>
              <w:spacing w:before="60" w:after="60"/>
              <w:jc w:val="right"/>
              <w:rPr>
                <w:sz w:val="20"/>
              </w:rPr>
            </w:pPr>
            <w:r w:rsidRPr="00884D9F">
              <w:rPr>
                <w:sz w:val="20"/>
              </w:rPr>
              <w:t>Initial (</w:t>
            </w:r>
            <w:r>
              <w:rPr>
                <w:sz w:val="20"/>
              </w:rPr>
              <w:t>3</w:t>
            </w:r>
            <w:r w:rsidRPr="00884D9F">
              <w:rPr>
                <w:sz w:val="20"/>
              </w:rPr>
              <w:t xml:space="preserve"> years)</w:t>
            </w:r>
          </w:p>
        </w:tc>
        <w:tc>
          <w:tcPr>
            <w:tcW w:w="2871" w:type="dxa"/>
            <w:vAlign w:val="center"/>
          </w:tcPr>
          <w:p w:rsidR="004F7431" w:rsidRDefault="00902EF0" w:rsidP="007500A5">
            <w:pPr>
              <w:pStyle w:val="BodyText"/>
              <w:spacing w:before="60" w:after="60"/>
              <w:jc w:val="right"/>
              <w:rPr>
                <w:sz w:val="20"/>
              </w:rPr>
            </w:pPr>
            <w:r>
              <w:rPr>
                <w:sz w:val="20"/>
              </w:rPr>
              <w:t>$12,000</w:t>
            </w:r>
          </w:p>
        </w:tc>
      </w:tr>
      <w:tr w:rsidR="00902EF0" w:rsidRPr="00C8251D" w:rsidTr="007500A5">
        <w:tc>
          <w:tcPr>
            <w:tcW w:w="2871" w:type="dxa"/>
            <w:shd w:val="clear" w:color="auto" w:fill="C6D9F1" w:themeFill="text2" w:themeFillTint="33"/>
          </w:tcPr>
          <w:p w:rsidR="00902EF0" w:rsidRDefault="00902EF0" w:rsidP="007500A5">
            <w:pPr>
              <w:pStyle w:val="BodyText"/>
              <w:spacing w:before="60" w:after="60"/>
              <w:rPr>
                <w:sz w:val="20"/>
              </w:rPr>
            </w:pPr>
            <w:r>
              <w:rPr>
                <w:sz w:val="20"/>
              </w:rPr>
              <w:t>Training</w:t>
            </w:r>
          </w:p>
        </w:tc>
        <w:tc>
          <w:tcPr>
            <w:tcW w:w="2871" w:type="dxa"/>
            <w:vAlign w:val="center"/>
          </w:tcPr>
          <w:p w:rsidR="00902EF0" w:rsidRDefault="00902EF0" w:rsidP="00902EF0">
            <w:pPr>
              <w:pStyle w:val="BodyText"/>
              <w:spacing w:before="60" w:after="60"/>
              <w:jc w:val="right"/>
              <w:rPr>
                <w:sz w:val="20"/>
              </w:rPr>
            </w:pPr>
            <w:r w:rsidRPr="00884D9F">
              <w:rPr>
                <w:sz w:val="20"/>
              </w:rPr>
              <w:t>Initial (</w:t>
            </w:r>
            <w:r>
              <w:rPr>
                <w:sz w:val="20"/>
              </w:rPr>
              <w:t>1 year</w:t>
            </w:r>
            <w:r w:rsidRPr="00884D9F">
              <w:rPr>
                <w:sz w:val="20"/>
              </w:rPr>
              <w:t>)</w:t>
            </w:r>
          </w:p>
        </w:tc>
        <w:tc>
          <w:tcPr>
            <w:tcW w:w="2871" w:type="dxa"/>
            <w:vAlign w:val="center"/>
          </w:tcPr>
          <w:p w:rsidR="00902EF0" w:rsidRDefault="00902EF0" w:rsidP="007500A5">
            <w:pPr>
              <w:pStyle w:val="BodyText"/>
              <w:spacing w:before="60" w:after="60"/>
              <w:jc w:val="right"/>
              <w:rPr>
                <w:sz w:val="20"/>
              </w:rPr>
            </w:pPr>
            <w:r>
              <w:rPr>
                <w:sz w:val="20"/>
              </w:rPr>
              <w:t>$28,980</w:t>
            </w:r>
          </w:p>
        </w:tc>
      </w:tr>
      <w:tr w:rsidR="00902EF0" w:rsidRPr="00C8251D" w:rsidTr="007500A5">
        <w:tc>
          <w:tcPr>
            <w:tcW w:w="2871" w:type="dxa"/>
            <w:shd w:val="clear" w:color="auto" w:fill="C6D9F1" w:themeFill="text2" w:themeFillTint="33"/>
          </w:tcPr>
          <w:p w:rsidR="00902EF0" w:rsidRDefault="00902EF0" w:rsidP="007500A5">
            <w:pPr>
              <w:pStyle w:val="BodyText"/>
              <w:spacing w:before="60" w:after="60"/>
              <w:rPr>
                <w:sz w:val="20"/>
              </w:rPr>
            </w:pPr>
            <w:r>
              <w:rPr>
                <w:sz w:val="20"/>
              </w:rPr>
              <w:t>Consultation (RIS)</w:t>
            </w:r>
          </w:p>
        </w:tc>
        <w:tc>
          <w:tcPr>
            <w:tcW w:w="2871" w:type="dxa"/>
            <w:vAlign w:val="center"/>
          </w:tcPr>
          <w:p w:rsidR="00902EF0" w:rsidRDefault="00902EF0" w:rsidP="00902EF0">
            <w:pPr>
              <w:pStyle w:val="BodyText"/>
              <w:spacing w:before="60" w:after="60"/>
              <w:jc w:val="right"/>
              <w:rPr>
                <w:sz w:val="20"/>
              </w:rPr>
            </w:pPr>
            <w:r w:rsidRPr="00884D9F">
              <w:rPr>
                <w:sz w:val="20"/>
              </w:rPr>
              <w:t>Initial (</w:t>
            </w:r>
            <w:r>
              <w:rPr>
                <w:sz w:val="20"/>
              </w:rPr>
              <w:t>1 year</w:t>
            </w:r>
            <w:r w:rsidRPr="00884D9F">
              <w:rPr>
                <w:sz w:val="20"/>
              </w:rPr>
              <w:t>)</w:t>
            </w:r>
          </w:p>
        </w:tc>
        <w:tc>
          <w:tcPr>
            <w:tcW w:w="2871" w:type="dxa"/>
            <w:vAlign w:val="center"/>
          </w:tcPr>
          <w:p w:rsidR="00902EF0" w:rsidRDefault="00902EF0" w:rsidP="007500A5">
            <w:pPr>
              <w:pStyle w:val="BodyText"/>
              <w:spacing w:before="60" w:after="60"/>
              <w:jc w:val="right"/>
              <w:rPr>
                <w:sz w:val="20"/>
              </w:rPr>
            </w:pPr>
            <w:r>
              <w:rPr>
                <w:sz w:val="20"/>
              </w:rPr>
              <w:t>$170,000</w:t>
            </w:r>
          </w:p>
        </w:tc>
      </w:tr>
      <w:tr w:rsidR="00902EF0" w:rsidRPr="00C8251D" w:rsidTr="007500A5">
        <w:tc>
          <w:tcPr>
            <w:tcW w:w="2871" w:type="dxa"/>
            <w:shd w:val="clear" w:color="auto" w:fill="C6D9F1" w:themeFill="text2" w:themeFillTint="33"/>
          </w:tcPr>
          <w:p w:rsidR="00902EF0" w:rsidRDefault="00902EF0" w:rsidP="007500A5">
            <w:pPr>
              <w:pStyle w:val="BodyText"/>
              <w:spacing w:before="60" w:after="60"/>
              <w:rPr>
                <w:sz w:val="20"/>
              </w:rPr>
            </w:pPr>
            <w:r>
              <w:rPr>
                <w:sz w:val="20"/>
              </w:rPr>
              <w:t>Decision (RIS)</w:t>
            </w:r>
          </w:p>
        </w:tc>
        <w:tc>
          <w:tcPr>
            <w:tcW w:w="2871" w:type="dxa"/>
            <w:vAlign w:val="center"/>
          </w:tcPr>
          <w:p w:rsidR="00902EF0" w:rsidRDefault="00902EF0" w:rsidP="007500A5">
            <w:pPr>
              <w:pStyle w:val="BodyText"/>
              <w:spacing w:before="60" w:after="60"/>
              <w:jc w:val="right"/>
              <w:rPr>
                <w:sz w:val="20"/>
              </w:rPr>
            </w:pPr>
            <w:r w:rsidRPr="00884D9F">
              <w:rPr>
                <w:sz w:val="20"/>
              </w:rPr>
              <w:t>Initial (</w:t>
            </w:r>
            <w:r>
              <w:rPr>
                <w:sz w:val="20"/>
              </w:rPr>
              <w:t>1 year</w:t>
            </w:r>
            <w:r w:rsidRPr="00884D9F">
              <w:rPr>
                <w:sz w:val="20"/>
              </w:rPr>
              <w:t>)</w:t>
            </w:r>
          </w:p>
        </w:tc>
        <w:tc>
          <w:tcPr>
            <w:tcW w:w="2871" w:type="dxa"/>
            <w:vAlign w:val="center"/>
          </w:tcPr>
          <w:p w:rsidR="00902EF0" w:rsidRDefault="00902EF0" w:rsidP="007500A5">
            <w:pPr>
              <w:pStyle w:val="BodyText"/>
              <w:spacing w:before="60" w:after="60"/>
              <w:jc w:val="right"/>
              <w:rPr>
                <w:sz w:val="20"/>
              </w:rPr>
            </w:pPr>
            <w:r>
              <w:rPr>
                <w:sz w:val="20"/>
              </w:rPr>
              <w:t>$250,000</w:t>
            </w:r>
          </w:p>
        </w:tc>
      </w:tr>
      <w:tr w:rsidR="00902EF0" w:rsidRPr="00C8251D" w:rsidTr="007500A5">
        <w:tc>
          <w:tcPr>
            <w:tcW w:w="2871" w:type="dxa"/>
            <w:shd w:val="clear" w:color="auto" w:fill="C6D9F1" w:themeFill="text2" w:themeFillTint="33"/>
          </w:tcPr>
          <w:p w:rsidR="00902EF0" w:rsidRDefault="00902EF0" w:rsidP="007500A5">
            <w:pPr>
              <w:pStyle w:val="BodyText"/>
              <w:spacing w:before="60" w:after="60"/>
              <w:rPr>
                <w:sz w:val="20"/>
              </w:rPr>
            </w:pPr>
            <w:r>
              <w:rPr>
                <w:sz w:val="20"/>
              </w:rPr>
              <w:t>Consultancies</w:t>
            </w:r>
          </w:p>
        </w:tc>
        <w:tc>
          <w:tcPr>
            <w:tcW w:w="2871" w:type="dxa"/>
            <w:vAlign w:val="center"/>
          </w:tcPr>
          <w:p w:rsidR="00902EF0" w:rsidRDefault="00902EF0" w:rsidP="007500A5">
            <w:pPr>
              <w:pStyle w:val="BodyText"/>
              <w:spacing w:before="60" w:after="60"/>
              <w:jc w:val="right"/>
              <w:rPr>
                <w:sz w:val="20"/>
              </w:rPr>
            </w:pPr>
            <w:r w:rsidRPr="00884D9F">
              <w:rPr>
                <w:sz w:val="20"/>
              </w:rPr>
              <w:t>Initial (</w:t>
            </w:r>
            <w:r>
              <w:rPr>
                <w:sz w:val="20"/>
              </w:rPr>
              <w:t>1 year</w:t>
            </w:r>
            <w:r w:rsidRPr="00884D9F">
              <w:rPr>
                <w:sz w:val="20"/>
              </w:rPr>
              <w:t>)</w:t>
            </w:r>
          </w:p>
        </w:tc>
        <w:tc>
          <w:tcPr>
            <w:tcW w:w="2871" w:type="dxa"/>
            <w:vAlign w:val="center"/>
          </w:tcPr>
          <w:p w:rsidR="00902EF0" w:rsidRDefault="00902EF0" w:rsidP="007500A5">
            <w:pPr>
              <w:pStyle w:val="BodyText"/>
              <w:spacing w:before="60" w:after="60"/>
              <w:jc w:val="right"/>
              <w:rPr>
                <w:sz w:val="20"/>
              </w:rPr>
            </w:pPr>
            <w:r>
              <w:rPr>
                <w:sz w:val="20"/>
              </w:rPr>
              <w:t>$200,000</w:t>
            </w:r>
          </w:p>
        </w:tc>
      </w:tr>
      <w:tr w:rsidR="00902EF0" w:rsidRPr="00C8251D" w:rsidTr="007500A5">
        <w:tc>
          <w:tcPr>
            <w:tcW w:w="2871" w:type="dxa"/>
            <w:shd w:val="clear" w:color="auto" w:fill="C6D9F1" w:themeFill="text2" w:themeFillTint="33"/>
          </w:tcPr>
          <w:p w:rsidR="00902EF0" w:rsidRDefault="00902EF0" w:rsidP="007500A5">
            <w:pPr>
              <w:pStyle w:val="BodyText"/>
              <w:spacing w:before="60" w:after="60"/>
              <w:rPr>
                <w:sz w:val="20"/>
              </w:rPr>
            </w:pPr>
            <w:r>
              <w:rPr>
                <w:sz w:val="20"/>
              </w:rPr>
              <w:t>Stakeholder consultation</w:t>
            </w:r>
          </w:p>
        </w:tc>
        <w:tc>
          <w:tcPr>
            <w:tcW w:w="2871" w:type="dxa"/>
            <w:vAlign w:val="center"/>
          </w:tcPr>
          <w:p w:rsidR="00902EF0" w:rsidRDefault="00902EF0" w:rsidP="007500A5">
            <w:pPr>
              <w:pStyle w:val="BodyText"/>
              <w:spacing w:before="60" w:after="60"/>
              <w:jc w:val="right"/>
              <w:rPr>
                <w:sz w:val="20"/>
              </w:rPr>
            </w:pPr>
            <w:r>
              <w:rPr>
                <w:sz w:val="20"/>
              </w:rPr>
              <w:t>Initial (1 year)</w:t>
            </w:r>
          </w:p>
        </w:tc>
        <w:tc>
          <w:tcPr>
            <w:tcW w:w="2871" w:type="dxa"/>
            <w:vAlign w:val="center"/>
          </w:tcPr>
          <w:p w:rsidR="00902EF0" w:rsidRDefault="00902EF0" w:rsidP="007500A5">
            <w:pPr>
              <w:pStyle w:val="BodyText"/>
              <w:spacing w:before="60" w:after="60"/>
              <w:jc w:val="right"/>
              <w:rPr>
                <w:sz w:val="20"/>
              </w:rPr>
            </w:pPr>
            <w:r>
              <w:rPr>
                <w:sz w:val="20"/>
              </w:rPr>
              <w:t>$126,000</w:t>
            </w:r>
          </w:p>
        </w:tc>
      </w:tr>
      <w:tr w:rsidR="00902EF0" w:rsidRPr="00C8251D" w:rsidTr="007500A5">
        <w:tc>
          <w:tcPr>
            <w:tcW w:w="2871" w:type="dxa"/>
            <w:shd w:val="clear" w:color="auto" w:fill="C6D9F1" w:themeFill="text2" w:themeFillTint="33"/>
          </w:tcPr>
          <w:p w:rsidR="00902EF0" w:rsidRDefault="00902EF0" w:rsidP="007500A5">
            <w:pPr>
              <w:pStyle w:val="BodyText"/>
              <w:spacing w:before="60" w:after="60"/>
              <w:rPr>
                <w:sz w:val="20"/>
              </w:rPr>
            </w:pPr>
            <w:r>
              <w:rPr>
                <w:sz w:val="20"/>
              </w:rPr>
              <w:t>IT systems</w:t>
            </w:r>
          </w:p>
        </w:tc>
        <w:tc>
          <w:tcPr>
            <w:tcW w:w="2871" w:type="dxa"/>
            <w:vAlign w:val="center"/>
          </w:tcPr>
          <w:p w:rsidR="00902EF0" w:rsidRDefault="00902EF0" w:rsidP="007500A5">
            <w:pPr>
              <w:pStyle w:val="BodyText"/>
              <w:spacing w:before="60" w:after="60"/>
              <w:jc w:val="right"/>
              <w:rPr>
                <w:sz w:val="20"/>
              </w:rPr>
            </w:pPr>
            <w:r>
              <w:rPr>
                <w:sz w:val="20"/>
              </w:rPr>
              <w:t>Initial (1 year)</w:t>
            </w:r>
          </w:p>
        </w:tc>
        <w:tc>
          <w:tcPr>
            <w:tcW w:w="2871" w:type="dxa"/>
            <w:vAlign w:val="center"/>
          </w:tcPr>
          <w:p w:rsidR="00902EF0" w:rsidRDefault="00902EF0" w:rsidP="007500A5">
            <w:pPr>
              <w:pStyle w:val="BodyText"/>
              <w:spacing w:before="60" w:after="60"/>
              <w:jc w:val="right"/>
              <w:rPr>
                <w:sz w:val="20"/>
              </w:rPr>
            </w:pPr>
            <w:r>
              <w:rPr>
                <w:sz w:val="20"/>
              </w:rPr>
              <w:t>$180,000</w:t>
            </w:r>
          </w:p>
        </w:tc>
      </w:tr>
      <w:tr w:rsidR="00902EF0" w:rsidRPr="00C8251D" w:rsidTr="007500A5">
        <w:tc>
          <w:tcPr>
            <w:tcW w:w="2871" w:type="dxa"/>
            <w:shd w:val="clear" w:color="auto" w:fill="C6D9F1" w:themeFill="text2" w:themeFillTint="33"/>
          </w:tcPr>
          <w:p w:rsidR="00902EF0" w:rsidRPr="00C8251D" w:rsidRDefault="00902EF0" w:rsidP="007500A5">
            <w:pPr>
              <w:pStyle w:val="BodyText"/>
              <w:spacing w:before="60" w:after="60"/>
              <w:rPr>
                <w:sz w:val="20"/>
              </w:rPr>
            </w:pPr>
            <w:r>
              <w:rPr>
                <w:sz w:val="20"/>
              </w:rPr>
              <w:t>FRLI lodgement</w:t>
            </w:r>
          </w:p>
        </w:tc>
        <w:tc>
          <w:tcPr>
            <w:tcW w:w="2871" w:type="dxa"/>
            <w:vAlign w:val="center"/>
          </w:tcPr>
          <w:p w:rsidR="00902EF0" w:rsidRDefault="00902EF0" w:rsidP="007500A5">
            <w:pPr>
              <w:pStyle w:val="BodyText"/>
              <w:spacing w:before="60" w:after="60"/>
              <w:jc w:val="right"/>
              <w:rPr>
                <w:sz w:val="20"/>
              </w:rPr>
            </w:pPr>
            <w:r>
              <w:rPr>
                <w:sz w:val="20"/>
              </w:rPr>
              <w:t>Initial (1 year)</w:t>
            </w:r>
          </w:p>
        </w:tc>
        <w:tc>
          <w:tcPr>
            <w:tcW w:w="2871" w:type="dxa"/>
            <w:vAlign w:val="center"/>
          </w:tcPr>
          <w:p w:rsidR="00902EF0" w:rsidRPr="00C8251D" w:rsidRDefault="00902EF0" w:rsidP="007500A5">
            <w:pPr>
              <w:pStyle w:val="BodyText"/>
              <w:spacing w:before="60" w:after="60"/>
              <w:jc w:val="right"/>
              <w:rPr>
                <w:sz w:val="20"/>
              </w:rPr>
            </w:pPr>
            <w:r>
              <w:rPr>
                <w:sz w:val="20"/>
              </w:rPr>
              <w:t>$5,000</w:t>
            </w:r>
          </w:p>
        </w:tc>
      </w:tr>
      <w:tr w:rsidR="00902EF0" w:rsidRPr="00C8251D" w:rsidTr="007500A5">
        <w:tc>
          <w:tcPr>
            <w:tcW w:w="2871" w:type="dxa"/>
            <w:shd w:val="clear" w:color="auto" w:fill="C6D9F1" w:themeFill="text2" w:themeFillTint="33"/>
          </w:tcPr>
          <w:p w:rsidR="00902EF0" w:rsidRPr="00C8251D" w:rsidRDefault="00902EF0" w:rsidP="007500A5">
            <w:pPr>
              <w:pStyle w:val="BodyText"/>
              <w:spacing w:before="60" w:after="60"/>
              <w:rPr>
                <w:sz w:val="20"/>
              </w:rPr>
            </w:pPr>
            <w:r>
              <w:rPr>
                <w:sz w:val="20"/>
              </w:rPr>
              <w:t>Specialist legal advice</w:t>
            </w:r>
          </w:p>
        </w:tc>
        <w:tc>
          <w:tcPr>
            <w:tcW w:w="2871" w:type="dxa"/>
            <w:vAlign w:val="center"/>
          </w:tcPr>
          <w:p w:rsidR="00902EF0" w:rsidRDefault="00902EF0" w:rsidP="007500A5">
            <w:pPr>
              <w:pStyle w:val="BodyText"/>
              <w:spacing w:before="60" w:after="60"/>
              <w:jc w:val="right"/>
              <w:rPr>
                <w:sz w:val="20"/>
              </w:rPr>
            </w:pPr>
            <w:r>
              <w:rPr>
                <w:sz w:val="20"/>
              </w:rPr>
              <w:t>Initial (1 year)</w:t>
            </w:r>
          </w:p>
        </w:tc>
        <w:tc>
          <w:tcPr>
            <w:tcW w:w="2871" w:type="dxa"/>
            <w:vAlign w:val="center"/>
          </w:tcPr>
          <w:p w:rsidR="00902EF0" w:rsidRPr="00F268D2" w:rsidRDefault="00902EF0" w:rsidP="007500A5">
            <w:pPr>
              <w:pStyle w:val="BodyText"/>
              <w:spacing w:before="60" w:after="60"/>
              <w:jc w:val="right"/>
              <w:rPr>
                <w:sz w:val="20"/>
              </w:rPr>
            </w:pPr>
            <w:r>
              <w:rPr>
                <w:sz w:val="20"/>
              </w:rPr>
              <w:t>$55,000</w:t>
            </w:r>
          </w:p>
        </w:tc>
      </w:tr>
      <w:tr w:rsidR="00902EF0" w:rsidRPr="00C8251D" w:rsidTr="007500A5">
        <w:tc>
          <w:tcPr>
            <w:tcW w:w="2871" w:type="dxa"/>
            <w:shd w:val="clear" w:color="auto" w:fill="C6D9F1" w:themeFill="text2" w:themeFillTint="33"/>
          </w:tcPr>
          <w:p w:rsidR="00902EF0" w:rsidRPr="00C8251D" w:rsidRDefault="00902EF0" w:rsidP="007500A5">
            <w:pPr>
              <w:pStyle w:val="BodyText"/>
              <w:spacing w:before="60" w:after="60"/>
              <w:rPr>
                <w:sz w:val="20"/>
              </w:rPr>
            </w:pPr>
            <w:r>
              <w:rPr>
                <w:sz w:val="20"/>
              </w:rPr>
              <w:t>Staff</w:t>
            </w:r>
            <w:r w:rsidR="007500A5">
              <w:rPr>
                <w:sz w:val="20"/>
              </w:rPr>
              <w:t xml:space="preserve"> Cost (EL1 – 4 FTEs)</w:t>
            </w:r>
          </w:p>
        </w:tc>
        <w:tc>
          <w:tcPr>
            <w:tcW w:w="2871" w:type="dxa"/>
            <w:vAlign w:val="center"/>
          </w:tcPr>
          <w:p w:rsidR="00902EF0" w:rsidRDefault="00902EF0" w:rsidP="007500A5">
            <w:pPr>
              <w:pStyle w:val="BodyText"/>
              <w:spacing w:before="60" w:after="60"/>
              <w:jc w:val="right"/>
              <w:rPr>
                <w:sz w:val="20"/>
              </w:rPr>
            </w:pPr>
            <w:r>
              <w:rPr>
                <w:sz w:val="20"/>
              </w:rPr>
              <w:t>Initial</w:t>
            </w:r>
            <w:r w:rsidR="007500A5">
              <w:rPr>
                <w:sz w:val="20"/>
              </w:rPr>
              <w:t xml:space="preserve"> (3 years)</w:t>
            </w:r>
          </w:p>
        </w:tc>
        <w:tc>
          <w:tcPr>
            <w:tcW w:w="2871" w:type="dxa"/>
            <w:vAlign w:val="center"/>
          </w:tcPr>
          <w:p w:rsidR="00902EF0" w:rsidRPr="00F268D2" w:rsidRDefault="007500A5" w:rsidP="007500A5">
            <w:pPr>
              <w:pStyle w:val="BodyText"/>
              <w:spacing w:before="60" w:after="60"/>
              <w:jc w:val="right"/>
              <w:rPr>
                <w:sz w:val="20"/>
              </w:rPr>
            </w:pPr>
            <w:r>
              <w:rPr>
                <w:sz w:val="20"/>
              </w:rPr>
              <w:t>$632,000</w:t>
            </w:r>
          </w:p>
        </w:tc>
      </w:tr>
      <w:tr w:rsidR="00902EF0" w:rsidRPr="00C8251D" w:rsidTr="007500A5">
        <w:tc>
          <w:tcPr>
            <w:tcW w:w="2871" w:type="dxa"/>
            <w:shd w:val="clear" w:color="auto" w:fill="C6D9F1" w:themeFill="text2" w:themeFillTint="33"/>
          </w:tcPr>
          <w:p w:rsidR="00902EF0" w:rsidRDefault="007500A5" w:rsidP="007500A5">
            <w:pPr>
              <w:pStyle w:val="BodyText"/>
              <w:spacing w:before="60" w:after="60"/>
              <w:rPr>
                <w:sz w:val="20"/>
              </w:rPr>
            </w:pPr>
            <w:r>
              <w:rPr>
                <w:sz w:val="20"/>
              </w:rPr>
              <w:t>Staff Cost (EL2 – 1 FTE)</w:t>
            </w:r>
          </w:p>
        </w:tc>
        <w:tc>
          <w:tcPr>
            <w:tcW w:w="2871" w:type="dxa"/>
            <w:vAlign w:val="center"/>
          </w:tcPr>
          <w:p w:rsidR="00902EF0" w:rsidRDefault="007500A5" w:rsidP="007500A5">
            <w:pPr>
              <w:pStyle w:val="BodyText"/>
              <w:spacing w:before="60" w:after="60"/>
              <w:jc w:val="right"/>
              <w:rPr>
                <w:sz w:val="20"/>
              </w:rPr>
            </w:pPr>
            <w:r>
              <w:rPr>
                <w:sz w:val="20"/>
              </w:rPr>
              <w:t>Initial (3 years)</w:t>
            </w:r>
          </w:p>
        </w:tc>
        <w:tc>
          <w:tcPr>
            <w:tcW w:w="2871" w:type="dxa"/>
            <w:vAlign w:val="center"/>
          </w:tcPr>
          <w:p w:rsidR="00902EF0" w:rsidRDefault="007500A5" w:rsidP="007500A5">
            <w:pPr>
              <w:pStyle w:val="BodyText"/>
              <w:spacing w:before="60" w:after="60"/>
              <w:jc w:val="right"/>
              <w:rPr>
                <w:sz w:val="20"/>
              </w:rPr>
            </w:pPr>
            <w:r>
              <w:rPr>
                <w:sz w:val="20"/>
              </w:rPr>
              <w:t>$194,000</w:t>
            </w:r>
          </w:p>
        </w:tc>
      </w:tr>
      <w:tr w:rsidR="00902EF0" w:rsidRPr="00C8251D" w:rsidTr="007500A5">
        <w:tc>
          <w:tcPr>
            <w:tcW w:w="2871" w:type="dxa"/>
            <w:shd w:val="clear" w:color="auto" w:fill="C6D9F1" w:themeFill="text2" w:themeFillTint="33"/>
          </w:tcPr>
          <w:p w:rsidR="00902EF0" w:rsidRDefault="007500A5" w:rsidP="007500A5">
            <w:pPr>
              <w:pStyle w:val="BodyText"/>
              <w:spacing w:before="60" w:after="60"/>
              <w:rPr>
                <w:sz w:val="20"/>
              </w:rPr>
            </w:pPr>
            <w:r>
              <w:rPr>
                <w:sz w:val="20"/>
              </w:rPr>
              <w:t>Staff Cost (APS 6 – 1 FTE)</w:t>
            </w:r>
          </w:p>
        </w:tc>
        <w:tc>
          <w:tcPr>
            <w:tcW w:w="2871" w:type="dxa"/>
            <w:vAlign w:val="center"/>
          </w:tcPr>
          <w:p w:rsidR="00902EF0" w:rsidRDefault="007500A5" w:rsidP="007500A5">
            <w:pPr>
              <w:pStyle w:val="BodyText"/>
              <w:spacing w:before="60" w:after="60"/>
              <w:jc w:val="right"/>
              <w:rPr>
                <w:sz w:val="20"/>
              </w:rPr>
            </w:pPr>
            <w:r>
              <w:rPr>
                <w:sz w:val="20"/>
              </w:rPr>
              <w:t>Initial (3 years)</w:t>
            </w:r>
          </w:p>
        </w:tc>
        <w:tc>
          <w:tcPr>
            <w:tcW w:w="2871" w:type="dxa"/>
            <w:vAlign w:val="center"/>
          </w:tcPr>
          <w:p w:rsidR="00902EF0" w:rsidRDefault="007500A5" w:rsidP="007500A5">
            <w:pPr>
              <w:pStyle w:val="BodyText"/>
              <w:spacing w:before="60" w:after="60"/>
              <w:jc w:val="right"/>
              <w:rPr>
                <w:sz w:val="20"/>
              </w:rPr>
            </w:pPr>
            <w:r>
              <w:rPr>
                <w:sz w:val="20"/>
              </w:rPr>
              <w:t>$131,000</w:t>
            </w:r>
          </w:p>
        </w:tc>
      </w:tr>
      <w:tr w:rsidR="00902EF0" w:rsidRPr="00C8251D" w:rsidTr="007500A5">
        <w:tc>
          <w:tcPr>
            <w:tcW w:w="2871" w:type="dxa"/>
            <w:shd w:val="clear" w:color="auto" w:fill="C6D9F1" w:themeFill="text2" w:themeFillTint="33"/>
          </w:tcPr>
          <w:p w:rsidR="00902EF0" w:rsidRDefault="007500A5" w:rsidP="007500A5">
            <w:pPr>
              <w:pStyle w:val="BodyText"/>
              <w:spacing w:before="60" w:after="60"/>
              <w:rPr>
                <w:sz w:val="20"/>
              </w:rPr>
            </w:pPr>
            <w:r>
              <w:rPr>
                <w:sz w:val="20"/>
              </w:rPr>
              <w:t>Staff Cost (APS 5 – 1 FTE)</w:t>
            </w:r>
          </w:p>
        </w:tc>
        <w:tc>
          <w:tcPr>
            <w:tcW w:w="2871" w:type="dxa"/>
            <w:vAlign w:val="center"/>
          </w:tcPr>
          <w:p w:rsidR="00902EF0" w:rsidRDefault="007500A5" w:rsidP="007500A5">
            <w:pPr>
              <w:pStyle w:val="BodyText"/>
              <w:spacing w:before="60" w:after="60"/>
              <w:jc w:val="right"/>
              <w:rPr>
                <w:sz w:val="20"/>
              </w:rPr>
            </w:pPr>
            <w:r>
              <w:rPr>
                <w:sz w:val="20"/>
              </w:rPr>
              <w:t>Initial (3 years)</w:t>
            </w:r>
          </w:p>
        </w:tc>
        <w:tc>
          <w:tcPr>
            <w:tcW w:w="2871" w:type="dxa"/>
            <w:vAlign w:val="center"/>
          </w:tcPr>
          <w:p w:rsidR="00902EF0" w:rsidRDefault="007500A5" w:rsidP="007500A5">
            <w:pPr>
              <w:pStyle w:val="BodyText"/>
              <w:spacing w:before="60" w:after="60"/>
              <w:jc w:val="right"/>
              <w:rPr>
                <w:sz w:val="20"/>
              </w:rPr>
            </w:pPr>
            <w:r>
              <w:rPr>
                <w:sz w:val="20"/>
              </w:rPr>
              <w:t>$115,000</w:t>
            </w:r>
          </w:p>
        </w:tc>
      </w:tr>
      <w:tr w:rsidR="00902EF0" w:rsidRPr="00C8251D" w:rsidTr="007500A5">
        <w:tc>
          <w:tcPr>
            <w:tcW w:w="2871" w:type="dxa"/>
            <w:shd w:val="clear" w:color="auto" w:fill="C6D9F1" w:themeFill="text2" w:themeFillTint="33"/>
          </w:tcPr>
          <w:p w:rsidR="00902EF0" w:rsidRDefault="007500A5" w:rsidP="007500A5">
            <w:pPr>
              <w:pStyle w:val="BodyText"/>
              <w:spacing w:before="60" w:after="60"/>
              <w:rPr>
                <w:sz w:val="20"/>
              </w:rPr>
            </w:pPr>
            <w:r>
              <w:rPr>
                <w:sz w:val="20"/>
              </w:rPr>
              <w:t>Litigation costs</w:t>
            </w:r>
          </w:p>
        </w:tc>
        <w:tc>
          <w:tcPr>
            <w:tcW w:w="2871" w:type="dxa"/>
            <w:vAlign w:val="center"/>
          </w:tcPr>
          <w:p w:rsidR="00902EF0" w:rsidRPr="00884D9F" w:rsidRDefault="007500A5" w:rsidP="007500A5">
            <w:pPr>
              <w:pStyle w:val="BodyText"/>
              <w:spacing w:before="60" w:after="60"/>
              <w:jc w:val="right"/>
              <w:rPr>
                <w:sz w:val="20"/>
              </w:rPr>
            </w:pPr>
            <w:r>
              <w:rPr>
                <w:sz w:val="20"/>
              </w:rPr>
              <w:t>Ongoing</w:t>
            </w:r>
          </w:p>
        </w:tc>
        <w:tc>
          <w:tcPr>
            <w:tcW w:w="2871" w:type="dxa"/>
            <w:vAlign w:val="center"/>
          </w:tcPr>
          <w:p w:rsidR="00902EF0" w:rsidRDefault="007500A5" w:rsidP="007500A5">
            <w:pPr>
              <w:pStyle w:val="BodyText"/>
              <w:spacing w:before="60" w:after="60"/>
              <w:jc w:val="right"/>
              <w:rPr>
                <w:sz w:val="20"/>
              </w:rPr>
            </w:pPr>
            <w:r>
              <w:rPr>
                <w:sz w:val="20"/>
              </w:rPr>
              <w:t>$50,000</w:t>
            </w:r>
          </w:p>
        </w:tc>
      </w:tr>
      <w:tr w:rsidR="007500A5" w:rsidRPr="00C8251D" w:rsidTr="007500A5">
        <w:tc>
          <w:tcPr>
            <w:tcW w:w="2871" w:type="dxa"/>
            <w:shd w:val="clear" w:color="auto" w:fill="C6D9F1" w:themeFill="text2" w:themeFillTint="33"/>
          </w:tcPr>
          <w:p w:rsidR="007500A5" w:rsidRDefault="007500A5" w:rsidP="007500A5">
            <w:pPr>
              <w:pStyle w:val="BodyText"/>
              <w:spacing w:before="60" w:after="60"/>
              <w:rPr>
                <w:sz w:val="20"/>
              </w:rPr>
            </w:pPr>
            <w:r>
              <w:rPr>
                <w:sz w:val="20"/>
              </w:rPr>
              <w:t>IT system development</w:t>
            </w:r>
          </w:p>
        </w:tc>
        <w:tc>
          <w:tcPr>
            <w:tcW w:w="2871" w:type="dxa"/>
            <w:vAlign w:val="center"/>
          </w:tcPr>
          <w:p w:rsidR="007500A5" w:rsidRPr="00884D9F" w:rsidRDefault="007500A5" w:rsidP="007500A5">
            <w:pPr>
              <w:pStyle w:val="BodyText"/>
              <w:spacing w:before="60" w:after="60"/>
              <w:jc w:val="right"/>
              <w:rPr>
                <w:sz w:val="20"/>
              </w:rPr>
            </w:pPr>
            <w:r>
              <w:rPr>
                <w:sz w:val="20"/>
              </w:rPr>
              <w:t>Ongoing</w:t>
            </w:r>
          </w:p>
        </w:tc>
        <w:tc>
          <w:tcPr>
            <w:tcW w:w="2871" w:type="dxa"/>
            <w:vAlign w:val="center"/>
          </w:tcPr>
          <w:p w:rsidR="007500A5" w:rsidRDefault="007500A5" w:rsidP="007500A5">
            <w:pPr>
              <w:pStyle w:val="BodyText"/>
              <w:spacing w:before="60" w:after="60"/>
              <w:jc w:val="right"/>
              <w:rPr>
                <w:sz w:val="20"/>
              </w:rPr>
            </w:pPr>
            <w:r>
              <w:rPr>
                <w:sz w:val="20"/>
              </w:rPr>
              <w:t>$180,000</w:t>
            </w:r>
          </w:p>
        </w:tc>
      </w:tr>
      <w:tr w:rsidR="007500A5" w:rsidRPr="00C8251D" w:rsidTr="007500A5">
        <w:tc>
          <w:tcPr>
            <w:tcW w:w="2871" w:type="dxa"/>
            <w:shd w:val="clear" w:color="auto" w:fill="C6D9F1" w:themeFill="text2" w:themeFillTint="33"/>
          </w:tcPr>
          <w:p w:rsidR="007500A5" w:rsidRDefault="007500A5" w:rsidP="007500A5">
            <w:pPr>
              <w:pStyle w:val="BodyText"/>
              <w:spacing w:before="60" w:after="60"/>
              <w:rPr>
                <w:sz w:val="20"/>
              </w:rPr>
            </w:pPr>
            <w:r>
              <w:rPr>
                <w:sz w:val="20"/>
              </w:rPr>
              <w:t>FRLI</w:t>
            </w:r>
          </w:p>
        </w:tc>
        <w:tc>
          <w:tcPr>
            <w:tcW w:w="2871" w:type="dxa"/>
            <w:vAlign w:val="center"/>
          </w:tcPr>
          <w:p w:rsidR="007500A5" w:rsidRPr="00884D9F" w:rsidRDefault="007500A5" w:rsidP="007500A5">
            <w:pPr>
              <w:pStyle w:val="BodyText"/>
              <w:spacing w:before="60" w:after="60"/>
              <w:jc w:val="right"/>
              <w:rPr>
                <w:sz w:val="20"/>
              </w:rPr>
            </w:pPr>
            <w:r>
              <w:rPr>
                <w:sz w:val="20"/>
              </w:rPr>
              <w:t>Ongoing</w:t>
            </w:r>
          </w:p>
        </w:tc>
        <w:tc>
          <w:tcPr>
            <w:tcW w:w="2871" w:type="dxa"/>
            <w:vAlign w:val="center"/>
          </w:tcPr>
          <w:p w:rsidR="007500A5" w:rsidRDefault="007500A5" w:rsidP="007500A5">
            <w:pPr>
              <w:pStyle w:val="BodyText"/>
              <w:spacing w:before="60" w:after="60"/>
              <w:jc w:val="right"/>
              <w:rPr>
                <w:sz w:val="20"/>
              </w:rPr>
            </w:pPr>
            <w:r>
              <w:rPr>
                <w:sz w:val="20"/>
              </w:rPr>
              <w:t>$5,000</w:t>
            </w:r>
          </w:p>
        </w:tc>
      </w:tr>
      <w:tr w:rsidR="007500A5" w:rsidRPr="00C8251D" w:rsidTr="007500A5">
        <w:tc>
          <w:tcPr>
            <w:tcW w:w="2871" w:type="dxa"/>
            <w:shd w:val="clear" w:color="auto" w:fill="C6D9F1" w:themeFill="text2" w:themeFillTint="33"/>
          </w:tcPr>
          <w:p w:rsidR="007500A5" w:rsidRDefault="007500A5" w:rsidP="007500A5">
            <w:pPr>
              <w:pStyle w:val="BodyText"/>
              <w:spacing w:before="60" w:after="60"/>
              <w:rPr>
                <w:sz w:val="20"/>
              </w:rPr>
            </w:pPr>
            <w:r>
              <w:rPr>
                <w:sz w:val="20"/>
              </w:rPr>
              <w:t>Specialist legal advice</w:t>
            </w:r>
          </w:p>
        </w:tc>
        <w:tc>
          <w:tcPr>
            <w:tcW w:w="2871" w:type="dxa"/>
            <w:vAlign w:val="center"/>
          </w:tcPr>
          <w:p w:rsidR="007500A5" w:rsidRPr="00884D9F" w:rsidRDefault="007500A5" w:rsidP="007500A5">
            <w:pPr>
              <w:pStyle w:val="BodyText"/>
              <w:spacing w:before="60" w:after="60"/>
              <w:jc w:val="right"/>
              <w:rPr>
                <w:sz w:val="20"/>
              </w:rPr>
            </w:pPr>
            <w:r>
              <w:rPr>
                <w:sz w:val="20"/>
              </w:rPr>
              <w:t>Ongoing</w:t>
            </w:r>
          </w:p>
        </w:tc>
        <w:tc>
          <w:tcPr>
            <w:tcW w:w="2871" w:type="dxa"/>
            <w:vAlign w:val="center"/>
          </w:tcPr>
          <w:p w:rsidR="007500A5" w:rsidRDefault="007500A5" w:rsidP="007500A5">
            <w:pPr>
              <w:pStyle w:val="BodyText"/>
              <w:spacing w:before="60" w:after="60"/>
              <w:jc w:val="right"/>
              <w:rPr>
                <w:sz w:val="20"/>
              </w:rPr>
            </w:pPr>
            <w:r>
              <w:rPr>
                <w:sz w:val="20"/>
              </w:rPr>
              <w:t>$55,000</w:t>
            </w:r>
          </w:p>
        </w:tc>
      </w:tr>
      <w:tr w:rsidR="007500A5" w:rsidRPr="00C8251D" w:rsidTr="007500A5">
        <w:tc>
          <w:tcPr>
            <w:tcW w:w="2871" w:type="dxa"/>
            <w:shd w:val="clear" w:color="auto" w:fill="C6D9F1" w:themeFill="text2" w:themeFillTint="33"/>
          </w:tcPr>
          <w:p w:rsidR="007500A5" w:rsidRDefault="007500A5" w:rsidP="007500A5">
            <w:pPr>
              <w:pStyle w:val="BodyText"/>
              <w:spacing w:before="60" w:after="60"/>
              <w:rPr>
                <w:sz w:val="20"/>
              </w:rPr>
            </w:pPr>
            <w:r>
              <w:rPr>
                <w:sz w:val="20"/>
              </w:rPr>
              <w:t>Compliance officers</w:t>
            </w:r>
          </w:p>
        </w:tc>
        <w:tc>
          <w:tcPr>
            <w:tcW w:w="2871" w:type="dxa"/>
            <w:vAlign w:val="center"/>
          </w:tcPr>
          <w:p w:rsidR="007500A5" w:rsidRDefault="007500A5" w:rsidP="007500A5">
            <w:pPr>
              <w:pStyle w:val="BodyText"/>
              <w:spacing w:before="60" w:after="60"/>
              <w:jc w:val="right"/>
              <w:rPr>
                <w:sz w:val="20"/>
              </w:rPr>
            </w:pPr>
            <w:r>
              <w:rPr>
                <w:sz w:val="20"/>
              </w:rPr>
              <w:t>Ongoing</w:t>
            </w:r>
          </w:p>
        </w:tc>
        <w:tc>
          <w:tcPr>
            <w:tcW w:w="2871" w:type="dxa"/>
            <w:vAlign w:val="center"/>
          </w:tcPr>
          <w:p w:rsidR="007500A5" w:rsidRDefault="007500A5" w:rsidP="007500A5">
            <w:pPr>
              <w:pStyle w:val="BodyText"/>
              <w:spacing w:before="60" w:after="60"/>
              <w:jc w:val="right"/>
              <w:rPr>
                <w:sz w:val="20"/>
              </w:rPr>
            </w:pPr>
            <w:r>
              <w:rPr>
                <w:sz w:val="20"/>
              </w:rPr>
              <w:t>$405,000</w:t>
            </w:r>
          </w:p>
        </w:tc>
      </w:tr>
      <w:tr w:rsidR="007500A5" w:rsidRPr="00C8251D" w:rsidTr="007500A5">
        <w:tc>
          <w:tcPr>
            <w:tcW w:w="2871" w:type="dxa"/>
            <w:shd w:val="clear" w:color="auto" w:fill="C6D9F1" w:themeFill="text2" w:themeFillTint="33"/>
          </w:tcPr>
          <w:p w:rsidR="007500A5" w:rsidRDefault="00CF285D" w:rsidP="00463815">
            <w:pPr>
              <w:pStyle w:val="BodyText"/>
              <w:spacing w:before="60" w:after="60"/>
              <w:rPr>
                <w:sz w:val="20"/>
              </w:rPr>
            </w:pPr>
            <w:r>
              <w:rPr>
                <w:sz w:val="20"/>
              </w:rPr>
              <w:t xml:space="preserve">Staff </w:t>
            </w:r>
            <w:r w:rsidR="00463815">
              <w:rPr>
                <w:sz w:val="20"/>
              </w:rPr>
              <w:t>c</w:t>
            </w:r>
            <w:r>
              <w:rPr>
                <w:sz w:val="20"/>
              </w:rPr>
              <w:t>ost (EL1 – 1 FTE</w:t>
            </w:r>
            <w:r w:rsidR="007500A5">
              <w:rPr>
                <w:sz w:val="20"/>
              </w:rPr>
              <w:t>)</w:t>
            </w:r>
          </w:p>
        </w:tc>
        <w:tc>
          <w:tcPr>
            <w:tcW w:w="2871" w:type="dxa"/>
            <w:vAlign w:val="center"/>
          </w:tcPr>
          <w:p w:rsidR="007500A5" w:rsidRDefault="00CF285D" w:rsidP="007500A5">
            <w:pPr>
              <w:pStyle w:val="BodyText"/>
              <w:spacing w:before="60" w:after="60"/>
              <w:jc w:val="right"/>
              <w:rPr>
                <w:sz w:val="20"/>
              </w:rPr>
            </w:pPr>
            <w:r>
              <w:rPr>
                <w:sz w:val="20"/>
              </w:rPr>
              <w:t>Ongoing</w:t>
            </w:r>
          </w:p>
        </w:tc>
        <w:tc>
          <w:tcPr>
            <w:tcW w:w="2871" w:type="dxa"/>
            <w:vAlign w:val="center"/>
          </w:tcPr>
          <w:p w:rsidR="007500A5" w:rsidRDefault="00EA2607" w:rsidP="007500A5">
            <w:pPr>
              <w:pStyle w:val="BodyText"/>
              <w:spacing w:before="60" w:after="60"/>
              <w:jc w:val="right"/>
              <w:rPr>
                <w:sz w:val="20"/>
              </w:rPr>
            </w:pPr>
            <w:r>
              <w:rPr>
                <w:sz w:val="20"/>
              </w:rPr>
              <w:t>$158,000</w:t>
            </w:r>
          </w:p>
        </w:tc>
      </w:tr>
      <w:tr w:rsidR="007500A5" w:rsidRPr="00C8251D" w:rsidTr="007500A5">
        <w:tc>
          <w:tcPr>
            <w:tcW w:w="2871" w:type="dxa"/>
            <w:shd w:val="clear" w:color="auto" w:fill="C6D9F1" w:themeFill="text2" w:themeFillTint="33"/>
          </w:tcPr>
          <w:p w:rsidR="007500A5" w:rsidRDefault="007500A5" w:rsidP="00463815">
            <w:pPr>
              <w:pStyle w:val="BodyText"/>
              <w:spacing w:before="60" w:after="60"/>
              <w:rPr>
                <w:sz w:val="20"/>
              </w:rPr>
            </w:pPr>
            <w:r>
              <w:rPr>
                <w:sz w:val="20"/>
              </w:rPr>
              <w:t xml:space="preserve">Staff </w:t>
            </w:r>
            <w:r w:rsidR="00463815">
              <w:rPr>
                <w:sz w:val="20"/>
              </w:rPr>
              <w:t>c</w:t>
            </w:r>
            <w:r>
              <w:rPr>
                <w:sz w:val="20"/>
              </w:rPr>
              <w:t xml:space="preserve">ost (EL2 – </w:t>
            </w:r>
            <w:r w:rsidR="00EA2607">
              <w:rPr>
                <w:sz w:val="20"/>
              </w:rPr>
              <w:t>0.5</w:t>
            </w:r>
            <w:r>
              <w:rPr>
                <w:sz w:val="20"/>
              </w:rPr>
              <w:t xml:space="preserve"> FTE)</w:t>
            </w:r>
          </w:p>
        </w:tc>
        <w:tc>
          <w:tcPr>
            <w:tcW w:w="2871" w:type="dxa"/>
            <w:vAlign w:val="center"/>
          </w:tcPr>
          <w:p w:rsidR="007500A5" w:rsidRDefault="00EA2607" w:rsidP="007500A5">
            <w:pPr>
              <w:pStyle w:val="BodyText"/>
              <w:spacing w:before="60" w:after="60"/>
              <w:jc w:val="right"/>
              <w:rPr>
                <w:sz w:val="20"/>
              </w:rPr>
            </w:pPr>
            <w:r>
              <w:rPr>
                <w:sz w:val="20"/>
              </w:rPr>
              <w:t>Ongoing</w:t>
            </w:r>
          </w:p>
        </w:tc>
        <w:tc>
          <w:tcPr>
            <w:tcW w:w="2871" w:type="dxa"/>
            <w:vAlign w:val="center"/>
          </w:tcPr>
          <w:p w:rsidR="007500A5" w:rsidRDefault="00EA2607" w:rsidP="007500A5">
            <w:pPr>
              <w:pStyle w:val="BodyText"/>
              <w:spacing w:before="60" w:after="60"/>
              <w:jc w:val="right"/>
              <w:rPr>
                <w:sz w:val="20"/>
              </w:rPr>
            </w:pPr>
            <w:r>
              <w:rPr>
                <w:sz w:val="20"/>
              </w:rPr>
              <w:t>$97,000</w:t>
            </w:r>
          </w:p>
        </w:tc>
      </w:tr>
      <w:tr w:rsidR="007500A5" w:rsidRPr="00C8251D" w:rsidTr="007500A5">
        <w:tc>
          <w:tcPr>
            <w:tcW w:w="2871" w:type="dxa"/>
            <w:shd w:val="clear" w:color="auto" w:fill="C6D9F1" w:themeFill="text2" w:themeFillTint="33"/>
          </w:tcPr>
          <w:p w:rsidR="007500A5" w:rsidRDefault="007500A5" w:rsidP="00463815">
            <w:pPr>
              <w:pStyle w:val="BodyText"/>
              <w:spacing w:before="60" w:after="60"/>
              <w:rPr>
                <w:sz w:val="20"/>
              </w:rPr>
            </w:pPr>
            <w:r>
              <w:rPr>
                <w:sz w:val="20"/>
              </w:rPr>
              <w:t xml:space="preserve">Staff </w:t>
            </w:r>
            <w:r w:rsidR="00463815">
              <w:rPr>
                <w:sz w:val="20"/>
              </w:rPr>
              <w:t>c</w:t>
            </w:r>
            <w:r>
              <w:rPr>
                <w:sz w:val="20"/>
              </w:rPr>
              <w:t xml:space="preserve">ost (APS 6 – </w:t>
            </w:r>
            <w:r w:rsidR="00EA2607">
              <w:rPr>
                <w:sz w:val="20"/>
              </w:rPr>
              <w:t>2</w:t>
            </w:r>
            <w:r>
              <w:rPr>
                <w:sz w:val="20"/>
              </w:rPr>
              <w:t xml:space="preserve"> FTE</w:t>
            </w:r>
            <w:r w:rsidR="00EA2607">
              <w:rPr>
                <w:sz w:val="20"/>
              </w:rPr>
              <w:t>s</w:t>
            </w:r>
            <w:r>
              <w:rPr>
                <w:sz w:val="20"/>
              </w:rPr>
              <w:t>)</w:t>
            </w:r>
          </w:p>
        </w:tc>
        <w:tc>
          <w:tcPr>
            <w:tcW w:w="2871" w:type="dxa"/>
            <w:vAlign w:val="center"/>
          </w:tcPr>
          <w:p w:rsidR="007500A5" w:rsidRDefault="00EA2607" w:rsidP="007500A5">
            <w:pPr>
              <w:pStyle w:val="BodyText"/>
              <w:spacing w:before="60" w:after="60"/>
              <w:jc w:val="right"/>
              <w:rPr>
                <w:sz w:val="20"/>
              </w:rPr>
            </w:pPr>
            <w:r>
              <w:rPr>
                <w:sz w:val="20"/>
              </w:rPr>
              <w:t>Ongoing</w:t>
            </w:r>
          </w:p>
        </w:tc>
        <w:tc>
          <w:tcPr>
            <w:tcW w:w="2871" w:type="dxa"/>
            <w:vAlign w:val="center"/>
          </w:tcPr>
          <w:p w:rsidR="007500A5" w:rsidRDefault="00EA2607" w:rsidP="007500A5">
            <w:pPr>
              <w:pStyle w:val="BodyText"/>
              <w:spacing w:before="60" w:after="60"/>
              <w:jc w:val="right"/>
              <w:rPr>
                <w:sz w:val="20"/>
              </w:rPr>
            </w:pPr>
            <w:r>
              <w:rPr>
                <w:sz w:val="20"/>
              </w:rPr>
              <w:t>$262,000</w:t>
            </w:r>
          </w:p>
        </w:tc>
      </w:tr>
      <w:tr w:rsidR="007500A5" w:rsidRPr="00C8251D" w:rsidTr="007500A5">
        <w:tc>
          <w:tcPr>
            <w:tcW w:w="2871" w:type="dxa"/>
            <w:shd w:val="clear" w:color="auto" w:fill="C6D9F1" w:themeFill="text2" w:themeFillTint="33"/>
          </w:tcPr>
          <w:p w:rsidR="007500A5" w:rsidRDefault="00463815" w:rsidP="007500A5">
            <w:pPr>
              <w:pStyle w:val="BodyText"/>
              <w:spacing w:before="60" w:after="60"/>
              <w:rPr>
                <w:sz w:val="20"/>
              </w:rPr>
            </w:pPr>
            <w:r>
              <w:rPr>
                <w:sz w:val="20"/>
              </w:rPr>
              <w:t>Staff c</w:t>
            </w:r>
            <w:r w:rsidR="007500A5">
              <w:rPr>
                <w:sz w:val="20"/>
              </w:rPr>
              <w:t>ost (APS 5 – 1 FTE)</w:t>
            </w:r>
          </w:p>
        </w:tc>
        <w:tc>
          <w:tcPr>
            <w:tcW w:w="2871" w:type="dxa"/>
            <w:vAlign w:val="center"/>
          </w:tcPr>
          <w:p w:rsidR="007500A5" w:rsidRDefault="00EA2607" w:rsidP="007500A5">
            <w:pPr>
              <w:pStyle w:val="BodyText"/>
              <w:spacing w:before="60" w:after="60"/>
              <w:jc w:val="right"/>
              <w:rPr>
                <w:sz w:val="20"/>
              </w:rPr>
            </w:pPr>
            <w:r>
              <w:rPr>
                <w:sz w:val="20"/>
              </w:rPr>
              <w:t>Ongoing</w:t>
            </w:r>
          </w:p>
        </w:tc>
        <w:tc>
          <w:tcPr>
            <w:tcW w:w="2871" w:type="dxa"/>
            <w:vAlign w:val="center"/>
          </w:tcPr>
          <w:p w:rsidR="007500A5" w:rsidRDefault="00EA2607" w:rsidP="007500A5">
            <w:pPr>
              <w:pStyle w:val="BodyText"/>
              <w:spacing w:before="60" w:after="60"/>
              <w:jc w:val="right"/>
              <w:rPr>
                <w:sz w:val="20"/>
              </w:rPr>
            </w:pPr>
            <w:r>
              <w:rPr>
                <w:sz w:val="20"/>
              </w:rPr>
              <w:t>$115,000</w:t>
            </w:r>
          </w:p>
        </w:tc>
      </w:tr>
    </w:tbl>
    <w:p w:rsidR="004F7431" w:rsidRDefault="004F7431" w:rsidP="004F7431">
      <w:pPr>
        <w:pStyle w:val="Source"/>
      </w:pPr>
      <w:r>
        <w:t>Source: Department of the Environment</w:t>
      </w:r>
    </w:p>
    <w:p w:rsidR="004F7431" w:rsidRDefault="004F7431" w:rsidP="000E1FD9">
      <w:pPr>
        <w:pStyle w:val="BodyText"/>
      </w:pPr>
    </w:p>
    <w:p w:rsidR="00400BE8" w:rsidRDefault="00400BE8">
      <w:pPr>
        <w:rPr>
          <w:bCs/>
          <w:i/>
          <w:sz w:val="20"/>
        </w:rPr>
      </w:pPr>
      <w:r>
        <w:br w:type="page"/>
      </w:r>
    </w:p>
    <w:p w:rsidR="00EA2607" w:rsidRDefault="00EA2607" w:rsidP="00EA2607">
      <w:pPr>
        <w:pStyle w:val="Caption"/>
      </w:pPr>
      <w:r>
        <w:lastRenderedPageBreak/>
        <w:t xml:space="preserve">Appendix Table C </w:t>
      </w:r>
      <w:r w:rsidR="00586F30">
        <w:fldChar w:fldCharType="begin"/>
      </w:r>
      <w:r>
        <w:instrText xml:space="preserve"> SEQ Appendix_Table_C \* ARABIC </w:instrText>
      </w:r>
      <w:r w:rsidR="00586F30">
        <w:fldChar w:fldCharType="separate"/>
      </w:r>
      <w:r w:rsidR="001E5D7A">
        <w:rPr>
          <w:noProof/>
        </w:rPr>
        <w:t>4</w:t>
      </w:r>
      <w:r w:rsidR="00586F30">
        <w:fldChar w:fldCharType="end"/>
      </w:r>
      <w:r>
        <w:t>: Industry costs of compliance ($2014), Option 2</w:t>
      </w:r>
    </w:p>
    <w:tbl>
      <w:tblPr>
        <w:tblStyle w:val="TableGrid"/>
        <w:tblW w:w="8613"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tblPr>
      <w:tblGrid>
        <w:gridCol w:w="3369"/>
        <w:gridCol w:w="2373"/>
        <w:gridCol w:w="2871"/>
      </w:tblGrid>
      <w:tr w:rsidR="00EA2607" w:rsidRPr="00C8251D" w:rsidTr="00400BE8">
        <w:trPr>
          <w:tblHeader/>
        </w:trPr>
        <w:tc>
          <w:tcPr>
            <w:tcW w:w="3369" w:type="dxa"/>
            <w:shd w:val="clear" w:color="auto" w:fill="1F497D" w:themeFill="text2"/>
          </w:tcPr>
          <w:p w:rsidR="00EA2607" w:rsidRPr="00884D9F" w:rsidRDefault="00EA2607" w:rsidP="00A516EB">
            <w:pPr>
              <w:pStyle w:val="BodyText"/>
              <w:spacing w:before="60" w:after="60"/>
              <w:rPr>
                <w:b/>
                <w:color w:val="FFFFFF" w:themeColor="background1"/>
                <w:sz w:val="20"/>
              </w:rPr>
            </w:pPr>
            <w:r w:rsidRPr="00884D9F">
              <w:rPr>
                <w:b/>
                <w:color w:val="FFFFFF" w:themeColor="background1"/>
                <w:sz w:val="20"/>
              </w:rPr>
              <w:t>Description</w:t>
            </w:r>
          </w:p>
        </w:tc>
        <w:tc>
          <w:tcPr>
            <w:tcW w:w="2373" w:type="dxa"/>
            <w:shd w:val="clear" w:color="auto" w:fill="1F497D" w:themeFill="text2"/>
            <w:vAlign w:val="center"/>
          </w:tcPr>
          <w:p w:rsidR="00EA2607" w:rsidRPr="00884D9F" w:rsidRDefault="00EA2607" w:rsidP="00A516EB">
            <w:pPr>
              <w:pStyle w:val="BodyText"/>
              <w:spacing w:before="60" w:after="60"/>
              <w:jc w:val="right"/>
              <w:rPr>
                <w:b/>
                <w:color w:val="FFFFFF" w:themeColor="background1"/>
                <w:sz w:val="20"/>
              </w:rPr>
            </w:pPr>
            <w:r w:rsidRPr="00884D9F">
              <w:rPr>
                <w:b/>
                <w:color w:val="FFFFFF" w:themeColor="background1"/>
                <w:sz w:val="20"/>
              </w:rPr>
              <w:t>Type of cost</w:t>
            </w:r>
          </w:p>
        </w:tc>
        <w:tc>
          <w:tcPr>
            <w:tcW w:w="2871" w:type="dxa"/>
            <w:shd w:val="clear" w:color="auto" w:fill="1F497D" w:themeFill="text2"/>
            <w:vAlign w:val="center"/>
          </w:tcPr>
          <w:p w:rsidR="00EA2607" w:rsidRPr="00884D9F" w:rsidRDefault="00EA2607" w:rsidP="00A516EB">
            <w:pPr>
              <w:pStyle w:val="BodyText"/>
              <w:spacing w:before="60" w:after="60"/>
              <w:jc w:val="right"/>
              <w:rPr>
                <w:b/>
                <w:color w:val="FFFFFF" w:themeColor="background1"/>
                <w:sz w:val="20"/>
              </w:rPr>
            </w:pPr>
            <w:r>
              <w:rPr>
                <w:b/>
                <w:color w:val="FFFFFF" w:themeColor="background1"/>
                <w:sz w:val="20"/>
              </w:rPr>
              <w:t>Cost per annum</w:t>
            </w:r>
          </w:p>
        </w:tc>
      </w:tr>
      <w:tr w:rsidR="00EA2607" w:rsidRPr="00C8251D" w:rsidTr="00400BE8">
        <w:tc>
          <w:tcPr>
            <w:tcW w:w="3369" w:type="dxa"/>
            <w:shd w:val="clear" w:color="auto" w:fill="C6D9F1" w:themeFill="text2" w:themeFillTint="33"/>
          </w:tcPr>
          <w:p w:rsidR="00EA2607" w:rsidRDefault="00EA2607" w:rsidP="00A516EB">
            <w:pPr>
              <w:pStyle w:val="BodyText"/>
              <w:spacing w:before="60" w:after="60"/>
              <w:rPr>
                <w:sz w:val="20"/>
              </w:rPr>
            </w:pPr>
            <w:r>
              <w:rPr>
                <w:sz w:val="20"/>
              </w:rPr>
              <w:t>Logo development</w:t>
            </w:r>
          </w:p>
        </w:tc>
        <w:tc>
          <w:tcPr>
            <w:tcW w:w="2373" w:type="dxa"/>
            <w:vAlign w:val="center"/>
          </w:tcPr>
          <w:p w:rsidR="00EA2607" w:rsidRDefault="00EA2607" w:rsidP="00A516EB">
            <w:pPr>
              <w:pStyle w:val="BodyText"/>
              <w:spacing w:before="60" w:after="60"/>
              <w:jc w:val="right"/>
              <w:rPr>
                <w:sz w:val="20"/>
              </w:rPr>
            </w:pPr>
            <w:r>
              <w:rPr>
                <w:sz w:val="20"/>
              </w:rPr>
              <w:t>Initial (1 year)</w:t>
            </w:r>
          </w:p>
        </w:tc>
        <w:tc>
          <w:tcPr>
            <w:tcW w:w="2871" w:type="dxa"/>
            <w:vAlign w:val="center"/>
          </w:tcPr>
          <w:p w:rsidR="00EA2607" w:rsidRDefault="00EA2607" w:rsidP="00A516EB">
            <w:pPr>
              <w:pStyle w:val="BodyText"/>
              <w:spacing w:before="60" w:after="60"/>
              <w:jc w:val="right"/>
              <w:rPr>
                <w:sz w:val="20"/>
              </w:rPr>
            </w:pPr>
            <w:r>
              <w:rPr>
                <w:sz w:val="20"/>
              </w:rPr>
              <w:t>$5,800</w:t>
            </w:r>
          </w:p>
        </w:tc>
      </w:tr>
      <w:tr w:rsidR="00EA2607" w:rsidRPr="00C8251D" w:rsidTr="00400BE8">
        <w:tc>
          <w:tcPr>
            <w:tcW w:w="3369" w:type="dxa"/>
            <w:shd w:val="clear" w:color="auto" w:fill="C6D9F1" w:themeFill="text2" w:themeFillTint="33"/>
          </w:tcPr>
          <w:p w:rsidR="00EA2607" w:rsidRDefault="00EA2607" w:rsidP="00A516EB">
            <w:pPr>
              <w:pStyle w:val="BodyText"/>
              <w:spacing w:before="60" w:after="60"/>
              <w:rPr>
                <w:sz w:val="20"/>
              </w:rPr>
            </w:pPr>
            <w:r>
              <w:rPr>
                <w:sz w:val="20"/>
              </w:rPr>
              <w:t>Contract negotiation</w:t>
            </w:r>
          </w:p>
        </w:tc>
        <w:tc>
          <w:tcPr>
            <w:tcW w:w="2373" w:type="dxa"/>
            <w:vAlign w:val="center"/>
          </w:tcPr>
          <w:p w:rsidR="00EA2607" w:rsidRDefault="00EA2607" w:rsidP="00A516EB">
            <w:pPr>
              <w:pStyle w:val="BodyText"/>
              <w:spacing w:before="60" w:after="60"/>
              <w:jc w:val="right"/>
              <w:rPr>
                <w:sz w:val="20"/>
              </w:rPr>
            </w:pPr>
            <w:r>
              <w:rPr>
                <w:sz w:val="20"/>
              </w:rPr>
              <w:t>Initial (1 year)</w:t>
            </w:r>
          </w:p>
        </w:tc>
        <w:tc>
          <w:tcPr>
            <w:tcW w:w="2871" w:type="dxa"/>
            <w:vAlign w:val="center"/>
          </w:tcPr>
          <w:p w:rsidR="00EA2607" w:rsidRDefault="00EA2607" w:rsidP="00A516EB">
            <w:pPr>
              <w:pStyle w:val="BodyText"/>
              <w:spacing w:before="60" w:after="60"/>
              <w:jc w:val="right"/>
              <w:rPr>
                <w:sz w:val="20"/>
              </w:rPr>
            </w:pPr>
            <w:r>
              <w:rPr>
                <w:sz w:val="20"/>
              </w:rPr>
              <w:t>$2,000 per participant</w:t>
            </w:r>
          </w:p>
          <w:p w:rsidR="00EA2607" w:rsidRDefault="00EA2607" w:rsidP="00A516EB">
            <w:pPr>
              <w:pStyle w:val="BodyText"/>
              <w:spacing w:before="60" w:after="60"/>
              <w:jc w:val="right"/>
              <w:rPr>
                <w:sz w:val="20"/>
              </w:rPr>
            </w:pPr>
            <w:r>
              <w:rPr>
                <w:sz w:val="20"/>
              </w:rPr>
              <w:t>$58,000 (total)</w:t>
            </w:r>
          </w:p>
        </w:tc>
      </w:tr>
      <w:tr w:rsidR="00EA2607" w:rsidRPr="00C8251D" w:rsidTr="00400BE8">
        <w:tc>
          <w:tcPr>
            <w:tcW w:w="3369" w:type="dxa"/>
            <w:shd w:val="clear" w:color="auto" w:fill="C6D9F1" w:themeFill="text2" w:themeFillTint="33"/>
          </w:tcPr>
          <w:p w:rsidR="00EA2607" w:rsidRDefault="00EA2607" w:rsidP="00A516EB">
            <w:pPr>
              <w:pStyle w:val="BodyText"/>
              <w:spacing w:before="60" w:after="60"/>
              <w:rPr>
                <w:sz w:val="20"/>
              </w:rPr>
            </w:pPr>
            <w:r>
              <w:rPr>
                <w:sz w:val="20"/>
              </w:rPr>
              <w:t>Website</w:t>
            </w:r>
          </w:p>
        </w:tc>
        <w:tc>
          <w:tcPr>
            <w:tcW w:w="2373" w:type="dxa"/>
            <w:vAlign w:val="center"/>
          </w:tcPr>
          <w:p w:rsidR="00EA2607" w:rsidRDefault="00EA2607" w:rsidP="00A516EB">
            <w:pPr>
              <w:pStyle w:val="BodyText"/>
              <w:spacing w:before="60" w:after="60"/>
              <w:jc w:val="right"/>
              <w:rPr>
                <w:sz w:val="20"/>
              </w:rPr>
            </w:pPr>
            <w:r>
              <w:rPr>
                <w:sz w:val="20"/>
              </w:rPr>
              <w:t>Initial (1 year)</w:t>
            </w:r>
          </w:p>
        </w:tc>
        <w:tc>
          <w:tcPr>
            <w:tcW w:w="2871" w:type="dxa"/>
            <w:vAlign w:val="center"/>
          </w:tcPr>
          <w:p w:rsidR="00EA2607" w:rsidRDefault="00EA2607" w:rsidP="00A516EB">
            <w:pPr>
              <w:pStyle w:val="BodyText"/>
              <w:spacing w:before="60" w:after="60"/>
              <w:jc w:val="right"/>
              <w:rPr>
                <w:sz w:val="20"/>
              </w:rPr>
            </w:pPr>
            <w:r>
              <w:rPr>
                <w:sz w:val="20"/>
              </w:rPr>
              <w:t>$17,000</w:t>
            </w:r>
          </w:p>
        </w:tc>
      </w:tr>
      <w:tr w:rsidR="00EA2607" w:rsidRPr="00C8251D" w:rsidTr="00400BE8">
        <w:tc>
          <w:tcPr>
            <w:tcW w:w="3369" w:type="dxa"/>
            <w:shd w:val="clear" w:color="auto" w:fill="C6D9F1" w:themeFill="text2" w:themeFillTint="33"/>
          </w:tcPr>
          <w:p w:rsidR="00EA2607" w:rsidRDefault="00EA2607" w:rsidP="00A516EB">
            <w:pPr>
              <w:pStyle w:val="BodyText"/>
              <w:spacing w:before="60" w:after="60"/>
              <w:rPr>
                <w:sz w:val="20"/>
              </w:rPr>
            </w:pPr>
            <w:r>
              <w:rPr>
                <w:sz w:val="20"/>
              </w:rPr>
              <w:t>Legal</w:t>
            </w:r>
          </w:p>
        </w:tc>
        <w:tc>
          <w:tcPr>
            <w:tcW w:w="2373" w:type="dxa"/>
            <w:vAlign w:val="center"/>
          </w:tcPr>
          <w:p w:rsidR="00EA2607" w:rsidRDefault="00EA2607" w:rsidP="00A516EB">
            <w:pPr>
              <w:pStyle w:val="BodyText"/>
              <w:spacing w:before="60" w:after="60"/>
              <w:jc w:val="right"/>
              <w:rPr>
                <w:sz w:val="20"/>
              </w:rPr>
            </w:pPr>
            <w:r>
              <w:rPr>
                <w:sz w:val="20"/>
              </w:rPr>
              <w:t>Initial (1 year)</w:t>
            </w:r>
          </w:p>
        </w:tc>
        <w:tc>
          <w:tcPr>
            <w:tcW w:w="2871" w:type="dxa"/>
            <w:vAlign w:val="center"/>
          </w:tcPr>
          <w:p w:rsidR="00EA2607" w:rsidRDefault="00EA2607" w:rsidP="00A516EB">
            <w:pPr>
              <w:pStyle w:val="BodyText"/>
              <w:spacing w:before="60" w:after="60"/>
              <w:jc w:val="right"/>
              <w:rPr>
                <w:sz w:val="20"/>
              </w:rPr>
            </w:pPr>
            <w:r>
              <w:rPr>
                <w:sz w:val="20"/>
              </w:rPr>
              <w:t>$20,000</w:t>
            </w:r>
          </w:p>
        </w:tc>
      </w:tr>
      <w:tr w:rsidR="00EA2607" w:rsidRPr="00C8251D" w:rsidTr="00400BE8">
        <w:tc>
          <w:tcPr>
            <w:tcW w:w="3369" w:type="dxa"/>
            <w:shd w:val="clear" w:color="auto" w:fill="C6D9F1" w:themeFill="text2" w:themeFillTint="33"/>
          </w:tcPr>
          <w:p w:rsidR="00EA2607" w:rsidRDefault="00EA2607" w:rsidP="00A516EB">
            <w:pPr>
              <w:pStyle w:val="BodyText"/>
              <w:spacing w:before="60" w:after="60"/>
              <w:rPr>
                <w:sz w:val="20"/>
              </w:rPr>
            </w:pPr>
            <w:r>
              <w:rPr>
                <w:sz w:val="20"/>
              </w:rPr>
              <w:t>Conference cost</w:t>
            </w:r>
          </w:p>
        </w:tc>
        <w:tc>
          <w:tcPr>
            <w:tcW w:w="2373" w:type="dxa"/>
            <w:vAlign w:val="center"/>
          </w:tcPr>
          <w:p w:rsidR="00EA2607" w:rsidRDefault="00EA2607" w:rsidP="00A516EB">
            <w:pPr>
              <w:pStyle w:val="BodyText"/>
              <w:spacing w:before="60" w:after="60"/>
              <w:jc w:val="right"/>
              <w:rPr>
                <w:sz w:val="20"/>
              </w:rPr>
            </w:pPr>
            <w:r>
              <w:rPr>
                <w:sz w:val="20"/>
              </w:rPr>
              <w:t>Ongoing</w:t>
            </w:r>
          </w:p>
        </w:tc>
        <w:tc>
          <w:tcPr>
            <w:tcW w:w="2871" w:type="dxa"/>
            <w:vAlign w:val="center"/>
          </w:tcPr>
          <w:p w:rsidR="00EA2607" w:rsidRDefault="00EA2607" w:rsidP="00A516EB">
            <w:pPr>
              <w:pStyle w:val="BodyText"/>
              <w:spacing w:before="60" w:after="60"/>
              <w:jc w:val="right"/>
              <w:rPr>
                <w:sz w:val="20"/>
              </w:rPr>
            </w:pPr>
            <w:r>
              <w:rPr>
                <w:sz w:val="20"/>
              </w:rPr>
              <w:t>$5,000</w:t>
            </w:r>
          </w:p>
        </w:tc>
      </w:tr>
      <w:tr w:rsidR="00EA2607" w:rsidRPr="00C8251D" w:rsidTr="00400BE8">
        <w:tc>
          <w:tcPr>
            <w:tcW w:w="3369" w:type="dxa"/>
            <w:shd w:val="clear" w:color="auto" w:fill="C6D9F1" w:themeFill="text2" w:themeFillTint="33"/>
          </w:tcPr>
          <w:p w:rsidR="00EA2607" w:rsidRDefault="00EA2607" w:rsidP="00A516EB">
            <w:pPr>
              <w:pStyle w:val="BodyText"/>
              <w:spacing w:before="60" w:after="60"/>
              <w:rPr>
                <w:sz w:val="20"/>
              </w:rPr>
            </w:pPr>
            <w:r>
              <w:rPr>
                <w:sz w:val="20"/>
              </w:rPr>
              <w:t>Workshop</w:t>
            </w:r>
          </w:p>
        </w:tc>
        <w:tc>
          <w:tcPr>
            <w:tcW w:w="2373" w:type="dxa"/>
            <w:vAlign w:val="center"/>
          </w:tcPr>
          <w:p w:rsidR="00EA2607" w:rsidRDefault="00EA2607" w:rsidP="00A516EB">
            <w:pPr>
              <w:pStyle w:val="BodyText"/>
              <w:spacing w:before="60" w:after="60"/>
              <w:jc w:val="right"/>
              <w:rPr>
                <w:sz w:val="20"/>
              </w:rPr>
            </w:pPr>
            <w:r>
              <w:rPr>
                <w:sz w:val="20"/>
              </w:rPr>
              <w:t>Ongoing</w:t>
            </w:r>
          </w:p>
        </w:tc>
        <w:tc>
          <w:tcPr>
            <w:tcW w:w="2871" w:type="dxa"/>
            <w:vAlign w:val="center"/>
          </w:tcPr>
          <w:p w:rsidR="00EA2607" w:rsidRDefault="00EA2607" w:rsidP="00A516EB">
            <w:pPr>
              <w:pStyle w:val="BodyText"/>
              <w:spacing w:before="60" w:after="60"/>
              <w:jc w:val="right"/>
              <w:rPr>
                <w:sz w:val="20"/>
              </w:rPr>
            </w:pPr>
            <w:r>
              <w:rPr>
                <w:sz w:val="20"/>
              </w:rPr>
              <w:t>$3,000</w:t>
            </w:r>
          </w:p>
        </w:tc>
      </w:tr>
      <w:tr w:rsidR="00EA2607" w:rsidRPr="00C8251D" w:rsidTr="00400BE8">
        <w:tc>
          <w:tcPr>
            <w:tcW w:w="3369" w:type="dxa"/>
            <w:shd w:val="clear" w:color="auto" w:fill="C6D9F1" w:themeFill="text2" w:themeFillTint="33"/>
          </w:tcPr>
          <w:p w:rsidR="00EA2607" w:rsidRDefault="00EA2607" w:rsidP="00A516EB">
            <w:pPr>
              <w:pStyle w:val="BodyText"/>
              <w:spacing w:before="60" w:after="60"/>
              <w:rPr>
                <w:sz w:val="20"/>
              </w:rPr>
            </w:pPr>
            <w:r>
              <w:rPr>
                <w:sz w:val="20"/>
              </w:rPr>
              <w:t>Auditing of participants</w:t>
            </w:r>
          </w:p>
        </w:tc>
        <w:tc>
          <w:tcPr>
            <w:tcW w:w="2373" w:type="dxa"/>
            <w:vAlign w:val="center"/>
          </w:tcPr>
          <w:p w:rsidR="00EA2607" w:rsidRDefault="00EA2607" w:rsidP="00A516EB">
            <w:pPr>
              <w:pStyle w:val="BodyText"/>
              <w:spacing w:before="60" w:after="60"/>
              <w:jc w:val="right"/>
              <w:rPr>
                <w:sz w:val="20"/>
              </w:rPr>
            </w:pPr>
            <w:r>
              <w:rPr>
                <w:sz w:val="20"/>
              </w:rPr>
              <w:t>Ongoing</w:t>
            </w:r>
          </w:p>
        </w:tc>
        <w:tc>
          <w:tcPr>
            <w:tcW w:w="2871" w:type="dxa"/>
            <w:vAlign w:val="center"/>
          </w:tcPr>
          <w:p w:rsidR="00EA2607" w:rsidRDefault="00EA2607" w:rsidP="00A516EB">
            <w:pPr>
              <w:pStyle w:val="BodyText"/>
              <w:spacing w:before="60" w:after="60"/>
              <w:jc w:val="right"/>
              <w:rPr>
                <w:sz w:val="20"/>
              </w:rPr>
            </w:pPr>
            <w:r>
              <w:rPr>
                <w:sz w:val="20"/>
              </w:rPr>
              <w:t>$2,060 per participant</w:t>
            </w:r>
          </w:p>
          <w:p w:rsidR="00EA2607" w:rsidRDefault="00EA2607" w:rsidP="00A516EB">
            <w:pPr>
              <w:pStyle w:val="BodyText"/>
              <w:spacing w:before="60" w:after="60"/>
              <w:jc w:val="right"/>
              <w:rPr>
                <w:sz w:val="20"/>
              </w:rPr>
            </w:pPr>
            <w:r>
              <w:rPr>
                <w:sz w:val="20"/>
              </w:rPr>
              <w:t>$30,900 total</w:t>
            </w:r>
          </w:p>
        </w:tc>
      </w:tr>
      <w:tr w:rsidR="00EA2607" w:rsidRPr="00C8251D" w:rsidTr="00400BE8">
        <w:tc>
          <w:tcPr>
            <w:tcW w:w="3369" w:type="dxa"/>
            <w:shd w:val="clear" w:color="auto" w:fill="C6D9F1" w:themeFill="text2" w:themeFillTint="33"/>
          </w:tcPr>
          <w:p w:rsidR="00EA2607" w:rsidRPr="00C8251D" w:rsidRDefault="00EA2607" w:rsidP="00A516EB">
            <w:pPr>
              <w:pStyle w:val="BodyText"/>
              <w:spacing w:before="60" w:after="60"/>
              <w:rPr>
                <w:sz w:val="20"/>
              </w:rPr>
            </w:pPr>
            <w:r>
              <w:rPr>
                <w:sz w:val="20"/>
              </w:rPr>
              <w:t>Travel</w:t>
            </w:r>
          </w:p>
        </w:tc>
        <w:tc>
          <w:tcPr>
            <w:tcW w:w="2373" w:type="dxa"/>
            <w:vAlign w:val="center"/>
          </w:tcPr>
          <w:p w:rsidR="00EA2607" w:rsidRDefault="00EA2607" w:rsidP="00A516EB">
            <w:pPr>
              <w:pStyle w:val="BodyText"/>
              <w:spacing w:before="60" w:after="60"/>
              <w:jc w:val="right"/>
              <w:rPr>
                <w:sz w:val="20"/>
              </w:rPr>
            </w:pPr>
            <w:r>
              <w:rPr>
                <w:sz w:val="20"/>
              </w:rPr>
              <w:t>Ongoing</w:t>
            </w:r>
          </w:p>
        </w:tc>
        <w:tc>
          <w:tcPr>
            <w:tcW w:w="2871" w:type="dxa"/>
            <w:vAlign w:val="center"/>
          </w:tcPr>
          <w:p w:rsidR="00EA2607" w:rsidRPr="00C8251D" w:rsidRDefault="00EA2607" w:rsidP="00A516EB">
            <w:pPr>
              <w:pStyle w:val="BodyText"/>
              <w:spacing w:before="60" w:after="60"/>
              <w:jc w:val="right"/>
              <w:rPr>
                <w:sz w:val="20"/>
              </w:rPr>
            </w:pPr>
            <w:r>
              <w:rPr>
                <w:sz w:val="20"/>
              </w:rPr>
              <w:t>$10,480</w:t>
            </w:r>
          </w:p>
        </w:tc>
      </w:tr>
      <w:tr w:rsidR="00EA2607" w:rsidRPr="00C8251D" w:rsidTr="00400BE8">
        <w:tc>
          <w:tcPr>
            <w:tcW w:w="3369" w:type="dxa"/>
            <w:shd w:val="clear" w:color="auto" w:fill="C6D9F1" w:themeFill="text2" w:themeFillTint="33"/>
          </w:tcPr>
          <w:p w:rsidR="00EA2607" w:rsidRPr="00C8251D" w:rsidRDefault="00EA2607" w:rsidP="00A516EB">
            <w:pPr>
              <w:pStyle w:val="BodyText"/>
              <w:spacing w:before="60" w:after="60"/>
              <w:rPr>
                <w:sz w:val="20"/>
              </w:rPr>
            </w:pPr>
            <w:r>
              <w:rPr>
                <w:sz w:val="20"/>
              </w:rPr>
              <w:t>Communication</w:t>
            </w:r>
          </w:p>
        </w:tc>
        <w:tc>
          <w:tcPr>
            <w:tcW w:w="2373" w:type="dxa"/>
            <w:vAlign w:val="center"/>
          </w:tcPr>
          <w:p w:rsidR="00EA2607" w:rsidRDefault="00EA2607" w:rsidP="00A516EB">
            <w:pPr>
              <w:pStyle w:val="BodyText"/>
              <w:spacing w:before="60" w:after="60"/>
              <w:jc w:val="right"/>
              <w:rPr>
                <w:sz w:val="20"/>
              </w:rPr>
            </w:pPr>
            <w:r>
              <w:rPr>
                <w:sz w:val="20"/>
              </w:rPr>
              <w:t>Ongoing</w:t>
            </w:r>
          </w:p>
        </w:tc>
        <w:tc>
          <w:tcPr>
            <w:tcW w:w="2871" w:type="dxa"/>
            <w:vAlign w:val="center"/>
          </w:tcPr>
          <w:p w:rsidR="00EA2607" w:rsidRPr="00F268D2" w:rsidRDefault="00EA2607" w:rsidP="00A516EB">
            <w:pPr>
              <w:pStyle w:val="BodyText"/>
              <w:spacing w:before="60" w:after="60"/>
              <w:jc w:val="right"/>
              <w:rPr>
                <w:sz w:val="20"/>
              </w:rPr>
            </w:pPr>
            <w:r>
              <w:rPr>
                <w:sz w:val="20"/>
              </w:rPr>
              <w:t>$15,700</w:t>
            </w:r>
          </w:p>
        </w:tc>
      </w:tr>
      <w:tr w:rsidR="00EA2607" w:rsidRPr="00C8251D" w:rsidTr="00400BE8">
        <w:tc>
          <w:tcPr>
            <w:tcW w:w="3369" w:type="dxa"/>
            <w:shd w:val="clear" w:color="auto" w:fill="C6D9F1" w:themeFill="text2" w:themeFillTint="33"/>
          </w:tcPr>
          <w:p w:rsidR="00EA2607" w:rsidRPr="00C8251D" w:rsidRDefault="00EA2607" w:rsidP="00A516EB">
            <w:pPr>
              <w:pStyle w:val="BodyText"/>
              <w:spacing w:before="60" w:after="60"/>
              <w:rPr>
                <w:sz w:val="20"/>
              </w:rPr>
            </w:pPr>
            <w:r>
              <w:rPr>
                <w:sz w:val="20"/>
              </w:rPr>
              <w:t>Reporting</w:t>
            </w:r>
          </w:p>
        </w:tc>
        <w:tc>
          <w:tcPr>
            <w:tcW w:w="2373" w:type="dxa"/>
            <w:vAlign w:val="center"/>
          </w:tcPr>
          <w:p w:rsidR="00EA2607" w:rsidRDefault="00EA2607" w:rsidP="00A516EB">
            <w:pPr>
              <w:pStyle w:val="BodyText"/>
              <w:spacing w:before="60" w:after="60"/>
              <w:jc w:val="right"/>
              <w:rPr>
                <w:sz w:val="20"/>
              </w:rPr>
            </w:pPr>
            <w:r>
              <w:rPr>
                <w:sz w:val="20"/>
              </w:rPr>
              <w:t>Ongoing</w:t>
            </w:r>
          </w:p>
        </w:tc>
        <w:tc>
          <w:tcPr>
            <w:tcW w:w="2871" w:type="dxa"/>
            <w:vAlign w:val="center"/>
          </w:tcPr>
          <w:p w:rsidR="00EA2607" w:rsidRDefault="00EA2607" w:rsidP="00A516EB">
            <w:pPr>
              <w:pStyle w:val="BodyText"/>
              <w:spacing w:before="60" w:after="60"/>
              <w:jc w:val="right"/>
              <w:rPr>
                <w:sz w:val="20"/>
              </w:rPr>
            </w:pPr>
            <w:r>
              <w:rPr>
                <w:sz w:val="20"/>
              </w:rPr>
              <w:t>$1,500 per participant</w:t>
            </w:r>
          </w:p>
          <w:p w:rsidR="00EA2607" w:rsidRPr="00F268D2" w:rsidRDefault="00EA2607" w:rsidP="00A516EB">
            <w:pPr>
              <w:pStyle w:val="BodyText"/>
              <w:spacing w:before="60" w:after="60"/>
              <w:jc w:val="right"/>
              <w:rPr>
                <w:sz w:val="20"/>
              </w:rPr>
            </w:pPr>
            <w:r>
              <w:rPr>
                <w:sz w:val="20"/>
              </w:rPr>
              <w:t>$43,500 total</w:t>
            </w:r>
          </w:p>
        </w:tc>
      </w:tr>
      <w:tr w:rsidR="00EA2607" w:rsidRPr="00C8251D" w:rsidTr="00400BE8">
        <w:tc>
          <w:tcPr>
            <w:tcW w:w="3369" w:type="dxa"/>
            <w:shd w:val="clear" w:color="auto" w:fill="C6D9F1" w:themeFill="text2" w:themeFillTint="33"/>
          </w:tcPr>
          <w:p w:rsidR="00EA2607" w:rsidRDefault="00463815" w:rsidP="00A516EB">
            <w:pPr>
              <w:pStyle w:val="BodyText"/>
              <w:spacing w:before="60" w:after="60"/>
              <w:rPr>
                <w:sz w:val="20"/>
              </w:rPr>
            </w:pPr>
            <w:r>
              <w:rPr>
                <w:sz w:val="20"/>
              </w:rPr>
              <w:t>Website maintenance</w:t>
            </w:r>
          </w:p>
        </w:tc>
        <w:tc>
          <w:tcPr>
            <w:tcW w:w="2373" w:type="dxa"/>
            <w:vAlign w:val="center"/>
          </w:tcPr>
          <w:p w:rsidR="00EA2607" w:rsidRDefault="00463815" w:rsidP="00A516EB">
            <w:pPr>
              <w:pStyle w:val="BodyText"/>
              <w:spacing w:before="60" w:after="60"/>
              <w:jc w:val="right"/>
              <w:rPr>
                <w:sz w:val="20"/>
              </w:rPr>
            </w:pPr>
            <w:r>
              <w:rPr>
                <w:sz w:val="20"/>
              </w:rPr>
              <w:t>Ongoing</w:t>
            </w:r>
          </w:p>
        </w:tc>
        <w:tc>
          <w:tcPr>
            <w:tcW w:w="2871" w:type="dxa"/>
            <w:vAlign w:val="center"/>
          </w:tcPr>
          <w:p w:rsidR="00EA2607" w:rsidRDefault="00463815" w:rsidP="00A516EB">
            <w:pPr>
              <w:pStyle w:val="BodyText"/>
              <w:spacing w:before="60" w:after="60"/>
              <w:jc w:val="right"/>
              <w:rPr>
                <w:sz w:val="20"/>
              </w:rPr>
            </w:pPr>
            <w:r>
              <w:rPr>
                <w:sz w:val="20"/>
              </w:rPr>
              <w:t>$6,000</w:t>
            </w:r>
          </w:p>
        </w:tc>
      </w:tr>
      <w:tr w:rsidR="00EA2607" w:rsidRPr="00C8251D" w:rsidTr="00400BE8">
        <w:tc>
          <w:tcPr>
            <w:tcW w:w="3369" w:type="dxa"/>
            <w:shd w:val="clear" w:color="auto" w:fill="C6D9F1" w:themeFill="text2" w:themeFillTint="33"/>
          </w:tcPr>
          <w:p w:rsidR="00EA2607" w:rsidRDefault="00463815" w:rsidP="00A516EB">
            <w:pPr>
              <w:pStyle w:val="BodyText"/>
              <w:spacing w:before="60" w:after="60"/>
              <w:rPr>
                <w:sz w:val="20"/>
              </w:rPr>
            </w:pPr>
            <w:r>
              <w:rPr>
                <w:sz w:val="20"/>
              </w:rPr>
              <w:t>Database management</w:t>
            </w:r>
          </w:p>
        </w:tc>
        <w:tc>
          <w:tcPr>
            <w:tcW w:w="2373" w:type="dxa"/>
            <w:vAlign w:val="center"/>
          </w:tcPr>
          <w:p w:rsidR="00EA2607" w:rsidRDefault="00463815" w:rsidP="00A516EB">
            <w:pPr>
              <w:pStyle w:val="BodyText"/>
              <w:spacing w:before="60" w:after="60"/>
              <w:jc w:val="right"/>
              <w:rPr>
                <w:sz w:val="20"/>
              </w:rPr>
            </w:pPr>
            <w:r>
              <w:rPr>
                <w:sz w:val="20"/>
              </w:rPr>
              <w:t>Ongoing</w:t>
            </w:r>
          </w:p>
        </w:tc>
        <w:tc>
          <w:tcPr>
            <w:tcW w:w="2871" w:type="dxa"/>
            <w:vAlign w:val="center"/>
          </w:tcPr>
          <w:p w:rsidR="00EA2607" w:rsidRDefault="00463815" w:rsidP="00A516EB">
            <w:pPr>
              <w:pStyle w:val="BodyText"/>
              <w:spacing w:before="60" w:after="60"/>
              <w:jc w:val="right"/>
              <w:rPr>
                <w:sz w:val="20"/>
              </w:rPr>
            </w:pPr>
            <w:r>
              <w:rPr>
                <w:sz w:val="20"/>
              </w:rPr>
              <w:t>$15,000</w:t>
            </w:r>
          </w:p>
        </w:tc>
      </w:tr>
      <w:tr w:rsidR="00EA2607" w:rsidRPr="00C8251D" w:rsidTr="00400BE8">
        <w:tc>
          <w:tcPr>
            <w:tcW w:w="3369" w:type="dxa"/>
            <w:shd w:val="clear" w:color="auto" w:fill="C6D9F1" w:themeFill="text2" w:themeFillTint="33"/>
          </w:tcPr>
          <w:p w:rsidR="00EA2607" w:rsidRDefault="00463815" w:rsidP="00A516EB">
            <w:pPr>
              <w:pStyle w:val="BodyText"/>
              <w:spacing w:before="60" w:after="60"/>
              <w:rPr>
                <w:sz w:val="20"/>
              </w:rPr>
            </w:pPr>
            <w:r>
              <w:rPr>
                <w:sz w:val="20"/>
              </w:rPr>
              <w:t>Insurance</w:t>
            </w:r>
          </w:p>
        </w:tc>
        <w:tc>
          <w:tcPr>
            <w:tcW w:w="2373" w:type="dxa"/>
            <w:vAlign w:val="center"/>
          </w:tcPr>
          <w:p w:rsidR="00EA2607" w:rsidRDefault="00463815" w:rsidP="00A516EB">
            <w:pPr>
              <w:pStyle w:val="BodyText"/>
              <w:spacing w:before="60" w:after="60"/>
              <w:jc w:val="right"/>
              <w:rPr>
                <w:sz w:val="20"/>
              </w:rPr>
            </w:pPr>
            <w:r>
              <w:rPr>
                <w:sz w:val="20"/>
              </w:rPr>
              <w:t>Ongoing</w:t>
            </w:r>
          </w:p>
        </w:tc>
        <w:tc>
          <w:tcPr>
            <w:tcW w:w="2871" w:type="dxa"/>
            <w:vAlign w:val="center"/>
          </w:tcPr>
          <w:p w:rsidR="00EA2607" w:rsidRDefault="00463815" w:rsidP="00A516EB">
            <w:pPr>
              <w:pStyle w:val="BodyText"/>
              <w:spacing w:before="60" w:after="60"/>
              <w:jc w:val="right"/>
              <w:rPr>
                <w:sz w:val="20"/>
              </w:rPr>
            </w:pPr>
            <w:r>
              <w:rPr>
                <w:sz w:val="20"/>
              </w:rPr>
              <w:t>$5,000</w:t>
            </w:r>
          </w:p>
        </w:tc>
      </w:tr>
      <w:tr w:rsidR="00EA2607" w:rsidRPr="00C8251D" w:rsidTr="00400BE8">
        <w:tc>
          <w:tcPr>
            <w:tcW w:w="3369" w:type="dxa"/>
            <w:shd w:val="clear" w:color="auto" w:fill="C6D9F1" w:themeFill="text2" w:themeFillTint="33"/>
          </w:tcPr>
          <w:p w:rsidR="00EA2607" w:rsidRDefault="00463815" w:rsidP="00A516EB">
            <w:pPr>
              <w:pStyle w:val="BodyText"/>
              <w:spacing w:before="60" w:after="60"/>
              <w:rPr>
                <w:sz w:val="20"/>
              </w:rPr>
            </w:pPr>
            <w:r>
              <w:rPr>
                <w:sz w:val="20"/>
              </w:rPr>
              <w:t>Other</w:t>
            </w:r>
          </w:p>
        </w:tc>
        <w:tc>
          <w:tcPr>
            <w:tcW w:w="2373" w:type="dxa"/>
            <w:vAlign w:val="center"/>
          </w:tcPr>
          <w:p w:rsidR="00EA2607" w:rsidRPr="00884D9F" w:rsidRDefault="00463815" w:rsidP="00A516EB">
            <w:pPr>
              <w:pStyle w:val="BodyText"/>
              <w:spacing w:before="60" w:after="60"/>
              <w:jc w:val="right"/>
              <w:rPr>
                <w:sz w:val="20"/>
              </w:rPr>
            </w:pPr>
            <w:r>
              <w:rPr>
                <w:sz w:val="20"/>
              </w:rPr>
              <w:t>Ongoing</w:t>
            </w:r>
          </w:p>
        </w:tc>
        <w:tc>
          <w:tcPr>
            <w:tcW w:w="2871" w:type="dxa"/>
            <w:vAlign w:val="center"/>
          </w:tcPr>
          <w:p w:rsidR="00EA2607" w:rsidRDefault="00463815" w:rsidP="00A516EB">
            <w:pPr>
              <w:pStyle w:val="BodyText"/>
              <w:spacing w:before="60" w:after="60"/>
              <w:jc w:val="right"/>
              <w:rPr>
                <w:sz w:val="20"/>
              </w:rPr>
            </w:pPr>
            <w:r>
              <w:rPr>
                <w:sz w:val="20"/>
              </w:rPr>
              <w:t>$20,000</w:t>
            </w:r>
          </w:p>
        </w:tc>
      </w:tr>
      <w:tr w:rsidR="00463815" w:rsidRPr="00C8251D" w:rsidTr="00400BE8">
        <w:tc>
          <w:tcPr>
            <w:tcW w:w="3369" w:type="dxa"/>
            <w:shd w:val="clear" w:color="auto" w:fill="C6D9F1" w:themeFill="text2" w:themeFillTint="33"/>
          </w:tcPr>
          <w:p w:rsidR="00463815" w:rsidRDefault="00463815" w:rsidP="00A516EB">
            <w:pPr>
              <w:pStyle w:val="BodyText"/>
              <w:spacing w:before="60" w:after="60"/>
              <w:rPr>
                <w:sz w:val="20"/>
              </w:rPr>
            </w:pPr>
            <w:r>
              <w:rPr>
                <w:sz w:val="20"/>
              </w:rPr>
              <w:t>Staff cost – CEO</w:t>
            </w:r>
          </w:p>
        </w:tc>
        <w:tc>
          <w:tcPr>
            <w:tcW w:w="2373" w:type="dxa"/>
            <w:vAlign w:val="center"/>
          </w:tcPr>
          <w:p w:rsidR="00463815" w:rsidRPr="00884D9F" w:rsidRDefault="00463815" w:rsidP="00A516EB">
            <w:pPr>
              <w:pStyle w:val="BodyText"/>
              <w:spacing w:before="60" w:after="60"/>
              <w:jc w:val="right"/>
              <w:rPr>
                <w:sz w:val="20"/>
              </w:rPr>
            </w:pPr>
            <w:r>
              <w:rPr>
                <w:sz w:val="20"/>
              </w:rPr>
              <w:t>Ongoing</w:t>
            </w:r>
          </w:p>
        </w:tc>
        <w:tc>
          <w:tcPr>
            <w:tcW w:w="2871" w:type="dxa"/>
            <w:vAlign w:val="center"/>
          </w:tcPr>
          <w:p w:rsidR="00463815" w:rsidRDefault="00463815" w:rsidP="00A516EB">
            <w:pPr>
              <w:pStyle w:val="BodyText"/>
              <w:spacing w:before="60" w:after="60"/>
              <w:jc w:val="right"/>
              <w:rPr>
                <w:sz w:val="20"/>
              </w:rPr>
            </w:pPr>
            <w:r>
              <w:rPr>
                <w:sz w:val="20"/>
              </w:rPr>
              <w:t>$150,000</w:t>
            </w:r>
          </w:p>
        </w:tc>
      </w:tr>
      <w:tr w:rsidR="00463815" w:rsidRPr="00C8251D" w:rsidTr="00400BE8">
        <w:tc>
          <w:tcPr>
            <w:tcW w:w="3369" w:type="dxa"/>
            <w:shd w:val="clear" w:color="auto" w:fill="C6D9F1" w:themeFill="text2" w:themeFillTint="33"/>
          </w:tcPr>
          <w:p w:rsidR="00463815" w:rsidRDefault="00463815" w:rsidP="00463815">
            <w:pPr>
              <w:pStyle w:val="BodyText"/>
              <w:spacing w:before="60" w:after="60"/>
              <w:rPr>
                <w:sz w:val="20"/>
              </w:rPr>
            </w:pPr>
            <w:r>
              <w:rPr>
                <w:sz w:val="20"/>
              </w:rPr>
              <w:t>Staff cost – Marketing and education</w:t>
            </w:r>
          </w:p>
        </w:tc>
        <w:tc>
          <w:tcPr>
            <w:tcW w:w="2373" w:type="dxa"/>
            <w:vAlign w:val="center"/>
          </w:tcPr>
          <w:p w:rsidR="00463815" w:rsidRPr="00884D9F" w:rsidRDefault="00463815" w:rsidP="00A516EB">
            <w:pPr>
              <w:pStyle w:val="BodyText"/>
              <w:spacing w:before="60" w:after="60"/>
              <w:jc w:val="right"/>
              <w:rPr>
                <w:sz w:val="20"/>
              </w:rPr>
            </w:pPr>
            <w:r>
              <w:rPr>
                <w:sz w:val="20"/>
              </w:rPr>
              <w:t>Ongoing</w:t>
            </w:r>
          </w:p>
        </w:tc>
        <w:tc>
          <w:tcPr>
            <w:tcW w:w="2871" w:type="dxa"/>
            <w:vAlign w:val="center"/>
          </w:tcPr>
          <w:p w:rsidR="00463815" w:rsidRDefault="00463815" w:rsidP="00A516EB">
            <w:pPr>
              <w:pStyle w:val="BodyText"/>
              <w:spacing w:before="60" w:after="60"/>
              <w:jc w:val="right"/>
              <w:rPr>
                <w:sz w:val="20"/>
              </w:rPr>
            </w:pPr>
            <w:r>
              <w:rPr>
                <w:sz w:val="20"/>
              </w:rPr>
              <w:t>$75,000</w:t>
            </w:r>
          </w:p>
        </w:tc>
      </w:tr>
      <w:tr w:rsidR="00463815" w:rsidRPr="00C8251D" w:rsidTr="00400BE8">
        <w:tc>
          <w:tcPr>
            <w:tcW w:w="3369" w:type="dxa"/>
            <w:shd w:val="clear" w:color="auto" w:fill="C6D9F1" w:themeFill="text2" w:themeFillTint="33"/>
          </w:tcPr>
          <w:p w:rsidR="00463815" w:rsidRDefault="00463815" w:rsidP="00A516EB">
            <w:pPr>
              <w:pStyle w:val="BodyText"/>
              <w:spacing w:before="60" w:after="60"/>
              <w:rPr>
                <w:sz w:val="20"/>
              </w:rPr>
            </w:pPr>
            <w:r>
              <w:rPr>
                <w:sz w:val="20"/>
              </w:rPr>
              <w:t>Staff cost – Administration</w:t>
            </w:r>
          </w:p>
        </w:tc>
        <w:tc>
          <w:tcPr>
            <w:tcW w:w="2373" w:type="dxa"/>
            <w:vAlign w:val="center"/>
          </w:tcPr>
          <w:p w:rsidR="00463815" w:rsidRPr="00884D9F" w:rsidRDefault="00463815" w:rsidP="00A516EB">
            <w:pPr>
              <w:pStyle w:val="BodyText"/>
              <w:spacing w:before="60" w:after="60"/>
              <w:jc w:val="right"/>
              <w:rPr>
                <w:sz w:val="20"/>
              </w:rPr>
            </w:pPr>
            <w:r>
              <w:rPr>
                <w:sz w:val="20"/>
              </w:rPr>
              <w:t>Ongoing</w:t>
            </w:r>
          </w:p>
        </w:tc>
        <w:tc>
          <w:tcPr>
            <w:tcW w:w="2871" w:type="dxa"/>
            <w:vAlign w:val="center"/>
          </w:tcPr>
          <w:p w:rsidR="00463815" w:rsidRDefault="00463815" w:rsidP="00A516EB">
            <w:pPr>
              <w:pStyle w:val="BodyText"/>
              <w:spacing w:before="60" w:after="60"/>
              <w:jc w:val="right"/>
              <w:rPr>
                <w:sz w:val="20"/>
              </w:rPr>
            </w:pPr>
            <w:r>
              <w:rPr>
                <w:sz w:val="20"/>
              </w:rPr>
              <w:t>$50,000</w:t>
            </w:r>
          </w:p>
        </w:tc>
      </w:tr>
      <w:tr w:rsidR="00463815" w:rsidRPr="00C8251D" w:rsidTr="00400BE8">
        <w:tc>
          <w:tcPr>
            <w:tcW w:w="3369" w:type="dxa"/>
            <w:shd w:val="clear" w:color="auto" w:fill="C6D9F1" w:themeFill="text2" w:themeFillTint="33"/>
          </w:tcPr>
          <w:p w:rsidR="00463815" w:rsidRDefault="00463815" w:rsidP="00A516EB">
            <w:pPr>
              <w:pStyle w:val="BodyText"/>
              <w:spacing w:before="60" w:after="60"/>
              <w:rPr>
                <w:sz w:val="20"/>
              </w:rPr>
            </w:pPr>
            <w:r>
              <w:rPr>
                <w:sz w:val="20"/>
              </w:rPr>
              <w:t>Staff cost – Operations</w:t>
            </w:r>
          </w:p>
        </w:tc>
        <w:tc>
          <w:tcPr>
            <w:tcW w:w="2373" w:type="dxa"/>
            <w:vAlign w:val="center"/>
          </w:tcPr>
          <w:p w:rsidR="00463815" w:rsidRDefault="00463815" w:rsidP="00A516EB">
            <w:pPr>
              <w:pStyle w:val="BodyText"/>
              <w:spacing w:before="60" w:after="60"/>
              <w:jc w:val="right"/>
              <w:rPr>
                <w:sz w:val="20"/>
              </w:rPr>
            </w:pPr>
            <w:r>
              <w:rPr>
                <w:sz w:val="20"/>
              </w:rPr>
              <w:t>Ongoing</w:t>
            </w:r>
          </w:p>
        </w:tc>
        <w:tc>
          <w:tcPr>
            <w:tcW w:w="2871" w:type="dxa"/>
            <w:vAlign w:val="center"/>
          </w:tcPr>
          <w:p w:rsidR="00463815" w:rsidRDefault="00463815" w:rsidP="00A516EB">
            <w:pPr>
              <w:pStyle w:val="BodyText"/>
              <w:spacing w:before="60" w:after="60"/>
              <w:jc w:val="right"/>
              <w:rPr>
                <w:sz w:val="20"/>
              </w:rPr>
            </w:pPr>
            <w:r>
              <w:rPr>
                <w:sz w:val="20"/>
              </w:rPr>
              <w:t>$90,000</w:t>
            </w:r>
          </w:p>
        </w:tc>
      </w:tr>
      <w:tr w:rsidR="00463815" w:rsidRPr="00C8251D" w:rsidTr="00400BE8">
        <w:tc>
          <w:tcPr>
            <w:tcW w:w="3369" w:type="dxa"/>
            <w:shd w:val="clear" w:color="auto" w:fill="C6D9F1" w:themeFill="text2" w:themeFillTint="33"/>
          </w:tcPr>
          <w:p w:rsidR="00463815" w:rsidRDefault="00463815" w:rsidP="00A516EB">
            <w:pPr>
              <w:pStyle w:val="BodyText"/>
              <w:spacing w:before="60" w:after="60"/>
              <w:rPr>
                <w:sz w:val="20"/>
              </w:rPr>
            </w:pPr>
            <w:r>
              <w:rPr>
                <w:sz w:val="20"/>
              </w:rPr>
              <w:t>Staff costs – On costs</w:t>
            </w:r>
          </w:p>
        </w:tc>
        <w:tc>
          <w:tcPr>
            <w:tcW w:w="2373" w:type="dxa"/>
            <w:vAlign w:val="center"/>
          </w:tcPr>
          <w:p w:rsidR="00463815" w:rsidRDefault="00463815" w:rsidP="00A516EB">
            <w:pPr>
              <w:pStyle w:val="BodyText"/>
              <w:spacing w:before="60" w:after="60"/>
              <w:jc w:val="right"/>
              <w:rPr>
                <w:sz w:val="20"/>
              </w:rPr>
            </w:pPr>
            <w:r>
              <w:rPr>
                <w:sz w:val="20"/>
              </w:rPr>
              <w:t>Ongoing</w:t>
            </w:r>
          </w:p>
        </w:tc>
        <w:tc>
          <w:tcPr>
            <w:tcW w:w="2871" w:type="dxa"/>
            <w:vAlign w:val="center"/>
          </w:tcPr>
          <w:p w:rsidR="00463815" w:rsidRDefault="00463815" w:rsidP="00A516EB">
            <w:pPr>
              <w:pStyle w:val="BodyText"/>
              <w:spacing w:before="60" w:after="60"/>
              <w:jc w:val="right"/>
              <w:rPr>
                <w:sz w:val="20"/>
              </w:rPr>
            </w:pPr>
            <w:r>
              <w:rPr>
                <w:sz w:val="20"/>
              </w:rPr>
              <w:t>$3,100</w:t>
            </w:r>
          </w:p>
        </w:tc>
      </w:tr>
    </w:tbl>
    <w:p w:rsidR="00EA2607" w:rsidRDefault="00EA2607" w:rsidP="00EA2607">
      <w:pPr>
        <w:pStyle w:val="Source"/>
      </w:pPr>
      <w:r>
        <w:t>Source: Department of the Environment and industry consultation</w:t>
      </w:r>
    </w:p>
    <w:p w:rsidR="00EA2607" w:rsidRDefault="00EA2607" w:rsidP="000E1FD9">
      <w:pPr>
        <w:pStyle w:val="BodyText"/>
      </w:pPr>
    </w:p>
    <w:p w:rsidR="00400BE8" w:rsidRDefault="00400BE8">
      <w:pPr>
        <w:rPr>
          <w:bCs/>
          <w:i/>
          <w:sz w:val="20"/>
        </w:rPr>
      </w:pPr>
      <w:r>
        <w:br w:type="page"/>
      </w:r>
    </w:p>
    <w:p w:rsidR="00A516EB" w:rsidRDefault="00A516EB" w:rsidP="00A516EB">
      <w:pPr>
        <w:pStyle w:val="Caption"/>
      </w:pPr>
      <w:r>
        <w:lastRenderedPageBreak/>
        <w:t xml:space="preserve">Appendix Table C </w:t>
      </w:r>
      <w:r w:rsidR="00586F30">
        <w:fldChar w:fldCharType="begin"/>
      </w:r>
      <w:r>
        <w:instrText xml:space="preserve"> SEQ Appendix_Table_C \* ARABIC </w:instrText>
      </w:r>
      <w:r w:rsidR="00586F30">
        <w:fldChar w:fldCharType="separate"/>
      </w:r>
      <w:r w:rsidR="001E5D7A">
        <w:rPr>
          <w:noProof/>
        </w:rPr>
        <w:t>5</w:t>
      </w:r>
      <w:r w:rsidR="00586F30">
        <w:fldChar w:fldCharType="end"/>
      </w:r>
      <w:r>
        <w:t>: Government costs of compliance ($2014), Option 3</w:t>
      </w:r>
    </w:p>
    <w:tbl>
      <w:tblPr>
        <w:tblStyle w:val="TableGrid"/>
        <w:tblW w:w="8613"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tblPr>
      <w:tblGrid>
        <w:gridCol w:w="2871"/>
        <w:gridCol w:w="2871"/>
        <w:gridCol w:w="2871"/>
      </w:tblGrid>
      <w:tr w:rsidR="00A516EB" w:rsidRPr="00C8251D" w:rsidTr="00A516EB">
        <w:tc>
          <w:tcPr>
            <w:tcW w:w="2871" w:type="dxa"/>
            <w:shd w:val="clear" w:color="auto" w:fill="1F497D" w:themeFill="text2"/>
          </w:tcPr>
          <w:p w:rsidR="00A516EB" w:rsidRPr="00884D9F" w:rsidRDefault="00A516EB" w:rsidP="00A516EB">
            <w:pPr>
              <w:pStyle w:val="BodyText"/>
              <w:spacing w:before="60" w:after="60"/>
              <w:rPr>
                <w:b/>
                <w:color w:val="FFFFFF" w:themeColor="background1"/>
                <w:sz w:val="20"/>
              </w:rPr>
            </w:pPr>
            <w:r w:rsidRPr="00884D9F">
              <w:rPr>
                <w:b/>
                <w:color w:val="FFFFFF" w:themeColor="background1"/>
                <w:sz w:val="20"/>
              </w:rPr>
              <w:t>Description</w:t>
            </w:r>
          </w:p>
        </w:tc>
        <w:tc>
          <w:tcPr>
            <w:tcW w:w="2871" w:type="dxa"/>
            <w:shd w:val="clear" w:color="auto" w:fill="1F497D" w:themeFill="text2"/>
            <w:vAlign w:val="center"/>
          </w:tcPr>
          <w:p w:rsidR="00A516EB" w:rsidRPr="00884D9F" w:rsidRDefault="00A516EB" w:rsidP="00A516EB">
            <w:pPr>
              <w:pStyle w:val="BodyText"/>
              <w:spacing w:before="60" w:after="60"/>
              <w:jc w:val="right"/>
              <w:rPr>
                <w:b/>
                <w:color w:val="FFFFFF" w:themeColor="background1"/>
                <w:sz w:val="20"/>
              </w:rPr>
            </w:pPr>
            <w:r w:rsidRPr="00884D9F">
              <w:rPr>
                <w:b/>
                <w:color w:val="FFFFFF" w:themeColor="background1"/>
                <w:sz w:val="20"/>
              </w:rPr>
              <w:t>Type of cost</w:t>
            </w:r>
          </w:p>
        </w:tc>
        <w:tc>
          <w:tcPr>
            <w:tcW w:w="2871" w:type="dxa"/>
            <w:shd w:val="clear" w:color="auto" w:fill="1F497D" w:themeFill="text2"/>
            <w:vAlign w:val="center"/>
          </w:tcPr>
          <w:p w:rsidR="00A516EB" w:rsidRPr="00884D9F" w:rsidRDefault="00A516EB" w:rsidP="00A516EB">
            <w:pPr>
              <w:pStyle w:val="BodyText"/>
              <w:spacing w:before="60" w:after="60"/>
              <w:jc w:val="right"/>
              <w:rPr>
                <w:b/>
                <w:color w:val="FFFFFF" w:themeColor="background1"/>
                <w:sz w:val="20"/>
              </w:rPr>
            </w:pPr>
            <w:r w:rsidRPr="00884D9F">
              <w:rPr>
                <w:b/>
                <w:color w:val="FFFFFF" w:themeColor="background1"/>
                <w:sz w:val="20"/>
              </w:rPr>
              <w:t>Cost</w:t>
            </w:r>
            <w:r>
              <w:rPr>
                <w:b/>
                <w:color w:val="FFFFFF" w:themeColor="background1"/>
                <w:sz w:val="20"/>
              </w:rPr>
              <w:t xml:space="preserve"> per annum</w:t>
            </w:r>
          </w:p>
        </w:tc>
      </w:tr>
      <w:tr w:rsidR="00A516EB" w:rsidRPr="00C8251D" w:rsidTr="00A516EB">
        <w:tc>
          <w:tcPr>
            <w:tcW w:w="2871" w:type="dxa"/>
            <w:shd w:val="clear" w:color="auto" w:fill="C6D9F1" w:themeFill="text2" w:themeFillTint="33"/>
          </w:tcPr>
          <w:p w:rsidR="00A516EB" w:rsidRDefault="00A516EB" w:rsidP="00A516EB">
            <w:pPr>
              <w:pStyle w:val="BodyText"/>
              <w:spacing w:before="60" w:after="60"/>
              <w:rPr>
                <w:sz w:val="20"/>
              </w:rPr>
            </w:pPr>
            <w:r>
              <w:rPr>
                <w:sz w:val="20"/>
              </w:rPr>
              <w:t>Travel</w:t>
            </w:r>
          </w:p>
        </w:tc>
        <w:tc>
          <w:tcPr>
            <w:tcW w:w="2871" w:type="dxa"/>
            <w:vAlign w:val="center"/>
          </w:tcPr>
          <w:p w:rsidR="00A516EB" w:rsidRDefault="00A516EB" w:rsidP="00A516EB">
            <w:pPr>
              <w:pStyle w:val="BodyText"/>
              <w:spacing w:before="60" w:after="60"/>
              <w:jc w:val="right"/>
              <w:rPr>
                <w:sz w:val="20"/>
              </w:rPr>
            </w:pPr>
            <w:r w:rsidRPr="00884D9F">
              <w:rPr>
                <w:sz w:val="20"/>
              </w:rPr>
              <w:t>Initial (</w:t>
            </w:r>
            <w:r>
              <w:rPr>
                <w:sz w:val="20"/>
              </w:rPr>
              <w:t>3</w:t>
            </w:r>
            <w:r w:rsidRPr="00884D9F">
              <w:rPr>
                <w:sz w:val="20"/>
              </w:rPr>
              <w:t xml:space="preserve"> years)</w:t>
            </w:r>
          </w:p>
        </w:tc>
        <w:tc>
          <w:tcPr>
            <w:tcW w:w="2871" w:type="dxa"/>
            <w:vAlign w:val="center"/>
          </w:tcPr>
          <w:p w:rsidR="00A516EB" w:rsidRDefault="00A516EB" w:rsidP="00A516EB">
            <w:pPr>
              <w:pStyle w:val="BodyText"/>
              <w:spacing w:before="60" w:after="60"/>
              <w:jc w:val="right"/>
              <w:rPr>
                <w:sz w:val="20"/>
              </w:rPr>
            </w:pPr>
            <w:r>
              <w:rPr>
                <w:sz w:val="20"/>
              </w:rPr>
              <w:t>$12,000</w:t>
            </w:r>
          </w:p>
        </w:tc>
      </w:tr>
      <w:tr w:rsidR="00A516EB" w:rsidRPr="00C8251D" w:rsidTr="00A516EB">
        <w:tc>
          <w:tcPr>
            <w:tcW w:w="2871" w:type="dxa"/>
            <w:shd w:val="clear" w:color="auto" w:fill="C6D9F1" w:themeFill="text2" w:themeFillTint="33"/>
          </w:tcPr>
          <w:p w:rsidR="00A516EB" w:rsidRDefault="00A516EB" w:rsidP="00A516EB">
            <w:pPr>
              <w:pStyle w:val="BodyText"/>
              <w:spacing w:before="60" w:after="60"/>
              <w:rPr>
                <w:sz w:val="20"/>
              </w:rPr>
            </w:pPr>
            <w:r>
              <w:rPr>
                <w:sz w:val="20"/>
              </w:rPr>
              <w:t>Training</w:t>
            </w:r>
          </w:p>
        </w:tc>
        <w:tc>
          <w:tcPr>
            <w:tcW w:w="2871" w:type="dxa"/>
            <w:vAlign w:val="center"/>
          </w:tcPr>
          <w:p w:rsidR="00A516EB" w:rsidRDefault="00A516EB" w:rsidP="00A516EB">
            <w:pPr>
              <w:pStyle w:val="BodyText"/>
              <w:spacing w:before="60" w:after="60"/>
              <w:jc w:val="right"/>
              <w:rPr>
                <w:sz w:val="20"/>
              </w:rPr>
            </w:pPr>
            <w:r w:rsidRPr="00884D9F">
              <w:rPr>
                <w:sz w:val="20"/>
              </w:rPr>
              <w:t>Initial (</w:t>
            </w:r>
            <w:r>
              <w:rPr>
                <w:sz w:val="20"/>
              </w:rPr>
              <w:t>1 year</w:t>
            </w:r>
            <w:r w:rsidRPr="00884D9F">
              <w:rPr>
                <w:sz w:val="20"/>
              </w:rPr>
              <w:t>)</w:t>
            </w:r>
          </w:p>
        </w:tc>
        <w:tc>
          <w:tcPr>
            <w:tcW w:w="2871" w:type="dxa"/>
            <w:vAlign w:val="center"/>
          </w:tcPr>
          <w:p w:rsidR="00A516EB" w:rsidRDefault="00A516EB" w:rsidP="00A516EB">
            <w:pPr>
              <w:pStyle w:val="BodyText"/>
              <w:spacing w:before="60" w:after="60"/>
              <w:jc w:val="right"/>
              <w:rPr>
                <w:sz w:val="20"/>
              </w:rPr>
            </w:pPr>
            <w:r>
              <w:rPr>
                <w:sz w:val="20"/>
              </w:rPr>
              <w:t>$28,980</w:t>
            </w:r>
          </w:p>
        </w:tc>
      </w:tr>
      <w:tr w:rsidR="00A516EB" w:rsidRPr="00C8251D" w:rsidTr="00A516EB">
        <w:tc>
          <w:tcPr>
            <w:tcW w:w="2871" w:type="dxa"/>
            <w:shd w:val="clear" w:color="auto" w:fill="C6D9F1" w:themeFill="text2" w:themeFillTint="33"/>
          </w:tcPr>
          <w:p w:rsidR="00A516EB" w:rsidRDefault="00A516EB" w:rsidP="00A516EB">
            <w:pPr>
              <w:pStyle w:val="BodyText"/>
              <w:spacing w:before="60" w:after="60"/>
              <w:rPr>
                <w:sz w:val="20"/>
              </w:rPr>
            </w:pPr>
            <w:r>
              <w:rPr>
                <w:sz w:val="20"/>
              </w:rPr>
              <w:t>Consultation (RIS)</w:t>
            </w:r>
          </w:p>
        </w:tc>
        <w:tc>
          <w:tcPr>
            <w:tcW w:w="2871" w:type="dxa"/>
            <w:vAlign w:val="center"/>
          </w:tcPr>
          <w:p w:rsidR="00A516EB" w:rsidRDefault="00A516EB" w:rsidP="00A516EB">
            <w:pPr>
              <w:pStyle w:val="BodyText"/>
              <w:spacing w:before="60" w:after="60"/>
              <w:jc w:val="right"/>
              <w:rPr>
                <w:sz w:val="20"/>
              </w:rPr>
            </w:pPr>
            <w:r w:rsidRPr="00884D9F">
              <w:rPr>
                <w:sz w:val="20"/>
              </w:rPr>
              <w:t>Initial (</w:t>
            </w:r>
            <w:r>
              <w:rPr>
                <w:sz w:val="20"/>
              </w:rPr>
              <w:t>1 year</w:t>
            </w:r>
            <w:r w:rsidRPr="00884D9F">
              <w:rPr>
                <w:sz w:val="20"/>
              </w:rPr>
              <w:t>)</w:t>
            </w:r>
          </w:p>
        </w:tc>
        <w:tc>
          <w:tcPr>
            <w:tcW w:w="2871" w:type="dxa"/>
            <w:vAlign w:val="center"/>
          </w:tcPr>
          <w:p w:rsidR="00A516EB" w:rsidRDefault="00A516EB" w:rsidP="00A516EB">
            <w:pPr>
              <w:pStyle w:val="BodyText"/>
              <w:spacing w:before="60" w:after="60"/>
              <w:jc w:val="right"/>
              <w:rPr>
                <w:sz w:val="20"/>
              </w:rPr>
            </w:pPr>
            <w:r>
              <w:rPr>
                <w:sz w:val="20"/>
              </w:rPr>
              <w:t>$170,000</w:t>
            </w:r>
          </w:p>
        </w:tc>
      </w:tr>
      <w:tr w:rsidR="00A516EB" w:rsidRPr="00C8251D" w:rsidTr="00A516EB">
        <w:tc>
          <w:tcPr>
            <w:tcW w:w="2871" w:type="dxa"/>
            <w:shd w:val="clear" w:color="auto" w:fill="C6D9F1" w:themeFill="text2" w:themeFillTint="33"/>
          </w:tcPr>
          <w:p w:rsidR="00A516EB" w:rsidRDefault="00A516EB" w:rsidP="00A516EB">
            <w:pPr>
              <w:pStyle w:val="BodyText"/>
              <w:spacing w:before="60" w:after="60"/>
              <w:rPr>
                <w:sz w:val="20"/>
              </w:rPr>
            </w:pPr>
            <w:r>
              <w:rPr>
                <w:sz w:val="20"/>
              </w:rPr>
              <w:t>Decision (RIS)</w:t>
            </w:r>
          </w:p>
        </w:tc>
        <w:tc>
          <w:tcPr>
            <w:tcW w:w="2871" w:type="dxa"/>
            <w:vAlign w:val="center"/>
          </w:tcPr>
          <w:p w:rsidR="00A516EB" w:rsidRDefault="00A516EB" w:rsidP="00A516EB">
            <w:pPr>
              <w:pStyle w:val="BodyText"/>
              <w:spacing w:before="60" w:after="60"/>
              <w:jc w:val="right"/>
              <w:rPr>
                <w:sz w:val="20"/>
              </w:rPr>
            </w:pPr>
            <w:r w:rsidRPr="00884D9F">
              <w:rPr>
                <w:sz w:val="20"/>
              </w:rPr>
              <w:t>Initial (</w:t>
            </w:r>
            <w:r>
              <w:rPr>
                <w:sz w:val="20"/>
              </w:rPr>
              <w:t>1 year</w:t>
            </w:r>
            <w:r w:rsidRPr="00884D9F">
              <w:rPr>
                <w:sz w:val="20"/>
              </w:rPr>
              <w:t>)</w:t>
            </w:r>
          </w:p>
        </w:tc>
        <w:tc>
          <w:tcPr>
            <w:tcW w:w="2871" w:type="dxa"/>
            <w:vAlign w:val="center"/>
          </w:tcPr>
          <w:p w:rsidR="00A516EB" w:rsidRDefault="00A516EB" w:rsidP="00A516EB">
            <w:pPr>
              <w:pStyle w:val="BodyText"/>
              <w:spacing w:before="60" w:after="60"/>
              <w:jc w:val="right"/>
              <w:rPr>
                <w:sz w:val="20"/>
              </w:rPr>
            </w:pPr>
            <w:r>
              <w:rPr>
                <w:sz w:val="20"/>
              </w:rPr>
              <w:t>$250,000</w:t>
            </w:r>
          </w:p>
        </w:tc>
      </w:tr>
      <w:tr w:rsidR="00A516EB" w:rsidRPr="00C8251D" w:rsidTr="00A516EB">
        <w:tc>
          <w:tcPr>
            <w:tcW w:w="2871" w:type="dxa"/>
            <w:shd w:val="clear" w:color="auto" w:fill="C6D9F1" w:themeFill="text2" w:themeFillTint="33"/>
          </w:tcPr>
          <w:p w:rsidR="00A516EB" w:rsidRDefault="00A516EB" w:rsidP="00A516EB">
            <w:pPr>
              <w:pStyle w:val="BodyText"/>
              <w:spacing w:before="60" w:after="60"/>
              <w:rPr>
                <w:sz w:val="20"/>
              </w:rPr>
            </w:pPr>
            <w:r>
              <w:rPr>
                <w:sz w:val="20"/>
              </w:rPr>
              <w:t>Consultancies</w:t>
            </w:r>
          </w:p>
        </w:tc>
        <w:tc>
          <w:tcPr>
            <w:tcW w:w="2871" w:type="dxa"/>
            <w:vAlign w:val="center"/>
          </w:tcPr>
          <w:p w:rsidR="00A516EB" w:rsidRDefault="00A516EB" w:rsidP="00A516EB">
            <w:pPr>
              <w:pStyle w:val="BodyText"/>
              <w:spacing w:before="60" w:after="60"/>
              <w:jc w:val="right"/>
              <w:rPr>
                <w:sz w:val="20"/>
              </w:rPr>
            </w:pPr>
            <w:r w:rsidRPr="00884D9F">
              <w:rPr>
                <w:sz w:val="20"/>
              </w:rPr>
              <w:t>Initial (</w:t>
            </w:r>
            <w:r>
              <w:rPr>
                <w:sz w:val="20"/>
              </w:rPr>
              <w:t>1 year</w:t>
            </w:r>
            <w:r w:rsidRPr="00884D9F">
              <w:rPr>
                <w:sz w:val="20"/>
              </w:rPr>
              <w:t>)</w:t>
            </w:r>
          </w:p>
        </w:tc>
        <w:tc>
          <w:tcPr>
            <w:tcW w:w="2871" w:type="dxa"/>
            <w:vAlign w:val="center"/>
          </w:tcPr>
          <w:p w:rsidR="00A516EB" w:rsidRDefault="00A516EB" w:rsidP="00A516EB">
            <w:pPr>
              <w:pStyle w:val="BodyText"/>
              <w:spacing w:before="60" w:after="60"/>
              <w:jc w:val="right"/>
              <w:rPr>
                <w:sz w:val="20"/>
              </w:rPr>
            </w:pPr>
            <w:r>
              <w:rPr>
                <w:sz w:val="20"/>
              </w:rPr>
              <w:t>$500,000</w:t>
            </w:r>
          </w:p>
        </w:tc>
      </w:tr>
      <w:tr w:rsidR="00A516EB" w:rsidRPr="00C8251D" w:rsidTr="00A516EB">
        <w:tc>
          <w:tcPr>
            <w:tcW w:w="2871" w:type="dxa"/>
            <w:shd w:val="clear" w:color="auto" w:fill="C6D9F1" w:themeFill="text2" w:themeFillTint="33"/>
          </w:tcPr>
          <w:p w:rsidR="00A516EB" w:rsidRDefault="00A516EB" w:rsidP="00A516EB">
            <w:pPr>
              <w:pStyle w:val="BodyText"/>
              <w:spacing w:before="60" w:after="60"/>
              <w:rPr>
                <w:sz w:val="20"/>
              </w:rPr>
            </w:pPr>
            <w:r>
              <w:rPr>
                <w:sz w:val="20"/>
              </w:rPr>
              <w:t>Stakeholder consultation</w:t>
            </w:r>
          </w:p>
        </w:tc>
        <w:tc>
          <w:tcPr>
            <w:tcW w:w="2871" w:type="dxa"/>
            <w:vAlign w:val="center"/>
          </w:tcPr>
          <w:p w:rsidR="00A516EB" w:rsidRDefault="00A516EB" w:rsidP="00A516EB">
            <w:pPr>
              <w:pStyle w:val="BodyText"/>
              <w:spacing w:before="60" w:after="60"/>
              <w:jc w:val="right"/>
              <w:rPr>
                <w:sz w:val="20"/>
              </w:rPr>
            </w:pPr>
            <w:r>
              <w:rPr>
                <w:sz w:val="20"/>
              </w:rPr>
              <w:t>Initial (1 year)</w:t>
            </w:r>
          </w:p>
        </w:tc>
        <w:tc>
          <w:tcPr>
            <w:tcW w:w="2871" w:type="dxa"/>
            <w:vAlign w:val="center"/>
          </w:tcPr>
          <w:p w:rsidR="00A516EB" w:rsidRDefault="00A516EB" w:rsidP="00A516EB">
            <w:pPr>
              <w:pStyle w:val="BodyText"/>
              <w:spacing w:before="60" w:after="60"/>
              <w:jc w:val="right"/>
              <w:rPr>
                <w:sz w:val="20"/>
              </w:rPr>
            </w:pPr>
            <w:r>
              <w:rPr>
                <w:sz w:val="20"/>
              </w:rPr>
              <w:t>$126,000</w:t>
            </w:r>
          </w:p>
        </w:tc>
      </w:tr>
      <w:tr w:rsidR="00A516EB" w:rsidRPr="00C8251D" w:rsidTr="00A516EB">
        <w:tc>
          <w:tcPr>
            <w:tcW w:w="2871" w:type="dxa"/>
            <w:shd w:val="clear" w:color="auto" w:fill="C6D9F1" w:themeFill="text2" w:themeFillTint="33"/>
          </w:tcPr>
          <w:p w:rsidR="00A516EB" w:rsidRDefault="00A516EB" w:rsidP="00A516EB">
            <w:pPr>
              <w:pStyle w:val="BodyText"/>
              <w:spacing w:before="60" w:after="60"/>
              <w:rPr>
                <w:sz w:val="20"/>
              </w:rPr>
            </w:pPr>
            <w:r>
              <w:rPr>
                <w:sz w:val="20"/>
              </w:rPr>
              <w:t>IT systems</w:t>
            </w:r>
          </w:p>
        </w:tc>
        <w:tc>
          <w:tcPr>
            <w:tcW w:w="2871" w:type="dxa"/>
            <w:vAlign w:val="center"/>
          </w:tcPr>
          <w:p w:rsidR="00A516EB" w:rsidRDefault="00A516EB" w:rsidP="00A516EB">
            <w:pPr>
              <w:pStyle w:val="BodyText"/>
              <w:spacing w:before="60" w:after="60"/>
              <w:jc w:val="right"/>
              <w:rPr>
                <w:sz w:val="20"/>
              </w:rPr>
            </w:pPr>
            <w:r>
              <w:rPr>
                <w:sz w:val="20"/>
              </w:rPr>
              <w:t>Initial (1 year)</w:t>
            </w:r>
          </w:p>
        </w:tc>
        <w:tc>
          <w:tcPr>
            <w:tcW w:w="2871" w:type="dxa"/>
            <w:vAlign w:val="center"/>
          </w:tcPr>
          <w:p w:rsidR="00A516EB" w:rsidRDefault="00A516EB" w:rsidP="00A516EB">
            <w:pPr>
              <w:pStyle w:val="BodyText"/>
              <w:spacing w:before="60" w:after="60"/>
              <w:jc w:val="right"/>
              <w:rPr>
                <w:sz w:val="20"/>
              </w:rPr>
            </w:pPr>
            <w:r>
              <w:rPr>
                <w:sz w:val="20"/>
              </w:rPr>
              <w:t>$180,000</w:t>
            </w:r>
          </w:p>
        </w:tc>
      </w:tr>
      <w:tr w:rsidR="00A516EB" w:rsidRPr="00C8251D" w:rsidTr="00A516EB">
        <w:tc>
          <w:tcPr>
            <w:tcW w:w="2871" w:type="dxa"/>
            <w:shd w:val="clear" w:color="auto" w:fill="C6D9F1" w:themeFill="text2" w:themeFillTint="33"/>
          </w:tcPr>
          <w:p w:rsidR="00A516EB" w:rsidRPr="00C8251D" w:rsidRDefault="00A516EB" w:rsidP="00A516EB">
            <w:pPr>
              <w:pStyle w:val="BodyText"/>
              <w:spacing w:before="60" w:after="60"/>
              <w:rPr>
                <w:sz w:val="20"/>
              </w:rPr>
            </w:pPr>
            <w:r>
              <w:rPr>
                <w:sz w:val="20"/>
              </w:rPr>
              <w:t>FRLI lodgement</w:t>
            </w:r>
          </w:p>
        </w:tc>
        <w:tc>
          <w:tcPr>
            <w:tcW w:w="2871" w:type="dxa"/>
            <w:vAlign w:val="center"/>
          </w:tcPr>
          <w:p w:rsidR="00A516EB" w:rsidRDefault="00A516EB" w:rsidP="00A516EB">
            <w:pPr>
              <w:pStyle w:val="BodyText"/>
              <w:spacing w:before="60" w:after="60"/>
              <w:jc w:val="right"/>
              <w:rPr>
                <w:sz w:val="20"/>
              </w:rPr>
            </w:pPr>
            <w:r>
              <w:rPr>
                <w:sz w:val="20"/>
              </w:rPr>
              <w:t>Initial (1 year)</w:t>
            </w:r>
          </w:p>
        </w:tc>
        <w:tc>
          <w:tcPr>
            <w:tcW w:w="2871" w:type="dxa"/>
            <w:vAlign w:val="center"/>
          </w:tcPr>
          <w:p w:rsidR="00A516EB" w:rsidRPr="00C8251D" w:rsidRDefault="00A516EB" w:rsidP="00A516EB">
            <w:pPr>
              <w:pStyle w:val="BodyText"/>
              <w:spacing w:before="60" w:after="60"/>
              <w:jc w:val="right"/>
              <w:rPr>
                <w:sz w:val="20"/>
              </w:rPr>
            </w:pPr>
            <w:r>
              <w:rPr>
                <w:sz w:val="20"/>
              </w:rPr>
              <w:t>$5,000</w:t>
            </w:r>
          </w:p>
        </w:tc>
      </w:tr>
      <w:tr w:rsidR="00A516EB" w:rsidRPr="00C8251D" w:rsidTr="00A516EB">
        <w:tc>
          <w:tcPr>
            <w:tcW w:w="2871" w:type="dxa"/>
            <w:shd w:val="clear" w:color="auto" w:fill="C6D9F1" w:themeFill="text2" w:themeFillTint="33"/>
          </w:tcPr>
          <w:p w:rsidR="00A516EB" w:rsidRPr="00C8251D" w:rsidRDefault="00A516EB" w:rsidP="00A516EB">
            <w:pPr>
              <w:pStyle w:val="BodyText"/>
              <w:spacing w:before="60" w:after="60"/>
              <w:rPr>
                <w:sz w:val="20"/>
              </w:rPr>
            </w:pPr>
            <w:r>
              <w:rPr>
                <w:sz w:val="20"/>
              </w:rPr>
              <w:t>Specialist legal advice</w:t>
            </w:r>
          </w:p>
        </w:tc>
        <w:tc>
          <w:tcPr>
            <w:tcW w:w="2871" w:type="dxa"/>
            <w:vAlign w:val="center"/>
          </w:tcPr>
          <w:p w:rsidR="00A516EB" w:rsidRDefault="00A516EB" w:rsidP="00A516EB">
            <w:pPr>
              <w:pStyle w:val="BodyText"/>
              <w:spacing w:before="60" w:after="60"/>
              <w:jc w:val="right"/>
              <w:rPr>
                <w:sz w:val="20"/>
              </w:rPr>
            </w:pPr>
            <w:r>
              <w:rPr>
                <w:sz w:val="20"/>
              </w:rPr>
              <w:t>Initial (1 year)</w:t>
            </w:r>
          </w:p>
        </w:tc>
        <w:tc>
          <w:tcPr>
            <w:tcW w:w="2871" w:type="dxa"/>
            <w:vAlign w:val="center"/>
          </w:tcPr>
          <w:p w:rsidR="00A516EB" w:rsidRPr="00F268D2" w:rsidRDefault="00A516EB" w:rsidP="00A516EB">
            <w:pPr>
              <w:pStyle w:val="BodyText"/>
              <w:spacing w:before="60" w:after="60"/>
              <w:jc w:val="right"/>
              <w:rPr>
                <w:sz w:val="20"/>
              </w:rPr>
            </w:pPr>
            <w:r>
              <w:rPr>
                <w:sz w:val="20"/>
              </w:rPr>
              <w:t>$55,000</w:t>
            </w:r>
          </w:p>
        </w:tc>
      </w:tr>
      <w:tr w:rsidR="00A516EB" w:rsidRPr="00C8251D" w:rsidTr="00A516EB">
        <w:tc>
          <w:tcPr>
            <w:tcW w:w="2871" w:type="dxa"/>
            <w:shd w:val="clear" w:color="auto" w:fill="C6D9F1" w:themeFill="text2" w:themeFillTint="33"/>
          </w:tcPr>
          <w:p w:rsidR="00A516EB" w:rsidRPr="00C8251D" w:rsidRDefault="00A516EB" w:rsidP="00A516EB">
            <w:pPr>
              <w:pStyle w:val="BodyText"/>
              <w:spacing w:before="60" w:after="60"/>
              <w:rPr>
                <w:sz w:val="20"/>
              </w:rPr>
            </w:pPr>
            <w:r>
              <w:rPr>
                <w:sz w:val="20"/>
              </w:rPr>
              <w:t>Staff Cost (EL1 – 4 FTEs)</w:t>
            </w:r>
          </w:p>
        </w:tc>
        <w:tc>
          <w:tcPr>
            <w:tcW w:w="2871" w:type="dxa"/>
            <w:vAlign w:val="center"/>
          </w:tcPr>
          <w:p w:rsidR="00A516EB" w:rsidRDefault="00A516EB" w:rsidP="00A516EB">
            <w:pPr>
              <w:pStyle w:val="BodyText"/>
              <w:spacing w:before="60" w:after="60"/>
              <w:jc w:val="right"/>
              <w:rPr>
                <w:sz w:val="20"/>
              </w:rPr>
            </w:pPr>
            <w:r>
              <w:rPr>
                <w:sz w:val="20"/>
              </w:rPr>
              <w:t>Initial (3 years)</w:t>
            </w:r>
          </w:p>
        </w:tc>
        <w:tc>
          <w:tcPr>
            <w:tcW w:w="2871" w:type="dxa"/>
            <w:vAlign w:val="center"/>
          </w:tcPr>
          <w:p w:rsidR="00A516EB" w:rsidRPr="00F268D2" w:rsidRDefault="00A516EB" w:rsidP="00A516EB">
            <w:pPr>
              <w:pStyle w:val="BodyText"/>
              <w:spacing w:before="60" w:after="60"/>
              <w:jc w:val="right"/>
              <w:rPr>
                <w:sz w:val="20"/>
              </w:rPr>
            </w:pPr>
            <w:r>
              <w:rPr>
                <w:sz w:val="20"/>
              </w:rPr>
              <w:t>$632,000</w:t>
            </w:r>
          </w:p>
        </w:tc>
      </w:tr>
      <w:tr w:rsidR="00A516EB" w:rsidRPr="00C8251D" w:rsidTr="00A516EB">
        <w:tc>
          <w:tcPr>
            <w:tcW w:w="2871" w:type="dxa"/>
            <w:shd w:val="clear" w:color="auto" w:fill="C6D9F1" w:themeFill="text2" w:themeFillTint="33"/>
          </w:tcPr>
          <w:p w:rsidR="00A516EB" w:rsidRDefault="00A516EB" w:rsidP="00A516EB">
            <w:pPr>
              <w:pStyle w:val="BodyText"/>
              <w:spacing w:before="60" w:after="60"/>
              <w:rPr>
                <w:sz w:val="20"/>
              </w:rPr>
            </w:pPr>
            <w:r>
              <w:rPr>
                <w:sz w:val="20"/>
              </w:rPr>
              <w:t>Staff Cost (EL2 – 1 FTE)</w:t>
            </w:r>
          </w:p>
        </w:tc>
        <w:tc>
          <w:tcPr>
            <w:tcW w:w="2871" w:type="dxa"/>
            <w:vAlign w:val="center"/>
          </w:tcPr>
          <w:p w:rsidR="00A516EB" w:rsidRDefault="00A516EB" w:rsidP="00A516EB">
            <w:pPr>
              <w:pStyle w:val="BodyText"/>
              <w:spacing w:before="60" w:after="60"/>
              <w:jc w:val="right"/>
              <w:rPr>
                <w:sz w:val="20"/>
              </w:rPr>
            </w:pPr>
            <w:r>
              <w:rPr>
                <w:sz w:val="20"/>
              </w:rPr>
              <w:t>Initial (3 years)</w:t>
            </w:r>
          </w:p>
        </w:tc>
        <w:tc>
          <w:tcPr>
            <w:tcW w:w="2871" w:type="dxa"/>
            <w:vAlign w:val="center"/>
          </w:tcPr>
          <w:p w:rsidR="00A516EB" w:rsidRDefault="00A516EB" w:rsidP="00A516EB">
            <w:pPr>
              <w:pStyle w:val="BodyText"/>
              <w:spacing w:before="60" w:after="60"/>
              <w:jc w:val="right"/>
              <w:rPr>
                <w:sz w:val="20"/>
              </w:rPr>
            </w:pPr>
            <w:r>
              <w:rPr>
                <w:sz w:val="20"/>
              </w:rPr>
              <w:t>$194,000</w:t>
            </w:r>
          </w:p>
        </w:tc>
      </w:tr>
      <w:tr w:rsidR="00A516EB" w:rsidRPr="00C8251D" w:rsidTr="00A516EB">
        <w:tc>
          <w:tcPr>
            <w:tcW w:w="2871" w:type="dxa"/>
            <w:shd w:val="clear" w:color="auto" w:fill="C6D9F1" w:themeFill="text2" w:themeFillTint="33"/>
          </w:tcPr>
          <w:p w:rsidR="00A516EB" w:rsidRDefault="00A516EB" w:rsidP="00A516EB">
            <w:pPr>
              <w:pStyle w:val="BodyText"/>
              <w:spacing w:before="60" w:after="60"/>
              <w:rPr>
                <w:sz w:val="20"/>
              </w:rPr>
            </w:pPr>
            <w:r>
              <w:rPr>
                <w:sz w:val="20"/>
              </w:rPr>
              <w:t>Staff Cost (APS 6 – 3 FTE)</w:t>
            </w:r>
          </w:p>
        </w:tc>
        <w:tc>
          <w:tcPr>
            <w:tcW w:w="2871" w:type="dxa"/>
            <w:vAlign w:val="center"/>
          </w:tcPr>
          <w:p w:rsidR="00A516EB" w:rsidRDefault="00A516EB" w:rsidP="00A516EB">
            <w:pPr>
              <w:pStyle w:val="BodyText"/>
              <w:spacing w:before="60" w:after="60"/>
              <w:jc w:val="right"/>
              <w:rPr>
                <w:sz w:val="20"/>
              </w:rPr>
            </w:pPr>
            <w:r>
              <w:rPr>
                <w:sz w:val="20"/>
              </w:rPr>
              <w:t>Initial (3 years)</w:t>
            </w:r>
          </w:p>
        </w:tc>
        <w:tc>
          <w:tcPr>
            <w:tcW w:w="2871" w:type="dxa"/>
            <w:vAlign w:val="center"/>
          </w:tcPr>
          <w:p w:rsidR="00A516EB" w:rsidRDefault="00A516EB" w:rsidP="00A516EB">
            <w:pPr>
              <w:pStyle w:val="BodyText"/>
              <w:spacing w:before="60" w:after="60"/>
              <w:jc w:val="right"/>
              <w:rPr>
                <w:sz w:val="20"/>
              </w:rPr>
            </w:pPr>
            <w:r>
              <w:rPr>
                <w:sz w:val="20"/>
              </w:rPr>
              <w:t>$393,000</w:t>
            </w:r>
          </w:p>
        </w:tc>
      </w:tr>
      <w:tr w:rsidR="00A516EB" w:rsidRPr="00C8251D" w:rsidTr="00A516EB">
        <w:tc>
          <w:tcPr>
            <w:tcW w:w="2871" w:type="dxa"/>
            <w:shd w:val="clear" w:color="auto" w:fill="C6D9F1" w:themeFill="text2" w:themeFillTint="33"/>
          </w:tcPr>
          <w:p w:rsidR="00A516EB" w:rsidRDefault="00A516EB" w:rsidP="00A516EB">
            <w:pPr>
              <w:pStyle w:val="BodyText"/>
              <w:spacing w:before="60" w:after="60"/>
              <w:rPr>
                <w:sz w:val="20"/>
              </w:rPr>
            </w:pPr>
            <w:r>
              <w:rPr>
                <w:sz w:val="20"/>
              </w:rPr>
              <w:t>Staff Cost (APS 5 – 1 FTE)</w:t>
            </w:r>
          </w:p>
        </w:tc>
        <w:tc>
          <w:tcPr>
            <w:tcW w:w="2871" w:type="dxa"/>
            <w:vAlign w:val="center"/>
          </w:tcPr>
          <w:p w:rsidR="00A516EB" w:rsidRDefault="00A516EB" w:rsidP="00A516EB">
            <w:pPr>
              <w:pStyle w:val="BodyText"/>
              <w:spacing w:before="60" w:after="60"/>
              <w:jc w:val="right"/>
              <w:rPr>
                <w:sz w:val="20"/>
              </w:rPr>
            </w:pPr>
            <w:r>
              <w:rPr>
                <w:sz w:val="20"/>
              </w:rPr>
              <w:t>Initial (3 years)</w:t>
            </w:r>
          </w:p>
        </w:tc>
        <w:tc>
          <w:tcPr>
            <w:tcW w:w="2871" w:type="dxa"/>
            <w:vAlign w:val="center"/>
          </w:tcPr>
          <w:p w:rsidR="00A516EB" w:rsidRDefault="00A516EB" w:rsidP="00A516EB">
            <w:pPr>
              <w:pStyle w:val="BodyText"/>
              <w:spacing w:before="60" w:after="60"/>
              <w:jc w:val="right"/>
              <w:rPr>
                <w:sz w:val="20"/>
              </w:rPr>
            </w:pPr>
            <w:r>
              <w:rPr>
                <w:sz w:val="20"/>
              </w:rPr>
              <w:t>$115,000</w:t>
            </w:r>
          </w:p>
        </w:tc>
      </w:tr>
      <w:tr w:rsidR="00A516EB" w:rsidRPr="00C8251D" w:rsidTr="00A516EB">
        <w:tc>
          <w:tcPr>
            <w:tcW w:w="2871" w:type="dxa"/>
            <w:shd w:val="clear" w:color="auto" w:fill="C6D9F1" w:themeFill="text2" w:themeFillTint="33"/>
          </w:tcPr>
          <w:p w:rsidR="00A516EB" w:rsidRDefault="00A516EB" w:rsidP="00A516EB">
            <w:pPr>
              <w:pStyle w:val="BodyText"/>
              <w:spacing w:before="60" w:after="60"/>
              <w:rPr>
                <w:sz w:val="20"/>
              </w:rPr>
            </w:pPr>
            <w:r>
              <w:rPr>
                <w:sz w:val="20"/>
              </w:rPr>
              <w:t>Litigation costs</w:t>
            </w:r>
          </w:p>
        </w:tc>
        <w:tc>
          <w:tcPr>
            <w:tcW w:w="2871" w:type="dxa"/>
            <w:vAlign w:val="center"/>
          </w:tcPr>
          <w:p w:rsidR="00A516EB" w:rsidRPr="00884D9F" w:rsidRDefault="00A516EB" w:rsidP="00A516EB">
            <w:pPr>
              <w:pStyle w:val="BodyText"/>
              <w:spacing w:before="60" w:after="60"/>
              <w:jc w:val="right"/>
              <w:rPr>
                <w:sz w:val="20"/>
              </w:rPr>
            </w:pPr>
            <w:r>
              <w:rPr>
                <w:sz w:val="20"/>
              </w:rPr>
              <w:t>Ongoing</w:t>
            </w:r>
          </w:p>
        </w:tc>
        <w:tc>
          <w:tcPr>
            <w:tcW w:w="2871" w:type="dxa"/>
            <w:vAlign w:val="center"/>
          </w:tcPr>
          <w:p w:rsidR="00A516EB" w:rsidRDefault="00A516EB" w:rsidP="00A516EB">
            <w:pPr>
              <w:pStyle w:val="BodyText"/>
              <w:spacing w:before="60" w:after="60"/>
              <w:jc w:val="right"/>
              <w:rPr>
                <w:sz w:val="20"/>
              </w:rPr>
            </w:pPr>
            <w:r>
              <w:rPr>
                <w:sz w:val="20"/>
              </w:rPr>
              <w:t>$200,000</w:t>
            </w:r>
          </w:p>
        </w:tc>
      </w:tr>
      <w:tr w:rsidR="00A516EB" w:rsidRPr="00C8251D" w:rsidTr="00A516EB">
        <w:tc>
          <w:tcPr>
            <w:tcW w:w="2871" w:type="dxa"/>
            <w:shd w:val="clear" w:color="auto" w:fill="C6D9F1" w:themeFill="text2" w:themeFillTint="33"/>
          </w:tcPr>
          <w:p w:rsidR="00A516EB" w:rsidRDefault="00A516EB" w:rsidP="00A516EB">
            <w:pPr>
              <w:pStyle w:val="BodyText"/>
              <w:spacing w:before="60" w:after="60"/>
              <w:rPr>
                <w:sz w:val="20"/>
              </w:rPr>
            </w:pPr>
            <w:r>
              <w:rPr>
                <w:sz w:val="20"/>
              </w:rPr>
              <w:t>IT system development</w:t>
            </w:r>
          </w:p>
        </w:tc>
        <w:tc>
          <w:tcPr>
            <w:tcW w:w="2871" w:type="dxa"/>
            <w:vAlign w:val="center"/>
          </w:tcPr>
          <w:p w:rsidR="00A516EB" w:rsidRPr="00884D9F" w:rsidRDefault="00A516EB" w:rsidP="00A516EB">
            <w:pPr>
              <w:pStyle w:val="BodyText"/>
              <w:spacing w:before="60" w:after="60"/>
              <w:jc w:val="right"/>
              <w:rPr>
                <w:sz w:val="20"/>
              </w:rPr>
            </w:pPr>
            <w:r>
              <w:rPr>
                <w:sz w:val="20"/>
              </w:rPr>
              <w:t>Ongoing</w:t>
            </w:r>
          </w:p>
        </w:tc>
        <w:tc>
          <w:tcPr>
            <w:tcW w:w="2871" w:type="dxa"/>
            <w:vAlign w:val="center"/>
          </w:tcPr>
          <w:p w:rsidR="00A516EB" w:rsidRDefault="00A516EB" w:rsidP="00A516EB">
            <w:pPr>
              <w:pStyle w:val="BodyText"/>
              <w:spacing w:before="60" w:after="60"/>
              <w:jc w:val="right"/>
              <w:rPr>
                <w:sz w:val="20"/>
              </w:rPr>
            </w:pPr>
            <w:r>
              <w:rPr>
                <w:sz w:val="20"/>
              </w:rPr>
              <w:t>$180,000</w:t>
            </w:r>
          </w:p>
        </w:tc>
      </w:tr>
      <w:tr w:rsidR="00A516EB" w:rsidRPr="00C8251D" w:rsidTr="00A516EB">
        <w:tc>
          <w:tcPr>
            <w:tcW w:w="2871" w:type="dxa"/>
            <w:shd w:val="clear" w:color="auto" w:fill="C6D9F1" w:themeFill="text2" w:themeFillTint="33"/>
          </w:tcPr>
          <w:p w:rsidR="00A516EB" w:rsidRDefault="00A516EB" w:rsidP="00A516EB">
            <w:pPr>
              <w:pStyle w:val="BodyText"/>
              <w:spacing w:before="60" w:after="60"/>
              <w:rPr>
                <w:sz w:val="20"/>
              </w:rPr>
            </w:pPr>
            <w:r>
              <w:rPr>
                <w:sz w:val="20"/>
              </w:rPr>
              <w:t>FRLI</w:t>
            </w:r>
          </w:p>
        </w:tc>
        <w:tc>
          <w:tcPr>
            <w:tcW w:w="2871" w:type="dxa"/>
            <w:vAlign w:val="center"/>
          </w:tcPr>
          <w:p w:rsidR="00A516EB" w:rsidRPr="00884D9F" w:rsidRDefault="00A516EB" w:rsidP="00A516EB">
            <w:pPr>
              <w:pStyle w:val="BodyText"/>
              <w:spacing w:before="60" w:after="60"/>
              <w:jc w:val="right"/>
              <w:rPr>
                <w:sz w:val="20"/>
              </w:rPr>
            </w:pPr>
            <w:r>
              <w:rPr>
                <w:sz w:val="20"/>
              </w:rPr>
              <w:t>Ongoing</w:t>
            </w:r>
          </w:p>
        </w:tc>
        <w:tc>
          <w:tcPr>
            <w:tcW w:w="2871" w:type="dxa"/>
            <w:vAlign w:val="center"/>
          </w:tcPr>
          <w:p w:rsidR="00A516EB" w:rsidRDefault="00A516EB" w:rsidP="00A516EB">
            <w:pPr>
              <w:pStyle w:val="BodyText"/>
              <w:spacing w:before="60" w:after="60"/>
              <w:jc w:val="right"/>
              <w:rPr>
                <w:sz w:val="20"/>
              </w:rPr>
            </w:pPr>
            <w:r>
              <w:rPr>
                <w:sz w:val="20"/>
              </w:rPr>
              <w:t>$5,000</w:t>
            </w:r>
          </w:p>
        </w:tc>
      </w:tr>
      <w:tr w:rsidR="00A516EB" w:rsidRPr="00C8251D" w:rsidTr="00A516EB">
        <w:tc>
          <w:tcPr>
            <w:tcW w:w="2871" w:type="dxa"/>
            <w:shd w:val="clear" w:color="auto" w:fill="C6D9F1" w:themeFill="text2" w:themeFillTint="33"/>
          </w:tcPr>
          <w:p w:rsidR="00A516EB" w:rsidRDefault="00A516EB" w:rsidP="00A516EB">
            <w:pPr>
              <w:pStyle w:val="BodyText"/>
              <w:spacing w:before="60" w:after="60"/>
              <w:rPr>
                <w:sz w:val="20"/>
              </w:rPr>
            </w:pPr>
            <w:r>
              <w:rPr>
                <w:sz w:val="20"/>
              </w:rPr>
              <w:t>Specialist legal advice</w:t>
            </w:r>
          </w:p>
        </w:tc>
        <w:tc>
          <w:tcPr>
            <w:tcW w:w="2871" w:type="dxa"/>
            <w:vAlign w:val="center"/>
          </w:tcPr>
          <w:p w:rsidR="00A516EB" w:rsidRPr="00884D9F" w:rsidRDefault="00A516EB" w:rsidP="00A516EB">
            <w:pPr>
              <w:pStyle w:val="BodyText"/>
              <w:spacing w:before="60" w:after="60"/>
              <w:jc w:val="right"/>
              <w:rPr>
                <w:sz w:val="20"/>
              </w:rPr>
            </w:pPr>
            <w:r>
              <w:rPr>
                <w:sz w:val="20"/>
              </w:rPr>
              <w:t>Ongoing</w:t>
            </w:r>
          </w:p>
        </w:tc>
        <w:tc>
          <w:tcPr>
            <w:tcW w:w="2871" w:type="dxa"/>
            <w:vAlign w:val="center"/>
          </w:tcPr>
          <w:p w:rsidR="00A516EB" w:rsidRDefault="00A516EB" w:rsidP="00A516EB">
            <w:pPr>
              <w:pStyle w:val="BodyText"/>
              <w:spacing w:before="60" w:after="60"/>
              <w:jc w:val="right"/>
              <w:rPr>
                <w:sz w:val="20"/>
              </w:rPr>
            </w:pPr>
            <w:r>
              <w:rPr>
                <w:sz w:val="20"/>
              </w:rPr>
              <w:t>$55,000</w:t>
            </w:r>
          </w:p>
        </w:tc>
      </w:tr>
      <w:tr w:rsidR="00A516EB" w:rsidRPr="00C8251D" w:rsidTr="00A516EB">
        <w:tc>
          <w:tcPr>
            <w:tcW w:w="2871" w:type="dxa"/>
            <w:shd w:val="clear" w:color="auto" w:fill="C6D9F1" w:themeFill="text2" w:themeFillTint="33"/>
          </w:tcPr>
          <w:p w:rsidR="00A516EB" w:rsidRDefault="00A516EB" w:rsidP="00A516EB">
            <w:pPr>
              <w:pStyle w:val="BodyText"/>
              <w:spacing w:before="60" w:after="60"/>
              <w:rPr>
                <w:sz w:val="20"/>
              </w:rPr>
            </w:pPr>
            <w:r>
              <w:rPr>
                <w:sz w:val="20"/>
              </w:rPr>
              <w:t>Compliance officers</w:t>
            </w:r>
          </w:p>
        </w:tc>
        <w:tc>
          <w:tcPr>
            <w:tcW w:w="2871" w:type="dxa"/>
            <w:vAlign w:val="center"/>
          </w:tcPr>
          <w:p w:rsidR="00A516EB" w:rsidRDefault="00A516EB" w:rsidP="00A516EB">
            <w:pPr>
              <w:pStyle w:val="BodyText"/>
              <w:spacing w:before="60" w:after="60"/>
              <w:jc w:val="right"/>
              <w:rPr>
                <w:sz w:val="20"/>
              </w:rPr>
            </w:pPr>
            <w:r>
              <w:rPr>
                <w:sz w:val="20"/>
              </w:rPr>
              <w:t>Ongoing</w:t>
            </w:r>
          </w:p>
        </w:tc>
        <w:tc>
          <w:tcPr>
            <w:tcW w:w="2871" w:type="dxa"/>
            <w:vAlign w:val="center"/>
          </w:tcPr>
          <w:p w:rsidR="00A516EB" w:rsidRDefault="00A516EB" w:rsidP="00A516EB">
            <w:pPr>
              <w:pStyle w:val="BodyText"/>
              <w:spacing w:before="60" w:after="60"/>
              <w:jc w:val="right"/>
              <w:rPr>
                <w:sz w:val="20"/>
              </w:rPr>
            </w:pPr>
            <w:r>
              <w:rPr>
                <w:sz w:val="20"/>
              </w:rPr>
              <w:t>$810,000</w:t>
            </w:r>
          </w:p>
        </w:tc>
      </w:tr>
      <w:tr w:rsidR="00A516EB" w:rsidRPr="00C8251D" w:rsidTr="00A516EB">
        <w:tc>
          <w:tcPr>
            <w:tcW w:w="2871" w:type="dxa"/>
            <w:shd w:val="clear" w:color="auto" w:fill="C6D9F1" w:themeFill="text2" w:themeFillTint="33"/>
          </w:tcPr>
          <w:p w:rsidR="00A516EB" w:rsidRDefault="00A516EB" w:rsidP="00A516EB">
            <w:pPr>
              <w:pStyle w:val="BodyText"/>
              <w:spacing w:before="60" w:after="60"/>
              <w:rPr>
                <w:sz w:val="20"/>
              </w:rPr>
            </w:pPr>
            <w:r>
              <w:rPr>
                <w:sz w:val="20"/>
              </w:rPr>
              <w:t>Staff cost (EL1 – 2 FTE)</w:t>
            </w:r>
          </w:p>
        </w:tc>
        <w:tc>
          <w:tcPr>
            <w:tcW w:w="2871" w:type="dxa"/>
            <w:vAlign w:val="center"/>
          </w:tcPr>
          <w:p w:rsidR="00A516EB" w:rsidRDefault="00A516EB" w:rsidP="00A516EB">
            <w:pPr>
              <w:pStyle w:val="BodyText"/>
              <w:spacing w:before="60" w:after="60"/>
              <w:jc w:val="right"/>
              <w:rPr>
                <w:sz w:val="20"/>
              </w:rPr>
            </w:pPr>
            <w:r>
              <w:rPr>
                <w:sz w:val="20"/>
              </w:rPr>
              <w:t>Ongoing</w:t>
            </w:r>
          </w:p>
        </w:tc>
        <w:tc>
          <w:tcPr>
            <w:tcW w:w="2871" w:type="dxa"/>
            <w:vAlign w:val="center"/>
          </w:tcPr>
          <w:p w:rsidR="00A516EB" w:rsidRDefault="00A516EB" w:rsidP="00A516EB">
            <w:pPr>
              <w:pStyle w:val="BodyText"/>
              <w:spacing w:before="60" w:after="60"/>
              <w:jc w:val="right"/>
              <w:rPr>
                <w:sz w:val="20"/>
              </w:rPr>
            </w:pPr>
            <w:r>
              <w:rPr>
                <w:sz w:val="20"/>
              </w:rPr>
              <w:t>$316,000</w:t>
            </w:r>
          </w:p>
        </w:tc>
      </w:tr>
      <w:tr w:rsidR="00A516EB" w:rsidRPr="00C8251D" w:rsidTr="00A516EB">
        <w:tc>
          <w:tcPr>
            <w:tcW w:w="2871" w:type="dxa"/>
            <w:shd w:val="clear" w:color="auto" w:fill="C6D9F1" w:themeFill="text2" w:themeFillTint="33"/>
          </w:tcPr>
          <w:p w:rsidR="00A516EB" w:rsidRDefault="00A516EB" w:rsidP="00A516EB">
            <w:pPr>
              <w:pStyle w:val="BodyText"/>
              <w:spacing w:before="60" w:after="60"/>
              <w:rPr>
                <w:sz w:val="20"/>
              </w:rPr>
            </w:pPr>
            <w:r>
              <w:rPr>
                <w:sz w:val="20"/>
              </w:rPr>
              <w:t>Staff cost (EL2 – 0.5 FTE)</w:t>
            </w:r>
          </w:p>
        </w:tc>
        <w:tc>
          <w:tcPr>
            <w:tcW w:w="2871" w:type="dxa"/>
            <w:vAlign w:val="center"/>
          </w:tcPr>
          <w:p w:rsidR="00A516EB" w:rsidRDefault="00A516EB" w:rsidP="00A516EB">
            <w:pPr>
              <w:pStyle w:val="BodyText"/>
              <w:spacing w:before="60" w:after="60"/>
              <w:jc w:val="right"/>
              <w:rPr>
                <w:sz w:val="20"/>
              </w:rPr>
            </w:pPr>
            <w:r>
              <w:rPr>
                <w:sz w:val="20"/>
              </w:rPr>
              <w:t>Ongoing</w:t>
            </w:r>
          </w:p>
        </w:tc>
        <w:tc>
          <w:tcPr>
            <w:tcW w:w="2871" w:type="dxa"/>
            <w:vAlign w:val="center"/>
          </w:tcPr>
          <w:p w:rsidR="00A516EB" w:rsidRDefault="00A516EB" w:rsidP="00A516EB">
            <w:pPr>
              <w:pStyle w:val="BodyText"/>
              <w:spacing w:before="60" w:after="60"/>
              <w:jc w:val="right"/>
              <w:rPr>
                <w:sz w:val="20"/>
              </w:rPr>
            </w:pPr>
            <w:r>
              <w:rPr>
                <w:sz w:val="20"/>
              </w:rPr>
              <w:t>$97,000</w:t>
            </w:r>
          </w:p>
        </w:tc>
      </w:tr>
      <w:tr w:rsidR="00A516EB" w:rsidRPr="00C8251D" w:rsidTr="00A516EB">
        <w:tc>
          <w:tcPr>
            <w:tcW w:w="2871" w:type="dxa"/>
            <w:shd w:val="clear" w:color="auto" w:fill="C6D9F1" w:themeFill="text2" w:themeFillTint="33"/>
          </w:tcPr>
          <w:p w:rsidR="00A516EB" w:rsidRDefault="00A516EB" w:rsidP="00A516EB">
            <w:pPr>
              <w:pStyle w:val="BodyText"/>
              <w:spacing w:before="60" w:after="60"/>
              <w:rPr>
                <w:sz w:val="20"/>
              </w:rPr>
            </w:pPr>
            <w:r>
              <w:rPr>
                <w:sz w:val="20"/>
              </w:rPr>
              <w:t>Staff cost (APS 6 – 3 FTEs)</w:t>
            </w:r>
          </w:p>
        </w:tc>
        <w:tc>
          <w:tcPr>
            <w:tcW w:w="2871" w:type="dxa"/>
            <w:vAlign w:val="center"/>
          </w:tcPr>
          <w:p w:rsidR="00A516EB" w:rsidRDefault="00A516EB" w:rsidP="00A516EB">
            <w:pPr>
              <w:pStyle w:val="BodyText"/>
              <w:spacing w:before="60" w:after="60"/>
              <w:jc w:val="right"/>
              <w:rPr>
                <w:sz w:val="20"/>
              </w:rPr>
            </w:pPr>
            <w:r>
              <w:rPr>
                <w:sz w:val="20"/>
              </w:rPr>
              <w:t>Ongoing</w:t>
            </w:r>
          </w:p>
        </w:tc>
        <w:tc>
          <w:tcPr>
            <w:tcW w:w="2871" w:type="dxa"/>
            <w:vAlign w:val="center"/>
          </w:tcPr>
          <w:p w:rsidR="00A516EB" w:rsidRDefault="00A516EB" w:rsidP="00A516EB">
            <w:pPr>
              <w:pStyle w:val="BodyText"/>
              <w:spacing w:before="60" w:after="60"/>
              <w:jc w:val="right"/>
              <w:rPr>
                <w:sz w:val="20"/>
              </w:rPr>
            </w:pPr>
            <w:r>
              <w:rPr>
                <w:sz w:val="20"/>
              </w:rPr>
              <w:t>$393,000</w:t>
            </w:r>
          </w:p>
        </w:tc>
      </w:tr>
      <w:tr w:rsidR="00A516EB" w:rsidRPr="00C8251D" w:rsidTr="00A516EB">
        <w:tc>
          <w:tcPr>
            <w:tcW w:w="2871" w:type="dxa"/>
            <w:shd w:val="clear" w:color="auto" w:fill="C6D9F1" w:themeFill="text2" w:themeFillTint="33"/>
          </w:tcPr>
          <w:p w:rsidR="00A516EB" w:rsidRDefault="00A516EB" w:rsidP="00A516EB">
            <w:pPr>
              <w:pStyle w:val="BodyText"/>
              <w:spacing w:before="60" w:after="60"/>
              <w:rPr>
                <w:sz w:val="20"/>
              </w:rPr>
            </w:pPr>
            <w:r>
              <w:rPr>
                <w:sz w:val="20"/>
              </w:rPr>
              <w:t>Staff cost (APS 5 – 1 FTE)</w:t>
            </w:r>
          </w:p>
        </w:tc>
        <w:tc>
          <w:tcPr>
            <w:tcW w:w="2871" w:type="dxa"/>
            <w:vAlign w:val="center"/>
          </w:tcPr>
          <w:p w:rsidR="00A516EB" w:rsidRDefault="00A516EB" w:rsidP="00A516EB">
            <w:pPr>
              <w:pStyle w:val="BodyText"/>
              <w:spacing w:before="60" w:after="60"/>
              <w:jc w:val="right"/>
              <w:rPr>
                <w:sz w:val="20"/>
              </w:rPr>
            </w:pPr>
            <w:r>
              <w:rPr>
                <w:sz w:val="20"/>
              </w:rPr>
              <w:t>Ongoing</w:t>
            </w:r>
          </w:p>
        </w:tc>
        <w:tc>
          <w:tcPr>
            <w:tcW w:w="2871" w:type="dxa"/>
            <w:vAlign w:val="center"/>
          </w:tcPr>
          <w:p w:rsidR="00A516EB" w:rsidRDefault="00A516EB" w:rsidP="00A516EB">
            <w:pPr>
              <w:pStyle w:val="BodyText"/>
              <w:spacing w:before="60" w:after="60"/>
              <w:jc w:val="right"/>
              <w:rPr>
                <w:sz w:val="20"/>
              </w:rPr>
            </w:pPr>
            <w:r>
              <w:rPr>
                <w:sz w:val="20"/>
              </w:rPr>
              <w:t>$115,000</w:t>
            </w:r>
          </w:p>
        </w:tc>
      </w:tr>
    </w:tbl>
    <w:p w:rsidR="00A516EB" w:rsidRDefault="00A516EB" w:rsidP="00A516EB">
      <w:pPr>
        <w:pStyle w:val="Source"/>
      </w:pPr>
      <w:r>
        <w:t>Source: Department of the Environment</w:t>
      </w:r>
    </w:p>
    <w:p w:rsidR="00A516EB" w:rsidRDefault="00A516EB" w:rsidP="000E1FD9">
      <w:pPr>
        <w:pStyle w:val="BodyText"/>
      </w:pPr>
    </w:p>
    <w:p w:rsidR="00400BE8" w:rsidRDefault="00400BE8">
      <w:pPr>
        <w:rPr>
          <w:bCs/>
          <w:i/>
          <w:sz w:val="20"/>
        </w:rPr>
      </w:pPr>
      <w:r>
        <w:br w:type="page"/>
      </w:r>
    </w:p>
    <w:p w:rsidR="00A516EB" w:rsidRDefault="00A516EB" w:rsidP="00A516EB">
      <w:pPr>
        <w:pStyle w:val="Caption"/>
      </w:pPr>
      <w:r>
        <w:lastRenderedPageBreak/>
        <w:t xml:space="preserve">Appendix Table C </w:t>
      </w:r>
      <w:r w:rsidR="00586F30">
        <w:fldChar w:fldCharType="begin"/>
      </w:r>
      <w:r>
        <w:instrText xml:space="preserve"> SEQ Appendix_Table_C \* ARABIC </w:instrText>
      </w:r>
      <w:r w:rsidR="00586F30">
        <w:fldChar w:fldCharType="separate"/>
      </w:r>
      <w:r w:rsidR="001E5D7A">
        <w:rPr>
          <w:noProof/>
        </w:rPr>
        <w:t>6</w:t>
      </w:r>
      <w:r w:rsidR="00586F30">
        <w:fldChar w:fldCharType="end"/>
      </w:r>
      <w:r>
        <w:t>: Industry costs of compliance ($2014), Option 3</w:t>
      </w:r>
    </w:p>
    <w:tbl>
      <w:tblPr>
        <w:tblStyle w:val="TableGrid"/>
        <w:tblW w:w="8613"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tblPr>
      <w:tblGrid>
        <w:gridCol w:w="2871"/>
        <w:gridCol w:w="2871"/>
        <w:gridCol w:w="2871"/>
      </w:tblGrid>
      <w:tr w:rsidR="00A516EB" w:rsidRPr="00C8251D" w:rsidTr="00A516EB">
        <w:tc>
          <w:tcPr>
            <w:tcW w:w="2871" w:type="dxa"/>
            <w:shd w:val="clear" w:color="auto" w:fill="1F497D" w:themeFill="text2"/>
          </w:tcPr>
          <w:p w:rsidR="00A516EB" w:rsidRPr="00884D9F" w:rsidRDefault="00A516EB" w:rsidP="00A516EB">
            <w:pPr>
              <w:pStyle w:val="BodyText"/>
              <w:spacing w:before="60" w:after="60"/>
              <w:rPr>
                <w:b/>
                <w:color w:val="FFFFFF" w:themeColor="background1"/>
                <w:sz w:val="20"/>
              </w:rPr>
            </w:pPr>
            <w:r w:rsidRPr="00884D9F">
              <w:rPr>
                <w:b/>
                <w:color w:val="FFFFFF" w:themeColor="background1"/>
                <w:sz w:val="20"/>
              </w:rPr>
              <w:t>Description</w:t>
            </w:r>
          </w:p>
        </w:tc>
        <w:tc>
          <w:tcPr>
            <w:tcW w:w="2871" w:type="dxa"/>
            <w:shd w:val="clear" w:color="auto" w:fill="1F497D" w:themeFill="text2"/>
            <w:vAlign w:val="center"/>
          </w:tcPr>
          <w:p w:rsidR="00A516EB" w:rsidRPr="00884D9F" w:rsidRDefault="00A516EB" w:rsidP="00A516EB">
            <w:pPr>
              <w:pStyle w:val="BodyText"/>
              <w:spacing w:before="60" w:after="60"/>
              <w:jc w:val="right"/>
              <w:rPr>
                <w:b/>
                <w:color w:val="FFFFFF" w:themeColor="background1"/>
                <w:sz w:val="20"/>
              </w:rPr>
            </w:pPr>
            <w:r w:rsidRPr="00884D9F">
              <w:rPr>
                <w:b/>
                <w:color w:val="FFFFFF" w:themeColor="background1"/>
                <w:sz w:val="20"/>
              </w:rPr>
              <w:t>Type of cost</w:t>
            </w:r>
          </w:p>
        </w:tc>
        <w:tc>
          <w:tcPr>
            <w:tcW w:w="2871" w:type="dxa"/>
            <w:shd w:val="clear" w:color="auto" w:fill="1F497D" w:themeFill="text2"/>
            <w:vAlign w:val="center"/>
          </w:tcPr>
          <w:p w:rsidR="00A516EB" w:rsidRPr="00884D9F" w:rsidRDefault="00A516EB" w:rsidP="00A516EB">
            <w:pPr>
              <w:pStyle w:val="BodyText"/>
              <w:spacing w:before="60" w:after="60"/>
              <w:jc w:val="right"/>
              <w:rPr>
                <w:b/>
                <w:color w:val="FFFFFF" w:themeColor="background1"/>
                <w:sz w:val="20"/>
              </w:rPr>
            </w:pPr>
            <w:r>
              <w:rPr>
                <w:b/>
                <w:color w:val="FFFFFF" w:themeColor="background1"/>
                <w:sz w:val="20"/>
              </w:rPr>
              <w:t>Cost per annum</w:t>
            </w:r>
          </w:p>
        </w:tc>
      </w:tr>
      <w:tr w:rsidR="00A516EB" w:rsidRPr="00C8251D" w:rsidTr="00A516EB">
        <w:tc>
          <w:tcPr>
            <w:tcW w:w="2871" w:type="dxa"/>
            <w:shd w:val="clear" w:color="auto" w:fill="C6D9F1" w:themeFill="text2" w:themeFillTint="33"/>
          </w:tcPr>
          <w:p w:rsidR="00A516EB" w:rsidRDefault="00A516EB" w:rsidP="00A516EB">
            <w:pPr>
              <w:pStyle w:val="BodyText"/>
              <w:spacing w:before="60" w:after="60"/>
              <w:rPr>
                <w:sz w:val="20"/>
              </w:rPr>
            </w:pPr>
            <w:r>
              <w:rPr>
                <w:sz w:val="20"/>
              </w:rPr>
              <w:t>Logo development</w:t>
            </w:r>
          </w:p>
        </w:tc>
        <w:tc>
          <w:tcPr>
            <w:tcW w:w="2871" w:type="dxa"/>
            <w:vAlign w:val="center"/>
          </w:tcPr>
          <w:p w:rsidR="00A516EB" w:rsidRDefault="00A516EB" w:rsidP="00A516EB">
            <w:pPr>
              <w:pStyle w:val="BodyText"/>
              <w:spacing w:before="60" w:after="60"/>
              <w:jc w:val="right"/>
              <w:rPr>
                <w:sz w:val="20"/>
              </w:rPr>
            </w:pPr>
            <w:r>
              <w:rPr>
                <w:sz w:val="20"/>
              </w:rPr>
              <w:t>Initial (1 year)</w:t>
            </w:r>
          </w:p>
        </w:tc>
        <w:tc>
          <w:tcPr>
            <w:tcW w:w="2871" w:type="dxa"/>
            <w:vAlign w:val="center"/>
          </w:tcPr>
          <w:p w:rsidR="00A516EB" w:rsidRDefault="00A516EB" w:rsidP="00A516EB">
            <w:pPr>
              <w:pStyle w:val="BodyText"/>
              <w:spacing w:before="60" w:after="60"/>
              <w:jc w:val="right"/>
              <w:rPr>
                <w:sz w:val="20"/>
              </w:rPr>
            </w:pPr>
            <w:r>
              <w:rPr>
                <w:sz w:val="20"/>
              </w:rPr>
              <w:t>$5,800</w:t>
            </w:r>
          </w:p>
        </w:tc>
      </w:tr>
      <w:tr w:rsidR="00A516EB" w:rsidRPr="00C8251D" w:rsidTr="00A516EB">
        <w:tc>
          <w:tcPr>
            <w:tcW w:w="2871" w:type="dxa"/>
            <w:shd w:val="clear" w:color="auto" w:fill="C6D9F1" w:themeFill="text2" w:themeFillTint="33"/>
          </w:tcPr>
          <w:p w:rsidR="00A516EB" w:rsidRDefault="00A516EB" w:rsidP="00A516EB">
            <w:pPr>
              <w:pStyle w:val="BodyText"/>
              <w:spacing w:before="60" w:after="60"/>
              <w:rPr>
                <w:sz w:val="20"/>
              </w:rPr>
            </w:pPr>
            <w:r>
              <w:rPr>
                <w:sz w:val="20"/>
              </w:rPr>
              <w:t>Licence cost</w:t>
            </w:r>
          </w:p>
        </w:tc>
        <w:tc>
          <w:tcPr>
            <w:tcW w:w="2871" w:type="dxa"/>
            <w:vAlign w:val="center"/>
          </w:tcPr>
          <w:p w:rsidR="00A516EB" w:rsidRDefault="00A516EB" w:rsidP="00A516EB">
            <w:pPr>
              <w:pStyle w:val="BodyText"/>
              <w:spacing w:before="60" w:after="60"/>
              <w:jc w:val="right"/>
              <w:rPr>
                <w:sz w:val="20"/>
              </w:rPr>
            </w:pPr>
            <w:r>
              <w:rPr>
                <w:sz w:val="20"/>
              </w:rPr>
              <w:t>Initial (1 year)</w:t>
            </w:r>
          </w:p>
        </w:tc>
        <w:tc>
          <w:tcPr>
            <w:tcW w:w="2871" w:type="dxa"/>
            <w:vAlign w:val="center"/>
          </w:tcPr>
          <w:p w:rsidR="00A516EB" w:rsidRDefault="00A516EB" w:rsidP="00A516EB">
            <w:pPr>
              <w:pStyle w:val="BodyText"/>
              <w:spacing w:before="60" w:after="60"/>
              <w:jc w:val="right"/>
              <w:rPr>
                <w:sz w:val="20"/>
              </w:rPr>
            </w:pPr>
            <w:r>
              <w:rPr>
                <w:sz w:val="20"/>
              </w:rPr>
              <w:t>$89 per participant</w:t>
            </w:r>
          </w:p>
          <w:p w:rsidR="00A516EB" w:rsidRDefault="00A516EB" w:rsidP="00A516EB">
            <w:pPr>
              <w:pStyle w:val="BodyText"/>
              <w:spacing w:before="60" w:after="60"/>
              <w:jc w:val="right"/>
              <w:rPr>
                <w:sz w:val="20"/>
              </w:rPr>
            </w:pPr>
            <w:r>
              <w:rPr>
                <w:sz w:val="20"/>
              </w:rPr>
              <w:t>$66,855 (total)</w:t>
            </w:r>
          </w:p>
        </w:tc>
      </w:tr>
      <w:tr w:rsidR="00A516EB" w:rsidRPr="00C8251D" w:rsidTr="00A516EB">
        <w:tc>
          <w:tcPr>
            <w:tcW w:w="2871" w:type="dxa"/>
            <w:shd w:val="clear" w:color="auto" w:fill="C6D9F1" w:themeFill="text2" w:themeFillTint="33"/>
          </w:tcPr>
          <w:p w:rsidR="00A516EB" w:rsidRDefault="00A516EB" w:rsidP="00A516EB">
            <w:pPr>
              <w:pStyle w:val="BodyText"/>
              <w:spacing w:before="60" w:after="60"/>
              <w:rPr>
                <w:sz w:val="20"/>
              </w:rPr>
            </w:pPr>
            <w:r>
              <w:rPr>
                <w:sz w:val="20"/>
              </w:rPr>
              <w:t>Website</w:t>
            </w:r>
          </w:p>
        </w:tc>
        <w:tc>
          <w:tcPr>
            <w:tcW w:w="2871" w:type="dxa"/>
            <w:vAlign w:val="center"/>
          </w:tcPr>
          <w:p w:rsidR="00A516EB" w:rsidRDefault="00A516EB" w:rsidP="00A516EB">
            <w:pPr>
              <w:pStyle w:val="BodyText"/>
              <w:spacing w:before="60" w:after="60"/>
              <w:jc w:val="right"/>
              <w:rPr>
                <w:sz w:val="20"/>
              </w:rPr>
            </w:pPr>
            <w:r>
              <w:rPr>
                <w:sz w:val="20"/>
              </w:rPr>
              <w:t>Initial (1 year)</w:t>
            </w:r>
          </w:p>
        </w:tc>
        <w:tc>
          <w:tcPr>
            <w:tcW w:w="2871" w:type="dxa"/>
            <w:vAlign w:val="center"/>
          </w:tcPr>
          <w:p w:rsidR="00A516EB" w:rsidRDefault="00A516EB" w:rsidP="00A516EB">
            <w:pPr>
              <w:pStyle w:val="BodyText"/>
              <w:spacing w:before="60" w:after="60"/>
              <w:jc w:val="right"/>
              <w:rPr>
                <w:sz w:val="20"/>
              </w:rPr>
            </w:pPr>
            <w:r>
              <w:rPr>
                <w:sz w:val="20"/>
              </w:rPr>
              <w:t>$17,000</w:t>
            </w:r>
          </w:p>
        </w:tc>
      </w:tr>
      <w:tr w:rsidR="00A516EB" w:rsidRPr="00C8251D" w:rsidTr="00A516EB">
        <w:tc>
          <w:tcPr>
            <w:tcW w:w="2871" w:type="dxa"/>
            <w:shd w:val="clear" w:color="auto" w:fill="C6D9F1" w:themeFill="text2" w:themeFillTint="33"/>
          </w:tcPr>
          <w:p w:rsidR="00A516EB" w:rsidRDefault="00A516EB" w:rsidP="00A516EB">
            <w:pPr>
              <w:pStyle w:val="BodyText"/>
              <w:spacing w:before="60" w:after="60"/>
              <w:rPr>
                <w:sz w:val="20"/>
              </w:rPr>
            </w:pPr>
            <w:r>
              <w:rPr>
                <w:sz w:val="20"/>
              </w:rPr>
              <w:t>Legal</w:t>
            </w:r>
          </w:p>
        </w:tc>
        <w:tc>
          <w:tcPr>
            <w:tcW w:w="2871" w:type="dxa"/>
            <w:vAlign w:val="center"/>
          </w:tcPr>
          <w:p w:rsidR="00A516EB" w:rsidRDefault="00A516EB" w:rsidP="00A516EB">
            <w:pPr>
              <w:pStyle w:val="BodyText"/>
              <w:spacing w:before="60" w:after="60"/>
              <w:jc w:val="right"/>
              <w:rPr>
                <w:sz w:val="20"/>
              </w:rPr>
            </w:pPr>
            <w:r>
              <w:rPr>
                <w:sz w:val="20"/>
              </w:rPr>
              <w:t>Initial (1 year)</w:t>
            </w:r>
          </w:p>
        </w:tc>
        <w:tc>
          <w:tcPr>
            <w:tcW w:w="2871" w:type="dxa"/>
            <w:vAlign w:val="center"/>
          </w:tcPr>
          <w:p w:rsidR="00A516EB" w:rsidRDefault="00A516EB" w:rsidP="00A516EB">
            <w:pPr>
              <w:pStyle w:val="BodyText"/>
              <w:spacing w:before="60" w:after="60"/>
              <w:jc w:val="right"/>
              <w:rPr>
                <w:sz w:val="20"/>
              </w:rPr>
            </w:pPr>
            <w:r>
              <w:rPr>
                <w:sz w:val="20"/>
              </w:rPr>
              <w:t>$20,000</w:t>
            </w:r>
          </w:p>
        </w:tc>
      </w:tr>
      <w:tr w:rsidR="00A516EB" w:rsidRPr="00C8251D" w:rsidTr="00A516EB">
        <w:tc>
          <w:tcPr>
            <w:tcW w:w="2871" w:type="dxa"/>
            <w:shd w:val="clear" w:color="auto" w:fill="C6D9F1" w:themeFill="text2" w:themeFillTint="33"/>
          </w:tcPr>
          <w:p w:rsidR="00A516EB" w:rsidRDefault="00A516EB" w:rsidP="00A516EB">
            <w:pPr>
              <w:pStyle w:val="BodyText"/>
              <w:spacing w:before="60" w:after="60"/>
              <w:rPr>
                <w:sz w:val="20"/>
              </w:rPr>
            </w:pPr>
            <w:r>
              <w:rPr>
                <w:sz w:val="20"/>
              </w:rPr>
              <w:t>Conference cost</w:t>
            </w:r>
          </w:p>
        </w:tc>
        <w:tc>
          <w:tcPr>
            <w:tcW w:w="2871" w:type="dxa"/>
            <w:vAlign w:val="center"/>
          </w:tcPr>
          <w:p w:rsidR="00A516EB" w:rsidRDefault="00A516EB" w:rsidP="00A516EB">
            <w:pPr>
              <w:pStyle w:val="BodyText"/>
              <w:spacing w:before="60" w:after="60"/>
              <w:jc w:val="right"/>
              <w:rPr>
                <w:sz w:val="20"/>
              </w:rPr>
            </w:pPr>
            <w:r>
              <w:rPr>
                <w:sz w:val="20"/>
              </w:rPr>
              <w:t>Ongoing</w:t>
            </w:r>
          </w:p>
        </w:tc>
        <w:tc>
          <w:tcPr>
            <w:tcW w:w="2871" w:type="dxa"/>
            <w:vAlign w:val="center"/>
          </w:tcPr>
          <w:p w:rsidR="00A516EB" w:rsidRDefault="00A516EB" w:rsidP="00A516EB">
            <w:pPr>
              <w:pStyle w:val="BodyText"/>
              <w:spacing w:before="60" w:after="60"/>
              <w:jc w:val="right"/>
              <w:rPr>
                <w:sz w:val="20"/>
              </w:rPr>
            </w:pPr>
            <w:r>
              <w:rPr>
                <w:sz w:val="20"/>
              </w:rPr>
              <w:t>$5,000</w:t>
            </w:r>
          </w:p>
        </w:tc>
      </w:tr>
      <w:tr w:rsidR="00A516EB" w:rsidRPr="00C8251D" w:rsidTr="00A516EB">
        <w:tc>
          <w:tcPr>
            <w:tcW w:w="2871" w:type="dxa"/>
            <w:shd w:val="clear" w:color="auto" w:fill="C6D9F1" w:themeFill="text2" w:themeFillTint="33"/>
          </w:tcPr>
          <w:p w:rsidR="00A516EB" w:rsidRDefault="00A516EB" w:rsidP="00A516EB">
            <w:pPr>
              <w:pStyle w:val="BodyText"/>
              <w:spacing w:before="60" w:after="60"/>
              <w:rPr>
                <w:sz w:val="20"/>
              </w:rPr>
            </w:pPr>
            <w:r>
              <w:rPr>
                <w:sz w:val="20"/>
              </w:rPr>
              <w:t>Workshop</w:t>
            </w:r>
          </w:p>
        </w:tc>
        <w:tc>
          <w:tcPr>
            <w:tcW w:w="2871" w:type="dxa"/>
            <w:vAlign w:val="center"/>
          </w:tcPr>
          <w:p w:rsidR="00A516EB" w:rsidRDefault="00A516EB" w:rsidP="00A516EB">
            <w:pPr>
              <w:pStyle w:val="BodyText"/>
              <w:spacing w:before="60" w:after="60"/>
              <w:jc w:val="right"/>
              <w:rPr>
                <w:sz w:val="20"/>
              </w:rPr>
            </w:pPr>
            <w:r>
              <w:rPr>
                <w:sz w:val="20"/>
              </w:rPr>
              <w:t>Ongoing</w:t>
            </w:r>
          </w:p>
        </w:tc>
        <w:tc>
          <w:tcPr>
            <w:tcW w:w="2871" w:type="dxa"/>
            <w:vAlign w:val="center"/>
          </w:tcPr>
          <w:p w:rsidR="00A516EB" w:rsidRDefault="00A516EB" w:rsidP="00A516EB">
            <w:pPr>
              <w:pStyle w:val="BodyText"/>
              <w:spacing w:before="60" w:after="60"/>
              <w:jc w:val="right"/>
              <w:rPr>
                <w:sz w:val="20"/>
              </w:rPr>
            </w:pPr>
            <w:r>
              <w:rPr>
                <w:sz w:val="20"/>
              </w:rPr>
              <w:t>$3,000</w:t>
            </w:r>
          </w:p>
        </w:tc>
      </w:tr>
      <w:tr w:rsidR="00A516EB" w:rsidRPr="00C8251D" w:rsidTr="00A516EB">
        <w:tc>
          <w:tcPr>
            <w:tcW w:w="2871" w:type="dxa"/>
            <w:shd w:val="clear" w:color="auto" w:fill="C6D9F1" w:themeFill="text2" w:themeFillTint="33"/>
          </w:tcPr>
          <w:p w:rsidR="00A516EB" w:rsidRDefault="00A516EB" w:rsidP="00A516EB">
            <w:pPr>
              <w:pStyle w:val="BodyText"/>
              <w:spacing w:before="60" w:after="60"/>
              <w:rPr>
                <w:sz w:val="20"/>
              </w:rPr>
            </w:pPr>
            <w:r>
              <w:rPr>
                <w:sz w:val="20"/>
              </w:rPr>
              <w:t>Auditing of participants</w:t>
            </w:r>
          </w:p>
        </w:tc>
        <w:tc>
          <w:tcPr>
            <w:tcW w:w="2871" w:type="dxa"/>
            <w:vAlign w:val="center"/>
          </w:tcPr>
          <w:p w:rsidR="00A516EB" w:rsidRDefault="00A516EB" w:rsidP="00A516EB">
            <w:pPr>
              <w:pStyle w:val="BodyText"/>
              <w:spacing w:before="60" w:after="60"/>
              <w:jc w:val="right"/>
              <w:rPr>
                <w:sz w:val="20"/>
              </w:rPr>
            </w:pPr>
            <w:r>
              <w:rPr>
                <w:sz w:val="20"/>
              </w:rPr>
              <w:t>Ongoing</w:t>
            </w:r>
          </w:p>
        </w:tc>
        <w:tc>
          <w:tcPr>
            <w:tcW w:w="2871" w:type="dxa"/>
            <w:vAlign w:val="center"/>
          </w:tcPr>
          <w:p w:rsidR="00A516EB" w:rsidRDefault="00A516EB" w:rsidP="00A516EB">
            <w:pPr>
              <w:pStyle w:val="BodyText"/>
              <w:spacing w:before="60" w:after="60"/>
              <w:jc w:val="right"/>
              <w:rPr>
                <w:sz w:val="20"/>
              </w:rPr>
            </w:pPr>
            <w:r>
              <w:rPr>
                <w:sz w:val="20"/>
              </w:rPr>
              <w:t>$2,060 per participant</w:t>
            </w:r>
          </w:p>
          <w:p w:rsidR="00A516EB" w:rsidRDefault="00A516EB" w:rsidP="00A516EB">
            <w:pPr>
              <w:pStyle w:val="BodyText"/>
              <w:spacing w:before="60" w:after="60"/>
              <w:jc w:val="right"/>
              <w:rPr>
                <w:sz w:val="20"/>
              </w:rPr>
            </w:pPr>
            <w:r>
              <w:rPr>
                <w:sz w:val="20"/>
              </w:rPr>
              <w:t>$155,324 total</w:t>
            </w:r>
          </w:p>
        </w:tc>
      </w:tr>
      <w:tr w:rsidR="00A516EB" w:rsidRPr="00C8251D" w:rsidTr="00A516EB">
        <w:tc>
          <w:tcPr>
            <w:tcW w:w="2871" w:type="dxa"/>
            <w:shd w:val="clear" w:color="auto" w:fill="C6D9F1" w:themeFill="text2" w:themeFillTint="33"/>
          </w:tcPr>
          <w:p w:rsidR="00A516EB" w:rsidRPr="00C8251D" w:rsidRDefault="00A516EB" w:rsidP="00A516EB">
            <w:pPr>
              <w:pStyle w:val="BodyText"/>
              <w:spacing w:before="60" w:after="60"/>
              <w:rPr>
                <w:sz w:val="20"/>
              </w:rPr>
            </w:pPr>
            <w:r>
              <w:rPr>
                <w:sz w:val="20"/>
              </w:rPr>
              <w:t>Travel</w:t>
            </w:r>
          </w:p>
        </w:tc>
        <w:tc>
          <w:tcPr>
            <w:tcW w:w="2871" w:type="dxa"/>
            <w:vAlign w:val="center"/>
          </w:tcPr>
          <w:p w:rsidR="00A516EB" w:rsidRDefault="00A516EB" w:rsidP="00A516EB">
            <w:pPr>
              <w:pStyle w:val="BodyText"/>
              <w:spacing w:before="60" w:after="60"/>
              <w:jc w:val="right"/>
              <w:rPr>
                <w:sz w:val="20"/>
              </w:rPr>
            </w:pPr>
            <w:r>
              <w:rPr>
                <w:sz w:val="20"/>
              </w:rPr>
              <w:t>Ongoing</w:t>
            </w:r>
          </w:p>
        </w:tc>
        <w:tc>
          <w:tcPr>
            <w:tcW w:w="2871" w:type="dxa"/>
            <w:vAlign w:val="center"/>
          </w:tcPr>
          <w:p w:rsidR="00A516EB" w:rsidRPr="00C8251D" w:rsidRDefault="00A516EB" w:rsidP="00A516EB">
            <w:pPr>
              <w:pStyle w:val="BodyText"/>
              <w:spacing w:before="60" w:after="60"/>
              <w:jc w:val="right"/>
              <w:rPr>
                <w:sz w:val="20"/>
              </w:rPr>
            </w:pPr>
            <w:r>
              <w:rPr>
                <w:sz w:val="20"/>
              </w:rPr>
              <w:t>$10,480</w:t>
            </w:r>
          </w:p>
        </w:tc>
      </w:tr>
      <w:tr w:rsidR="00A516EB" w:rsidRPr="00C8251D" w:rsidTr="00A516EB">
        <w:tc>
          <w:tcPr>
            <w:tcW w:w="2871" w:type="dxa"/>
            <w:shd w:val="clear" w:color="auto" w:fill="C6D9F1" w:themeFill="text2" w:themeFillTint="33"/>
          </w:tcPr>
          <w:p w:rsidR="00A516EB" w:rsidRPr="00C8251D" w:rsidRDefault="00A516EB" w:rsidP="00A516EB">
            <w:pPr>
              <w:pStyle w:val="BodyText"/>
              <w:spacing w:before="60" w:after="60"/>
              <w:rPr>
                <w:sz w:val="20"/>
              </w:rPr>
            </w:pPr>
            <w:r>
              <w:rPr>
                <w:sz w:val="20"/>
              </w:rPr>
              <w:t>Communication</w:t>
            </w:r>
          </w:p>
        </w:tc>
        <w:tc>
          <w:tcPr>
            <w:tcW w:w="2871" w:type="dxa"/>
            <w:vAlign w:val="center"/>
          </w:tcPr>
          <w:p w:rsidR="00A516EB" w:rsidRDefault="00A516EB" w:rsidP="00A516EB">
            <w:pPr>
              <w:pStyle w:val="BodyText"/>
              <w:spacing w:before="60" w:after="60"/>
              <w:jc w:val="right"/>
              <w:rPr>
                <w:sz w:val="20"/>
              </w:rPr>
            </w:pPr>
            <w:r>
              <w:rPr>
                <w:sz w:val="20"/>
              </w:rPr>
              <w:t>Ongoing</w:t>
            </w:r>
          </w:p>
        </w:tc>
        <w:tc>
          <w:tcPr>
            <w:tcW w:w="2871" w:type="dxa"/>
            <w:vAlign w:val="center"/>
          </w:tcPr>
          <w:p w:rsidR="00A516EB" w:rsidRPr="00F268D2" w:rsidRDefault="00A516EB" w:rsidP="00A516EB">
            <w:pPr>
              <w:pStyle w:val="BodyText"/>
              <w:spacing w:before="60" w:after="60"/>
              <w:jc w:val="right"/>
              <w:rPr>
                <w:sz w:val="20"/>
              </w:rPr>
            </w:pPr>
            <w:r>
              <w:rPr>
                <w:sz w:val="20"/>
              </w:rPr>
              <w:t>$15,700</w:t>
            </w:r>
          </w:p>
        </w:tc>
      </w:tr>
      <w:tr w:rsidR="00A516EB" w:rsidRPr="00C8251D" w:rsidTr="00A516EB">
        <w:tc>
          <w:tcPr>
            <w:tcW w:w="2871" w:type="dxa"/>
            <w:shd w:val="clear" w:color="auto" w:fill="C6D9F1" w:themeFill="text2" w:themeFillTint="33"/>
          </w:tcPr>
          <w:p w:rsidR="00A516EB" w:rsidRPr="00C8251D" w:rsidRDefault="00A516EB" w:rsidP="00A516EB">
            <w:pPr>
              <w:pStyle w:val="BodyText"/>
              <w:spacing w:before="60" w:after="60"/>
              <w:rPr>
                <w:sz w:val="20"/>
              </w:rPr>
            </w:pPr>
            <w:r>
              <w:rPr>
                <w:sz w:val="20"/>
              </w:rPr>
              <w:t>Reporting</w:t>
            </w:r>
          </w:p>
        </w:tc>
        <w:tc>
          <w:tcPr>
            <w:tcW w:w="2871" w:type="dxa"/>
            <w:vAlign w:val="center"/>
          </w:tcPr>
          <w:p w:rsidR="00A516EB" w:rsidRDefault="00A516EB" w:rsidP="00A516EB">
            <w:pPr>
              <w:pStyle w:val="BodyText"/>
              <w:spacing w:before="60" w:after="60"/>
              <w:jc w:val="right"/>
              <w:rPr>
                <w:sz w:val="20"/>
              </w:rPr>
            </w:pPr>
            <w:r>
              <w:rPr>
                <w:sz w:val="20"/>
              </w:rPr>
              <w:t>Ongoing</w:t>
            </w:r>
          </w:p>
        </w:tc>
        <w:tc>
          <w:tcPr>
            <w:tcW w:w="2871" w:type="dxa"/>
            <w:vAlign w:val="center"/>
          </w:tcPr>
          <w:p w:rsidR="00A516EB" w:rsidRDefault="00A516EB" w:rsidP="00A516EB">
            <w:pPr>
              <w:pStyle w:val="BodyText"/>
              <w:spacing w:before="60" w:after="60"/>
              <w:jc w:val="right"/>
              <w:rPr>
                <w:sz w:val="20"/>
              </w:rPr>
            </w:pPr>
            <w:r>
              <w:rPr>
                <w:sz w:val="20"/>
              </w:rPr>
              <w:t>$1,500 per participant</w:t>
            </w:r>
          </w:p>
          <w:p w:rsidR="00A516EB" w:rsidRPr="00F268D2" w:rsidRDefault="00A516EB" w:rsidP="00A516EB">
            <w:pPr>
              <w:pStyle w:val="BodyText"/>
              <w:spacing w:before="60" w:after="60"/>
              <w:jc w:val="right"/>
              <w:rPr>
                <w:sz w:val="20"/>
              </w:rPr>
            </w:pPr>
            <w:r>
              <w:rPr>
                <w:sz w:val="20"/>
              </w:rPr>
              <w:t>$1,131,000 total</w:t>
            </w:r>
          </w:p>
        </w:tc>
      </w:tr>
      <w:tr w:rsidR="00A516EB" w:rsidRPr="00C8251D" w:rsidTr="00A516EB">
        <w:tc>
          <w:tcPr>
            <w:tcW w:w="2871" w:type="dxa"/>
            <w:shd w:val="clear" w:color="auto" w:fill="C6D9F1" w:themeFill="text2" w:themeFillTint="33"/>
          </w:tcPr>
          <w:p w:rsidR="00A516EB" w:rsidRDefault="00A516EB" w:rsidP="00A516EB">
            <w:pPr>
              <w:pStyle w:val="BodyText"/>
              <w:spacing w:before="60" w:after="60"/>
              <w:rPr>
                <w:sz w:val="20"/>
              </w:rPr>
            </w:pPr>
            <w:r>
              <w:rPr>
                <w:sz w:val="20"/>
              </w:rPr>
              <w:t>Website maintenance</w:t>
            </w:r>
          </w:p>
        </w:tc>
        <w:tc>
          <w:tcPr>
            <w:tcW w:w="2871" w:type="dxa"/>
            <w:vAlign w:val="center"/>
          </w:tcPr>
          <w:p w:rsidR="00A516EB" w:rsidRDefault="00A516EB" w:rsidP="00A516EB">
            <w:pPr>
              <w:pStyle w:val="BodyText"/>
              <w:spacing w:before="60" w:after="60"/>
              <w:jc w:val="right"/>
              <w:rPr>
                <w:sz w:val="20"/>
              </w:rPr>
            </w:pPr>
            <w:r>
              <w:rPr>
                <w:sz w:val="20"/>
              </w:rPr>
              <w:t>Ongoing</w:t>
            </w:r>
          </w:p>
        </w:tc>
        <w:tc>
          <w:tcPr>
            <w:tcW w:w="2871" w:type="dxa"/>
            <w:vAlign w:val="center"/>
          </w:tcPr>
          <w:p w:rsidR="00A516EB" w:rsidRDefault="00A516EB" w:rsidP="00A516EB">
            <w:pPr>
              <w:pStyle w:val="BodyText"/>
              <w:spacing w:before="60" w:after="60"/>
              <w:jc w:val="right"/>
              <w:rPr>
                <w:sz w:val="20"/>
              </w:rPr>
            </w:pPr>
            <w:r>
              <w:rPr>
                <w:sz w:val="20"/>
              </w:rPr>
              <w:t>$6,000</w:t>
            </w:r>
          </w:p>
        </w:tc>
      </w:tr>
      <w:tr w:rsidR="00A516EB" w:rsidRPr="00C8251D" w:rsidTr="00A516EB">
        <w:tc>
          <w:tcPr>
            <w:tcW w:w="2871" w:type="dxa"/>
            <w:shd w:val="clear" w:color="auto" w:fill="C6D9F1" w:themeFill="text2" w:themeFillTint="33"/>
          </w:tcPr>
          <w:p w:rsidR="00A516EB" w:rsidRDefault="00A516EB" w:rsidP="00A516EB">
            <w:pPr>
              <w:pStyle w:val="BodyText"/>
              <w:spacing w:before="60" w:after="60"/>
              <w:rPr>
                <w:sz w:val="20"/>
              </w:rPr>
            </w:pPr>
            <w:r>
              <w:rPr>
                <w:sz w:val="20"/>
              </w:rPr>
              <w:t>Database management</w:t>
            </w:r>
          </w:p>
        </w:tc>
        <w:tc>
          <w:tcPr>
            <w:tcW w:w="2871" w:type="dxa"/>
            <w:vAlign w:val="center"/>
          </w:tcPr>
          <w:p w:rsidR="00A516EB" w:rsidRDefault="00A516EB" w:rsidP="00A516EB">
            <w:pPr>
              <w:pStyle w:val="BodyText"/>
              <w:spacing w:before="60" w:after="60"/>
              <w:jc w:val="right"/>
              <w:rPr>
                <w:sz w:val="20"/>
              </w:rPr>
            </w:pPr>
            <w:r>
              <w:rPr>
                <w:sz w:val="20"/>
              </w:rPr>
              <w:t>Ongoing</w:t>
            </w:r>
          </w:p>
        </w:tc>
        <w:tc>
          <w:tcPr>
            <w:tcW w:w="2871" w:type="dxa"/>
            <w:vAlign w:val="center"/>
          </w:tcPr>
          <w:p w:rsidR="00A516EB" w:rsidRDefault="00A516EB" w:rsidP="00A516EB">
            <w:pPr>
              <w:pStyle w:val="BodyText"/>
              <w:spacing w:before="60" w:after="60"/>
              <w:jc w:val="right"/>
              <w:rPr>
                <w:sz w:val="20"/>
              </w:rPr>
            </w:pPr>
            <w:r>
              <w:rPr>
                <w:sz w:val="20"/>
              </w:rPr>
              <w:t>$30,000</w:t>
            </w:r>
          </w:p>
        </w:tc>
      </w:tr>
      <w:tr w:rsidR="00A516EB" w:rsidRPr="00C8251D" w:rsidTr="00A516EB">
        <w:tc>
          <w:tcPr>
            <w:tcW w:w="2871" w:type="dxa"/>
            <w:shd w:val="clear" w:color="auto" w:fill="C6D9F1" w:themeFill="text2" w:themeFillTint="33"/>
          </w:tcPr>
          <w:p w:rsidR="00A516EB" w:rsidRDefault="00A516EB" w:rsidP="00A516EB">
            <w:pPr>
              <w:pStyle w:val="BodyText"/>
              <w:spacing w:before="60" w:after="60"/>
              <w:rPr>
                <w:sz w:val="20"/>
              </w:rPr>
            </w:pPr>
            <w:r>
              <w:rPr>
                <w:sz w:val="20"/>
              </w:rPr>
              <w:t>Insurance</w:t>
            </w:r>
          </w:p>
        </w:tc>
        <w:tc>
          <w:tcPr>
            <w:tcW w:w="2871" w:type="dxa"/>
            <w:vAlign w:val="center"/>
          </w:tcPr>
          <w:p w:rsidR="00A516EB" w:rsidRDefault="00A516EB" w:rsidP="00A516EB">
            <w:pPr>
              <w:pStyle w:val="BodyText"/>
              <w:spacing w:before="60" w:after="60"/>
              <w:jc w:val="right"/>
              <w:rPr>
                <w:sz w:val="20"/>
              </w:rPr>
            </w:pPr>
            <w:r>
              <w:rPr>
                <w:sz w:val="20"/>
              </w:rPr>
              <w:t>Ongoing</w:t>
            </w:r>
          </w:p>
        </w:tc>
        <w:tc>
          <w:tcPr>
            <w:tcW w:w="2871" w:type="dxa"/>
            <w:vAlign w:val="center"/>
          </w:tcPr>
          <w:p w:rsidR="00A516EB" w:rsidRDefault="00A516EB" w:rsidP="00A516EB">
            <w:pPr>
              <w:pStyle w:val="BodyText"/>
              <w:spacing w:before="60" w:after="60"/>
              <w:jc w:val="right"/>
              <w:rPr>
                <w:sz w:val="20"/>
              </w:rPr>
            </w:pPr>
            <w:r>
              <w:rPr>
                <w:sz w:val="20"/>
              </w:rPr>
              <w:t>$5,000</w:t>
            </w:r>
          </w:p>
        </w:tc>
      </w:tr>
      <w:tr w:rsidR="00A516EB" w:rsidRPr="00C8251D" w:rsidTr="00A516EB">
        <w:tc>
          <w:tcPr>
            <w:tcW w:w="2871" w:type="dxa"/>
            <w:shd w:val="clear" w:color="auto" w:fill="C6D9F1" w:themeFill="text2" w:themeFillTint="33"/>
          </w:tcPr>
          <w:p w:rsidR="00A516EB" w:rsidRDefault="00A516EB" w:rsidP="00A516EB">
            <w:pPr>
              <w:pStyle w:val="BodyText"/>
              <w:spacing w:before="60" w:after="60"/>
              <w:rPr>
                <w:sz w:val="20"/>
              </w:rPr>
            </w:pPr>
            <w:r>
              <w:rPr>
                <w:sz w:val="20"/>
              </w:rPr>
              <w:t>Other</w:t>
            </w:r>
          </w:p>
        </w:tc>
        <w:tc>
          <w:tcPr>
            <w:tcW w:w="2871" w:type="dxa"/>
            <w:vAlign w:val="center"/>
          </w:tcPr>
          <w:p w:rsidR="00A516EB" w:rsidRPr="00884D9F" w:rsidRDefault="00A516EB" w:rsidP="00A516EB">
            <w:pPr>
              <w:pStyle w:val="BodyText"/>
              <w:spacing w:before="60" w:after="60"/>
              <w:jc w:val="right"/>
              <w:rPr>
                <w:sz w:val="20"/>
              </w:rPr>
            </w:pPr>
            <w:r>
              <w:rPr>
                <w:sz w:val="20"/>
              </w:rPr>
              <w:t>Ongoing</w:t>
            </w:r>
          </w:p>
        </w:tc>
        <w:tc>
          <w:tcPr>
            <w:tcW w:w="2871" w:type="dxa"/>
            <w:vAlign w:val="center"/>
          </w:tcPr>
          <w:p w:rsidR="00A516EB" w:rsidRDefault="00A516EB" w:rsidP="00A516EB">
            <w:pPr>
              <w:pStyle w:val="BodyText"/>
              <w:spacing w:before="60" w:after="60"/>
              <w:jc w:val="right"/>
              <w:rPr>
                <w:sz w:val="20"/>
              </w:rPr>
            </w:pPr>
            <w:r>
              <w:rPr>
                <w:sz w:val="20"/>
              </w:rPr>
              <w:t>$20,000</w:t>
            </w:r>
          </w:p>
        </w:tc>
      </w:tr>
      <w:tr w:rsidR="00A516EB" w:rsidRPr="00C8251D" w:rsidTr="00A516EB">
        <w:tc>
          <w:tcPr>
            <w:tcW w:w="2871" w:type="dxa"/>
            <w:shd w:val="clear" w:color="auto" w:fill="C6D9F1" w:themeFill="text2" w:themeFillTint="33"/>
          </w:tcPr>
          <w:p w:rsidR="00A516EB" w:rsidRDefault="00A516EB" w:rsidP="00A516EB">
            <w:pPr>
              <w:pStyle w:val="BodyText"/>
              <w:spacing w:before="60" w:after="60"/>
              <w:rPr>
                <w:sz w:val="20"/>
              </w:rPr>
            </w:pPr>
            <w:r>
              <w:rPr>
                <w:sz w:val="20"/>
              </w:rPr>
              <w:t>Staff cost – CEO</w:t>
            </w:r>
          </w:p>
        </w:tc>
        <w:tc>
          <w:tcPr>
            <w:tcW w:w="2871" w:type="dxa"/>
            <w:vAlign w:val="center"/>
          </w:tcPr>
          <w:p w:rsidR="00A516EB" w:rsidRPr="00884D9F" w:rsidRDefault="00A516EB" w:rsidP="00A516EB">
            <w:pPr>
              <w:pStyle w:val="BodyText"/>
              <w:spacing w:before="60" w:after="60"/>
              <w:jc w:val="right"/>
              <w:rPr>
                <w:sz w:val="20"/>
              </w:rPr>
            </w:pPr>
            <w:r>
              <w:rPr>
                <w:sz w:val="20"/>
              </w:rPr>
              <w:t>Ongoing</w:t>
            </w:r>
          </w:p>
        </w:tc>
        <w:tc>
          <w:tcPr>
            <w:tcW w:w="2871" w:type="dxa"/>
            <w:vAlign w:val="center"/>
          </w:tcPr>
          <w:p w:rsidR="00A516EB" w:rsidRDefault="00A516EB" w:rsidP="00A516EB">
            <w:pPr>
              <w:pStyle w:val="BodyText"/>
              <w:spacing w:before="60" w:after="60"/>
              <w:jc w:val="right"/>
              <w:rPr>
                <w:sz w:val="20"/>
              </w:rPr>
            </w:pPr>
            <w:r>
              <w:rPr>
                <w:sz w:val="20"/>
              </w:rPr>
              <w:t>$150,000</w:t>
            </w:r>
          </w:p>
        </w:tc>
      </w:tr>
      <w:tr w:rsidR="00A516EB" w:rsidRPr="00C8251D" w:rsidTr="00A516EB">
        <w:tc>
          <w:tcPr>
            <w:tcW w:w="2871" w:type="dxa"/>
            <w:shd w:val="clear" w:color="auto" w:fill="C6D9F1" w:themeFill="text2" w:themeFillTint="33"/>
          </w:tcPr>
          <w:p w:rsidR="00A516EB" w:rsidRDefault="00A516EB" w:rsidP="00A516EB">
            <w:pPr>
              <w:pStyle w:val="BodyText"/>
              <w:spacing w:before="60" w:after="60"/>
              <w:rPr>
                <w:sz w:val="20"/>
              </w:rPr>
            </w:pPr>
            <w:r>
              <w:rPr>
                <w:sz w:val="20"/>
              </w:rPr>
              <w:t>Staff cost – Marketing and education</w:t>
            </w:r>
          </w:p>
        </w:tc>
        <w:tc>
          <w:tcPr>
            <w:tcW w:w="2871" w:type="dxa"/>
            <w:vAlign w:val="center"/>
          </w:tcPr>
          <w:p w:rsidR="00A516EB" w:rsidRPr="00884D9F" w:rsidRDefault="00A516EB" w:rsidP="00A516EB">
            <w:pPr>
              <w:pStyle w:val="BodyText"/>
              <w:spacing w:before="60" w:after="60"/>
              <w:jc w:val="right"/>
              <w:rPr>
                <w:sz w:val="20"/>
              </w:rPr>
            </w:pPr>
            <w:r>
              <w:rPr>
                <w:sz w:val="20"/>
              </w:rPr>
              <w:t>Ongoing</w:t>
            </w:r>
          </w:p>
        </w:tc>
        <w:tc>
          <w:tcPr>
            <w:tcW w:w="2871" w:type="dxa"/>
            <w:vAlign w:val="center"/>
          </w:tcPr>
          <w:p w:rsidR="00A516EB" w:rsidRDefault="00A516EB" w:rsidP="00A516EB">
            <w:pPr>
              <w:pStyle w:val="BodyText"/>
              <w:spacing w:before="60" w:after="60"/>
              <w:jc w:val="right"/>
              <w:rPr>
                <w:sz w:val="20"/>
              </w:rPr>
            </w:pPr>
            <w:r>
              <w:rPr>
                <w:sz w:val="20"/>
              </w:rPr>
              <w:t>$75,000</w:t>
            </w:r>
          </w:p>
        </w:tc>
      </w:tr>
      <w:tr w:rsidR="00A516EB" w:rsidRPr="00C8251D" w:rsidTr="00A516EB">
        <w:tc>
          <w:tcPr>
            <w:tcW w:w="2871" w:type="dxa"/>
            <w:shd w:val="clear" w:color="auto" w:fill="C6D9F1" w:themeFill="text2" w:themeFillTint="33"/>
          </w:tcPr>
          <w:p w:rsidR="00A516EB" w:rsidRDefault="00A516EB" w:rsidP="00A516EB">
            <w:pPr>
              <w:pStyle w:val="BodyText"/>
              <w:spacing w:before="60" w:after="60"/>
              <w:rPr>
                <w:sz w:val="20"/>
              </w:rPr>
            </w:pPr>
            <w:r>
              <w:rPr>
                <w:sz w:val="20"/>
              </w:rPr>
              <w:t>Staff cost – Administration</w:t>
            </w:r>
          </w:p>
        </w:tc>
        <w:tc>
          <w:tcPr>
            <w:tcW w:w="2871" w:type="dxa"/>
            <w:vAlign w:val="center"/>
          </w:tcPr>
          <w:p w:rsidR="00A516EB" w:rsidRPr="00884D9F" w:rsidRDefault="00A516EB" w:rsidP="00A516EB">
            <w:pPr>
              <w:pStyle w:val="BodyText"/>
              <w:spacing w:before="60" w:after="60"/>
              <w:jc w:val="right"/>
              <w:rPr>
                <w:sz w:val="20"/>
              </w:rPr>
            </w:pPr>
            <w:r>
              <w:rPr>
                <w:sz w:val="20"/>
              </w:rPr>
              <w:t>Ongoing</w:t>
            </w:r>
          </w:p>
        </w:tc>
        <w:tc>
          <w:tcPr>
            <w:tcW w:w="2871" w:type="dxa"/>
            <w:vAlign w:val="center"/>
          </w:tcPr>
          <w:p w:rsidR="00A516EB" w:rsidRDefault="00A516EB" w:rsidP="00A516EB">
            <w:pPr>
              <w:pStyle w:val="BodyText"/>
              <w:spacing w:before="60" w:after="60"/>
              <w:jc w:val="right"/>
              <w:rPr>
                <w:sz w:val="20"/>
              </w:rPr>
            </w:pPr>
            <w:r>
              <w:rPr>
                <w:sz w:val="20"/>
              </w:rPr>
              <w:t>$50,000</w:t>
            </w:r>
          </w:p>
        </w:tc>
      </w:tr>
      <w:tr w:rsidR="00A516EB" w:rsidRPr="00C8251D" w:rsidTr="00A516EB">
        <w:tc>
          <w:tcPr>
            <w:tcW w:w="2871" w:type="dxa"/>
            <w:shd w:val="clear" w:color="auto" w:fill="C6D9F1" w:themeFill="text2" w:themeFillTint="33"/>
          </w:tcPr>
          <w:p w:rsidR="00A516EB" w:rsidRDefault="00A516EB" w:rsidP="00A516EB">
            <w:pPr>
              <w:pStyle w:val="BodyText"/>
              <w:spacing w:before="60" w:after="60"/>
              <w:rPr>
                <w:sz w:val="20"/>
              </w:rPr>
            </w:pPr>
            <w:r>
              <w:rPr>
                <w:sz w:val="20"/>
              </w:rPr>
              <w:t>Staff cost – Operations</w:t>
            </w:r>
          </w:p>
        </w:tc>
        <w:tc>
          <w:tcPr>
            <w:tcW w:w="2871" w:type="dxa"/>
            <w:vAlign w:val="center"/>
          </w:tcPr>
          <w:p w:rsidR="00A516EB" w:rsidRDefault="00A516EB" w:rsidP="00A516EB">
            <w:pPr>
              <w:pStyle w:val="BodyText"/>
              <w:spacing w:before="60" w:after="60"/>
              <w:jc w:val="right"/>
              <w:rPr>
                <w:sz w:val="20"/>
              </w:rPr>
            </w:pPr>
            <w:r>
              <w:rPr>
                <w:sz w:val="20"/>
              </w:rPr>
              <w:t>Ongoing</w:t>
            </w:r>
          </w:p>
        </w:tc>
        <w:tc>
          <w:tcPr>
            <w:tcW w:w="2871" w:type="dxa"/>
            <w:vAlign w:val="center"/>
          </w:tcPr>
          <w:p w:rsidR="00A516EB" w:rsidRDefault="00A516EB" w:rsidP="00A516EB">
            <w:pPr>
              <w:pStyle w:val="BodyText"/>
              <w:spacing w:before="60" w:after="60"/>
              <w:jc w:val="right"/>
              <w:rPr>
                <w:sz w:val="20"/>
              </w:rPr>
            </w:pPr>
            <w:r>
              <w:rPr>
                <w:sz w:val="20"/>
              </w:rPr>
              <w:t>$90,000</w:t>
            </w:r>
          </w:p>
        </w:tc>
      </w:tr>
      <w:tr w:rsidR="00A516EB" w:rsidRPr="00C8251D" w:rsidTr="00A516EB">
        <w:tc>
          <w:tcPr>
            <w:tcW w:w="2871" w:type="dxa"/>
            <w:shd w:val="clear" w:color="auto" w:fill="C6D9F1" w:themeFill="text2" w:themeFillTint="33"/>
          </w:tcPr>
          <w:p w:rsidR="00A516EB" w:rsidRDefault="00A516EB" w:rsidP="00A516EB">
            <w:pPr>
              <w:pStyle w:val="BodyText"/>
              <w:spacing w:before="60" w:after="60"/>
              <w:rPr>
                <w:sz w:val="20"/>
              </w:rPr>
            </w:pPr>
            <w:r>
              <w:rPr>
                <w:sz w:val="20"/>
              </w:rPr>
              <w:t>Staff costs – On costs</w:t>
            </w:r>
          </w:p>
        </w:tc>
        <w:tc>
          <w:tcPr>
            <w:tcW w:w="2871" w:type="dxa"/>
            <w:vAlign w:val="center"/>
          </w:tcPr>
          <w:p w:rsidR="00A516EB" w:rsidRDefault="00A516EB" w:rsidP="00A516EB">
            <w:pPr>
              <w:pStyle w:val="BodyText"/>
              <w:spacing w:before="60" w:after="60"/>
              <w:jc w:val="right"/>
              <w:rPr>
                <w:sz w:val="20"/>
              </w:rPr>
            </w:pPr>
            <w:r>
              <w:rPr>
                <w:sz w:val="20"/>
              </w:rPr>
              <w:t>Ongoing</w:t>
            </w:r>
          </w:p>
        </w:tc>
        <w:tc>
          <w:tcPr>
            <w:tcW w:w="2871" w:type="dxa"/>
            <w:vAlign w:val="center"/>
          </w:tcPr>
          <w:p w:rsidR="00A516EB" w:rsidRDefault="00A516EB" w:rsidP="00A516EB">
            <w:pPr>
              <w:pStyle w:val="BodyText"/>
              <w:spacing w:before="60" w:after="60"/>
              <w:jc w:val="right"/>
              <w:rPr>
                <w:sz w:val="20"/>
              </w:rPr>
            </w:pPr>
            <w:r>
              <w:rPr>
                <w:sz w:val="20"/>
              </w:rPr>
              <w:t>$3,100</w:t>
            </w:r>
          </w:p>
        </w:tc>
      </w:tr>
    </w:tbl>
    <w:p w:rsidR="00A516EB" w:rsidRDefault="00A516EB" w:rsidP="00A516EB">
      <w:pPr>
        <w:pStyle w:val="Source"/>
      </w:pPr>
      <w:r>
        <w:t>Source: Department of the Environment and industry consultation</w:t>
      </w:r>
    </w:p>
    <w:p w:rsidR="00400BE8" w:rsidRDefault="00400BE8">
      <w:pPr>
        <w:rPr>
          <w:b/>
          <w:color w:val="1F497D" w:themeColor="text2"/>
          <w:sz w:val="28"/>
        </w:rPr>
      </w:pPr>
      <w:r>
        <w:br w:type="page"/>
      </w:r>
    </w:p>
    <w:p w:rsidR="0081406E" w:rsidRDefault="00E960D0" w:rsidP="0016103D">
      <w:pPr>
        <w:pStyle w:val="Heading3"/>
        <w:numPr>
          <w:ilvl w:val="0"/>
          <w:numId w:val="0"/>
        </w:numPr>
      </w:pPr>
      <w:r>
        <w:lastRenderedPageBreak/>
        <w:t>Retailer take back activity</w:t>
      </w:r>
    </w:p>
    <w:p w:rsidR="00E960D0" w:rsidRDefault="00E960D0" w:rsidP="000E1FD9">
      <w:pPr>
        <w:pStyle w:val="BodyText"/>
      </w:pPr>
    </w:p>
    <w:p w:rsidR="00E960D0" w:rsidRDefault="00E960D0" w:rsidP="00E960D0">
      <w:pPr>
        <w:pStyle w:val="Caption"/>
      </w:pPr>
      <w:r>
        <w:t xml:space="preserve">Appendix Table C </w:t>
      </w:r>
      <w:r w:rsidR="00586F30">
        <w:fldChar w:fldCharType="begin"/>
      </w:r>
      <w:r>
        <w:instrText xml:space="preserve"> SEQ Appendix_Table_C \* ARABIC </w:instrText>
      </w:r>
      <w:r w:rsidR="00586F30">
        <w:fldChar w:fldCharType="separate"/>
      </w:r>
      <w:r w:rsidR="001E5D7A">
        <w:rPr>
          <w:noProof/>
        </w:rPr>
        <w:t>7</w:t>
      </w:r>
      <w:r w:rsidR="00586F30">
        <w:fldChar w:fldCharType="end"/>
      </w:r>
      <w:r>
        <w:t>: Retailer take back scheme costs ($2014)</w:t>
      </w:r>
    </w:p>
    <w:tbl>
      <w:tblPr>
        <w:tblStyle w:val="TableGrid"/>
        <w:tblW w:w="8642"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tblPr>
      <w:tblGrid>
        <w:gridCol w:w="5240"/>
        <w:gridCol w:w="3402"/>
      </w:tblGrid>
      <w:tr w:rsidR="00425F2D" w:rsidRPr="00C8251D" w:rsidTr="00425F2D">
        <w:tc>
          <w:tcPr>
            <w:tcW w:w="5240" w:type="dxa"/>
            <w:shd w:val="clear" w:color="auto" w:fill="1F497D" w:themeFill="text2"/>
          </w:tcPr>
          <w:p w:rsidR="00425F2D" w:rsidRPr="00884D9F" w:rsidRDefault="00425F2D" w:rsidP="00C23FCB">
            <w:pPr>
              <w:pStyle w:val="BodyText"/>
              <w:spacing w:before="60" w:after="60"/>
              <w:rPr>
                <w:b/>
                <w:color w:val="FFFFFF" w:themeColor="background1"/>
                <w:sz w:val="20"/>
              </w:rPr>
            </w:pPr>
            <w:r w:rsidRPr="00884D9F">
              <w:rPr>
                <w:b/>
                <w:color w:val="FFFFFF" w:themeColor="background1"/>
                <w:sz w:val="20"/>
              </w:rPr>
              <w:t>Description</w:t>
            </w:r>
          </w:p>
        </w:tc>
        <w:tc>
          <w:tcPr>
            <w:tcW w:w="3402" w:type="dxa"/>
            <w:shd w:val="clear" w:color="auto" w:fill="1F497D" w:themeFill="text2"/>
            <w:vAlign w:val="center"/>
          </w:tcPr>
          <w:p w:rsidR="00425F2D" w:rsidRPr="00884D9F" w:rsidRDefault="00425F2D" w:rsidP="00C23FCB">
            <w:pPr>
              <w:pStyle w:val="BodyText"/>
              <w:spacing w:before="60" w:after="60"/>
              <w:jc w:val="right"/>
              <w:rPr>
                <w:b/>
                <w:color w:val="FFFFFF" w:themeColor="background1"/>
                <w:sz w:val="20"/>
              </w:rPr>
            </w:pPr>
            <w:r>
              <w:rPr>
                <w:b/>
                <w:color w:val="FFFFFF" w:themeColor="background1"/>
                <w:sz w:val="20"/>
              </w:rPr>
              <w:t>Cost per unit</w:t>
            </w:r>
          </w:p>
        </w:tc>
      </w:tr>
      <w:tr w:rsidR="00425F2D" w:rsidRPr="00C8251D" w:rsidTr="00425F2D">
        <w:tc>
          <w:tcPr>
            <w:tcW w:w="5240" w:type="dxa"/>
            <w:shd w:val="clear" w:color="auto" w:fill="C6D9F1" w:themeFill="text2" w:themeFillTint="33"/>
          </w:tcPr>
          <w:p w:rsidR="00425F2D" w:rsidRDefault="00425F2D">
            <w:pPr>
              <w:pStyle w:val="BodyText"/>
              <w:spacing w:before="60" w:after="60"/>
              <w:jc w:val="left"/>
              <w:rPr>
                <w:sz w:val="20"/>
              </w:rPr>
            </w:pPr>
            <w:r>
              <w:rPr>
                <w:sz w:val="20"/>
              </w:rPr>
              <w:t>Cost of collecting equipment from household</w:t>
            </w:r>
          </w:p>
        </w:tc>
        <w:tc>
          <w:tcPr>
            <w:tcW w:w="3402" w:type="dxa"/>
            <w:vAlign w:val="center"/>
          </w:tcPr>
          <w:p w:rsidR="00425F2D" w:rsidRDefault="00425F2D" w:rsidP="00425F2D">
            <w:pPr>
              <w:pStyle w:val="BodyText"/>
              <w:spacing w:before="60" w:after="60"/>
              <w:jc w:val="right"/>
              <w:rPr>
                <w:sz w:val="20"/>
              </w:rPr>
            </w:pPr>
            <w:r>
              <w:rPr>
                <w:sz w:val="20"/>
              </w:rPr>
              <w:t>$20</w:t>
            </w:r>
          </w:p>
        </w:tc>
      </w:tr>
      <w:tr w:rsidR="00425F2D" w:rsidRPr="00C8251D" w:rsidTr="00425F2D">
        <w:tc>
          <w:tcPr>
            <w:tcW w:w="5240" w:type="dxa"/>
            <w:shd w:val="clear" w:color="auto" w:fill="C6D9F1" w:themeFill="text2" w:themeFillTint="33"/>
          </w:tcPr>
          <w:p w:rsidR="00425F2D" w:rsidRDefault="00425F2D">
            <w:pPr>
              <w:pStyle w:val="BodyText"/>
              <w:spacing w:before="60" w:after="60"/>
              <w:jc w:val="left"/>
              <w:rPr>
                <w:sz w:val="20"/>
              </w:rPr>
            </w:pPr>
            <w:r>
              <w:rPr>
                <w:sz w:val="20"/>
              </w:rPr>
              <w:t>Cost of degassing equipment</w:t>
            </w:r>
          </w:p>
        </w:tc>
        <w:tc>
          <w:tcPr>
            <w:tcW w:w="3402" w:type="dxa"/>
            <w:vAlign w:val="center"/>
          </w:tcPr>
          <w:p w:rsidR="00425F2D" w:rsidRDefault="00425F2D" w:rsidP="00C23FCB">
            <w:pPr>
              <w:pStyle w:val="BodyText"/>
              <w:spacing w:before="60" w:after="60"/>
              <w:jc w:val="right"/>
              <w:rPr>
                <w:sz w:val="20"/>
              </w:rPr>
            </w:pPr>
            <w:r>
              <w:rPr>
                <w:sz w:val="20"/>
              </w:rPr>
              <w:t>$20</w:t>
            </w:r>
          </w:p>
        </w:tc>
      </w:tr>
      <w:tr w:rsidR="00425F2D" w:rsidRPr="00C8251D" w:rsidTr="00425F2D">
        <w:tc>
          <w:tcPr>
            <w:tcW w:w="5240" w:type="dxa"/>
            <w:shd w:val="clear" w:color="auto" w:fill="C6D9F1" w:themeFill="text2" w:themeFillTint="33"/>
          </w:tcPr>
          <w:p w:rsidR="00425F2D" w:rsidRPr="00E960D0" w:rsidRDefault="00425F2D" w:rsidP="00C23FCB">
            <w:pPr>
              <w:pStyle w:val="BodyText"/>
              <w:spacing w:before="60" w:after="60"/>
              <w:rPr>
                <w:b/>
                <w:sz w:val="20"/>
              </w:rPr>
            </w:pPr>
            <w:r w:rsidRPr="00E10441">
              <w:rPr>
                <w:b/>
                <w:sz w:val="20"/>
              </w:rPr>
              <w:t>Total cost</w:t>
            </w:r>
            <w:r>
              <w:rPr>
                <w:b/>
                <w:sz w:val="20"/>
              </w:rPr>
              <w:t xml:space="preserve"> per unit</w:t>
            </w:r>
          </w:p>
        </w:tc>
        <w:tc>
          <w:tcPr>
            <w:tcW w:w="3402" w:type="dxa"/>
            <w:vAlign w:val="center"/>
          </w:tcPr>
          <w:p w:rsidR="00425F2D" w:rsidRPr="00E960D0" w:rsidRDefault="00425F2D" w:rsidP="00425F2D">
            <w:pPr>
              <w:pStyle w:val="BodyText"/>
              <w:spacing w:before="60" w:after="60"/>
              <w:jc w:val="right"/>
              <w:rPr>
                <w:b/>
                <w:sz w:val="20"/>
              </w:rPr>
            </w:pPr>
            <w:r w:rsidRPr="00E10441">
              <w:rPr>
                <w:b/>
                <w:sz w:val="20"/>
              </w:rPr>
              <w:t>$</w:t>
            </w:r>
            <w:r>
              <w:rPr>
                <w:b/>
                <w:sz w:val="20"/>
              </w:rPr>
              <w:t>4</w:t>
            </w:r>
            <w:r w:rsidRPr="00E10441">
              <w:rPr>
                <w:b/>
                <w:sz w:val="20"/>
              </w:rPr>
              <w:t>0</w:t>
            </w:r>
          </w:p>
        </w:tc>
      </w:tr>
    </w:tbl>
    <w:p w:rsidR="00E960D0" w:rsidRDefault="00E960D0" w:rsidP="00E960D0">
      <w:pPr>
        <w:pStyle w:val="Source"/>
      </w:pPr>
      <w:r>
        <w:t>Source: KPMG (2014) and industry consultation</w:t>
      </w:r>
    </w:p>
    <w:p w:rsidR="00F419A9" w:rsidRPr="00F419A9" w:rsidRDefault="00F419A9" w:rsidP="00F419A9">
      <w:pPr>
        <w:pStyle w:val="Caption"/>
        <w:rPr>
          <w:vertAlign w:val="superscript"/>
        </w:rPr>
      </w:pPr>
      <w:r>
        <w:t xml:space="preserve">Appendix Table C </w:t>
      </w:r>
      <w:r w:rsidR="00586F30">
        <w:fldChar w:fldCharType="begin"/>
      </w:r>
      <w:r>
        <w:instrText xml:space="preserve"> SEQ Appendix_Table_C \* ARABIC </w:instrText>
      </w:r>
      <w:r w:rsidR="00586F30">
        <w:fldChar w:fldCharType="separate"/>
      </w:r>
      <w:r w:rsidR="001E5D7A">
        <w:rPr>
          <w:noProof/>
        </w:rPr>
        <w:t>8</w:t>
      </w:r>
      <w:r w:rsidR="00586F30">
        <w:fldChar w:fldCharType="end"/>
      </w:r>
      <w:r>
        <w:t>: Retailer take back scheme costs</w:t>
      </w:r>
      <w:r w:rsidR="002E0107">
        <w:t xml:space="preserve"> </w:t>
      </w:r>
      <w:r>
        <w:rPr>
          <w:vertAlign w:val="superscript"/>
        </w:rPr>
        <w:t>a</w:t>
      </w:r>
    </w:p>
    <w:tbl>
      <w:tblPr>
        <w:tblStyle w:val="TableGrid"/>
        <w:tblW w:w="0" w:type="auto"/>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ayout w:type="fixed"/>
        <w:tblLook w:val="04A0"/>
      </w:tblPr>
      <w:tblGrid>
        <w:gridCol w:w="1668"/>
        <w:gridCol w:w="1417"/>
        <w:gridCol w:w="1409"/>
        <w:gridCol w:w="1409"/>
        <w:gridCol w:w="1409"/>
        <w:gridCol w:w="1409"/>
      </w:tblGrid>
      <w:tr w:rsidR="00F419A9" w:rsidRPr="00C8251D" w:rsidTr="00F419A9">
        <w:tc>
          <w:tcPr>
            <w:tcW w:w="1668" w:type="dxa"/>
            <w:shd w:val="clear" w:color="auto" w:fill="1F497D" w:themeFill="text2"/>
          </w:tcPr>
          <w:p w:rsidR="00F419A9" w:rsidRPr="00C8251D" w:rsidRDefault="00F419A9" w:rsidP="00F419A9">
            <w:pPr>
              <w:pStyle w:val="BodyText"/>
              <w:rPr>
                <w:color w:val="FFFFFF" w:themeColor="background1"/>
                <w:sz w:val="20"/>
              </w:rPr>
            </w:pPr>
            <w:r w:rsidRPr="00C8251D">
              <w:rPr>
                <w:color w:val="FFFFFF" w:themeColor="background1"/>
                <w:sz w:val="20"/>
              </w:rPr>
              <w:t>Option</w:t>
            </w:r>
          </w:p>
        </w:tc>
        <w:tc>
          <w:tcPr>
            <w:tcW w:w="1417" w:type="dxa"/>
            <w:shd w:val="clear" w:color="auto" w:fill="1F497D" w:themeFill="text2"/>
            <w:vAlign w:val="center"/>
          </w:tcPr>
          <w:p w:rsidR="0081406E" w:rsidRDefault="00F419A9">
            <w:pPr>
              <w:pStyle w:val="BodyText"/>
              <w:jc w:val="right"/>
              <w:rPr>
                <w:b/>
                <w:color w:val="FFFFFF" w:themeColor="background1"/>
                <w:sz w:val="20"/>
              </w:rPr>
            </w:pPr>
            <w:r>
              <w:rPr>
                <w:color w:val="FFFFFF" w:themeColor="background1"/>
                <w:sz w:val="20"/>
              </w:rPr>
              <w:t>Equipment recovered</w:t>
            </w:r>
          </w:p>
        </w:tc>
        <w:tc>
          <w:tcPr>
            <w:tcW w:w="1409" w:type="dxa"/>
            <w:shd w:val="clear" w:color="auto" w:fill="1F497D" w:themeFill="text2"/>
            <w:vAlign w:val="center"/>
          </w:tcPr>
          <w:p w:rsidR="00F419A9" w:rsidRDefault="00F419A9" w:rsidP="00F419A9">
            <w:pPr>
              <w:pStyle w:val="BodyText"/>
              <w:jc w:val="right"/>
              <w:rPr>
                <w:color w:val="FFFFFF" w:themeColor="background1"/>
                <w:sz w:val="20"/>
              </w:rPr>
            </w:pPr>
            <w:r>
              <w:rPr>
                <w:color w:val="FFFFFF" w:themeColor="background1"/>
                <w:sz w:val="20"/>
              </w:rPr>
              <w:t>Refrigerators recovered (2014)</w:t>
            </w:r>
          </w:p>
        </w:tc>
        <w:tc>
          <w:tcPr>
            <w:tcW w:w="1409" w:type="dxa"/>
            <w:shd w:val="clear" w:color="auto" w:fill="1F497D" w:themeFill="text2"/>
            <w:vAlign w:val="center"/>
          </w:tcPr>
          <w:p w:rsidR="00F419A9" w:rsidRDefault="00F419A9" w:rsidP="00F419A9">
            <w:pPr>
              <w:pStyle w:val="BodyText"/>
              <w:jc w:val="right"/>
              <w:rPr>
                <w:color w:val="FFFFFF" w:themeColor="background1"/>
                <w:sz w:val="20"/>
              </w:rPr>
            </w:pPr>
            <w:r>
              <w:rPr>
                <w:color w:val="FFFFFF" w:themeColor="background1"/>
                <w:sz w:val="20"/>
              </w:rPr>
              <w:t>Refrigerators recovered (2014)</w:t>
            </w:r>
          </w:p>
        </w:tc>
        <w:tc>
          <w:tcPr>
            <w:tcW w:w="1409" w:type="dxa"/>
            <w:shd w:val="clear" w:color="auto" w:fill="1F497D" w:themeFill="text2"/>
            <w:vAlign w:val="center"/>
          </w:tcPr>
          <w:p w:rsidR="00F419A9" w:rsidRDefault="00F419A9" w:rsidP="00F419A9">
            <w:pPr>
              <w:pStyle w:val="BodyText"/>
              <w:jc w:val="right"/>
              <w:rPr>
                <w:color w:val="FFFFFF" w:themeColor="background1"/>
                <w:sz w:val="20"/>
              </w:rPr>
            </w:pPr>
            <w:r>
              <w:rPr>
                <w:color w:val="FFFFFF" w:themeColor="background1"/>
                <w:sz w:val="20"/>
              </w:rPr>
              <w:t>Air conditioners recovered (2014)</w:t>
            </w:r>
          </w:p>
        </w:tc>
        <w:tc>
          <w:tcPr>
            <w:tcW w:w="1409" w:type="dxa"/>
            <w:shd w:val="clear" w:color="auto" w:fill="1F497D" w:themeFill="text2"/>
            <w:vAlign w:val="center"/>
          </w:tcPr>
          <w:p w:rsidR="00F419A9" w:rsidRDefault="00F419A9" w:rsidP="00F419A9">
            <w:pPr>
              <w:pStyle w:val="BodyText"/>
              <w:jc w:val="right"/>
              <w:rPr>
                <w:color w:val="FFFFFF" w:themeColor="background1"/>
                <w:sz w:val="20"/>
              </w:rPr>
            </w:pPr>
            <w:r>
              <w:rPr>
                <w:color w:val="FFFFFF" w:themeColor="background1"/>
                <w:sz w:val="20"/>
              </w:rPr>
              <w:t>Air conditioners recovered (2014)</w:t>
            </w:r>
          </w:p>
        </w:tc>
      </w:tr>
      <w:tr w:rsidR="00F419A9" w:rsidRPr="00C8251D" w:rsidTr="00F419A9">
        <w:tc>
          <w:tcPr>
            <w:tcW w:w="1668" w:type="dxa"/>
            <w:shd w:val="clear" w:color="auto" w:fill="C6D9F1" w:themeFill="text2" w:themeFillTint="33"/>
          </w:tcPr>
          <w:p w:rsidR="00F419A9" w:rsidRPr="00C8251D" w:rsidRDefault="00F419A9" w:rsidP="00F419A9">
            <w:pPr>
              <w:pStyle w:val="BodyText"/>
              <w:rPr>
                <w:sz w:val="20"/>
              </w:rPr>
            </w:pPr>
            <w:r>
              <w:rPr>
                <w:sz w:val="20"/>
              </w:rPr>
              <w:t xml:space="preserve">Base Case </w:t>
            </w:r>
          </w:p>
        </w:tc>
        <w:tc>
          <w:tcPr>
            <w:tcW w:w="1417" w:type="dxa"/>
            <w:vAlign w:val="center"/>
          </w:tcPr>
          <w:p w:rsidR="00F419A9" w:rsidRDefault="00F419A9" w:rsidP="00F419A9">
            <w:pPr>
              <w:pStyle w:val="BodyText"/>
              <w:jc w:val="right"/>
              <w:rPr>
                <w:sz w:val="20"/>
              </w:rPr>
            </w:pPr>
            <w:r>
              <w:rPr>
                <w:sz w:val="20"/>
              </w:rPr>
              <w:t>0 per cent</w:t>
            </w:r>
          </w:p>
        </w:tc>
        <w:tc>
          <w:tcPr>
            <w:tcW w:w="1409" w:type="dxa"/>
            <w:vAlign w:val="bottom"/>
          </w:tcPr>
          <w:p w:rsidR="00F419A9" w:rsidRDefault="00F419A9" w:rsidP="00F419A9">
            <w:pPr>
              <w:pStyle w:val="BodyText"/>
              <w:jc w:val="right"/>
              <w:rPr>
                <w:sz w:val="20"/>
              </w:rPr>
            </w:pPr>
            <w:r>
              <w:rPr>
                <w:color w:val="000000"/>
                <w:sz w:val="20"/>
              </w:rPr>
              <w:t xml:space="preserve">         232,497 </w:t>
            </w:r>
          </w:p>
        </w:tc>
        <w:tc>
          <w:tcPr>
            <w:tcW w:w="1409" w:type="dxa"/>
            <w:vAlign w:val="bottom"/>
          </w:tcPr>
          <w:p w:rsidR="00F419A9" w:rsidRDefault="00F419A9" w:rsidP="00F419A9">
            <w:pPr>
              <w:pStyle w:val="BodyText"/>
              <w:jc w:val="right"/>
              <w:rPr>
                <w:color w:val="000000"/>
                <w:sz w:val="20"/>
              </w:rPr>
            </w:pPr>
            <w:r>
              <w:rPr>
                <w:color w:val="000000"/>
                <w:sz w:val="20"/>
              </w:rPr>
              <w:t xml:space="preserve">         344,590 </w:t>
            </w:r>
          </w:p>
        </w:tc>
        <w:tc>
          <w:tcPr>
            <w:tcW w:w="1409" w:type="dxa"/>
            <w:vAlign w:val="bottom"/>
          </w:tcPr>
          <w:p w:rsidR="00F419A9" w:rsidRDefault="00F419A9" w:rsidP="00F419A9">
            <w:pPr>
              <w:pStyle w:val="BodyText"/>
              <w:jc w:val="right"/>
              <w:rPr>
                <w:color w:val="000000"/>
                <w:sz w:val="20"/>
              </w:rPr>
            </w:pPr>
            <w:r>
              <w:rPr>
                <w:color w:val="000000"/>
                <w:sz w:val="20"/>
              </w:rPr>
              <w:t xml:space="preserve">         164,894 </w:t>
            </w:r>
          </w:p>
        </w:tc>
        <w:tc>
          <w:tcPr>
            <w:tcW w:w="1409" w:type="dxa"/>
            <w:vAlign w:val="bottom"/>
          </w:tcPr>
          <w:p w:rsidR="00F419A9" w:rsidRDefault="00F419A9" w:rsidP="00F419A9">
            <w:pPr>
              <w:pStyle w:val="BodyText"/>
              <w:jc w:val="right"/>
              <w:rPr>
                <w:color w:val="000000"/>
                <w:sz w:val="20"/>
              </w:rPr>
            </w:pPr>
            <w:r>
              <w:rPr>
                <w:color w:val="000000"/>
                <w:sz w:val="20"/>
              </w:rPr>
              <w:t xml:space="preserve">         262,624 </w:t>
            </w:r>
          </w:p>
        </w:tc>
      </w:tr>
      <w:tr w:rsidR="00F419A9" w:rsidRPr="00C8251D" w:rsidTr="00F419A9">
        <w:tc>
          <w:tcPr>
            <w:tcW w:w="1668" w:type="dxa"/>
            <w:shd w:val="clear" w:color="auto" w:fill="C6D9F1" w:themeFill="text2" w:themeFillTint="33"/>
          </w:tcPr>
          <w:p w:rsidR="00F419A9" w:rsidRPr="00C8251D" w:rsidRDefault="00F419A9" w:rsidP="00F419A9">
            <w:pPr>
              <w:pStyle w:val="BodyText"/>
              <w:rPr>
                <w:sz w:val="20"/>
              </w:rPr>
            </w:pPr>
            <w:r w:rsidRPr="00C8251D">
              <w:rPr>
                <w:sz w:val="20"/>
              </w:rPr>
              <w:t xml:space="preserve">Option 1 </w:t>
            </w:r>
          </w:p>
        </w:tc>
        <w:tc>
          <w:tcPr>
            <w:tcW w:w="1417" w:type="dxa"/>
            <w:vAlign w:val="center"/>
          </w:tcPr>
          <w:p w:rsidR="00F419A9" w:rsidRPr="00C8251D" w:rsidRDefault="00F419A9" w:rsidP="00F419A9">
            <w:pPr>
              <w:pStyle w:val="BodyText"/>
              <w:jc w:val="right"/>
              <w:rPr>
                <w:sz w:val="20"/>
              </w:rPr>
            </w:pPr>
            <w:r>
              <w:rPr>
                <w:sz w:val="20"/>
              </w:rPr>
              <w:t>7 per cent</w:t>
            </w:r>
          </w:p>
        </w:tc>
        <w:tc>
          <w:tcPr>
            <w:tcW w:w="1409" w:type="dxa"/>
            <w:vAlign w:val="bottom"/>
          </w:tcPr>
          <w:p w:rsidR="00F419A9" w:rsidRDefault="00F419A9" w:rsidP="00F419A9">
            <w:pPr>
              <w:pStyle w:val="BodyText"/>
              <w:jc w:val="right"/>
              <w:rPr>
                <w:sz w:val="20"/>
              </w:rPr>
            </w:pPr>
            <w:r>
              <w:rPr>
                <w:color w:val="000000"/>
                <w:sz w:val="20"/>
              </w:rPr>
              <w:t xml:space="preserve">         271,247 </w:t>
            </w:r>
          </w:p>
        </w:tc>
        <w:tc>
          <w:tcPr>
            <w:tcW w:w="1409" w:type="dxa"/>
            <w:vAlign w:val="bottom"/>
          </w:tcPr>
          <w:p w:rsidR="00F419A9" w:rsidRDefault="00F419A9" w:rsidP="00F419A9">
            <w:pPr>
              <w:pStyle w:val="BodyText"/>
              <w:jc w:val="right"/>
              <w:rPr>
                <w:color w:val="000000"/>
                <w:sz w:val="20"/>
              </w:rPr>
            </w:pPr>
            <w:r>
              <w:rPr>
                <w:color w:val="000000"/>
                <w:sz w:val="20"/>
              </w:rPr>
              <w:t xml:space="preserve">         402,021 </w:t>
            </w:r>
          </w:p>
        </w:tc>
        <w:tc>
          <w:tcPr>
            <w:tcW w:w="1409" w:type="dxa"/>
            <w:vAlign w:val="bottom"/>
          </w:tcPr>
          <w:p w:rsidR="00F419A9" w:rsidRDefault="00F419A9" w:rsidP="00F419A9">
            <w:pPr>
              <w:pStyle w:val="BodyText"/>
              <w:jc w:val="right"/>
              <w:rPr>
                <w:color w:val="000000"/>
                <w:sz w:val="20"/>
              </w:rPr>
            </w:pPr>
            <w:r>
              <w:rPr>
                <w:color w:val="000000"/>
                <w:sz w:val="20"/>
              </w:rPr>
              <w:t xml:space="preserve">         192,376 </w:t>
            </w:r>
          </w:p>
        </w:tc>
        <w:tc>
          <w:tcPr>
            <w:tcW w:w="1409" w:type="dxa"/>
            <w:vAlign w:val="bottom"/>
          </w:tcPr>
          <w:p w:rsidR="00F419A9" w:rsidRDefault="00F419A9" w:rsidP="00F419A9">
            <w:pPr>
              <w:pStyle w:val="BodyText"/>
              <w:jc w:val="right"/>
              <w:rPr>
                <w:color w:val="000000"/>
                <w:sz w:val="20"/>
              </w:rPr>
            </w:pPr>
            <w:r>
              <w:rPr>
                <w:color w:val="000000"/>
                <w:sz w:val="20"/>
              </w:rPr>
              <w:t xml:space="preserve">         306,395 </w:t>
            </w:r>
          </w:p>
        </w:tc>
      </w:tr>
      <w:tr w:rsidR="00F419A9" w:rsidRPr="00C8251D" w:rsidTr="00F419A9">
        <w:tc>
          <w:tcPr>
            <w:tcW w:w="1668" w:type="dxa"/>
            <w:shd w:val="clear" w:color="auto" w:fill="C6D9F1" w:themeFill="text2" w:themeFillTint="33"/>
          </w:tcPr>
          <w:p w:rsidR="00F419A9" w:rsidRPr="00C8251D" w:rsidRDefault="00F419A9" w:rsidP="00F419A9">
            <w:pPr>
              <w:pStyle w:val="BodyText"/>
              <w:rPr>
                <w:sz w:val="20"/>
              </w:rPr>
            </w:pPr>
            <w:r w:rsidRPr="00C8251D">
              <w:rPr>
                <w:sz w:val="20"/>
              </w:rPr>
              <w:t xml:space="preserve">Option 2 </w:t>
            </w:r>
          </w:p>
        </w:tc>
        <w:tc>
          <w:tcPr>
            <w:tcW w:w="1417" w:type="dxa"/>
            <w:vAlign w:val="center"/>
          </w:tcPr>
          <w:p w:rsidR="00F419A9" w:rsidRPr="00C8251D" w:rsidRDefault="00F419A9" w:rsidP="00F419A9">
            <w:pPr>
              <w:pStyle w:val="BodyText"/>
              <w:jc w:val="right"/>
              <w:rPr>
                <w:sz w:val="20"/>
              </w:rPr>
            </w:pPr>
            <w:r>
              <w:rPr>
                <w:sz w:val="20"/>
              </w:rPr>
              <w:t>22.5 per cent</w:t>
            </w:r>
          </w:p>
        </w:tc>
        <w:tc>
          <w:tcPr>
            <w:tcW w:w="1409" w:type="dxa"/>
            <w:vAlign w:val="bottom"/>
          </w:tcPr>
          <w:p w:rsidR="00F419A9" w:rsidRDefault="00F419A9" w:rsidP="00F419A9">
            <w:pPr>
              <w:pStyle w:val="BodyText"/>
              <w:jc w:val="right"/>
              <w:rPr>
                <w:sz w:val="20"/>
              </w:rPr>
            </w:pPr>
            <w:r>
              <w:rPr>
                <w:color w:val="000000"/>
                <w:sz w:val="20"/>
              </w:rPr>
              <w:t xml:space="preserve">         271,247 </w:t>
            </w:r>
          </w:p>
        </w:tc>
        <w:tc>
          <w:tcPr>
            <w:tcW w:w="1409" w:type="dxa"/>
            <w:vAlign w:val="bottom"/>
          </w:tcPr>
          <w:p w:rsidR="00F419A9" w:rsidRDefault="00F419A9" w:rsidP="00F419A9">
            <w:pPr>
              <w:pStyle w:val="BodyText"/>
              <w:jc w:val="right"/>
              <w:rPr>
                <w:color w:val="000000"/>
                <w:sz w:val="20"/>
              </w:rPr>
            </w:pPr>
            <w:r>
              <w:rPr>
                <w:color w:val="000000"/>
                <w:sz w:val="20"/>
              </w:rPr>
              <w:t xml:space="preserve">         402,021 </w:t>
            </w:r>
          </w:p>
        </w:tc>
        <w:tc>
          <w:tcPr>
            <w:tcW w:w="1409" w:type="dxa"/>
            <w:vAlign w:val="bottom"/>
          </w:tcPr>
          <w:p w:rsidR="00F419A9" w:rsidRDefault="00F419A9" w:rsidP="00F419A9">
            <w:pPr>
              <w:pStyle w:val="BodyText"/>
              <w:jc w:val="right"/>
              <w:rPr>
                <w:color w:val="000000"/>
                <w:sz w:val="20"/>
              </w:rPr>
            </w:pPr>
            <w:r>
              <w:rPr>
                <w:color w:val="000000"/>
                <w:sz w:val="20"/>
              </w:rPr>
              <w:t xml:space="preserve">         192,376 </w:t>
            </w:r>
          </w:p>
        </w:tc>
        <w:tc>
          <w:tcPr>
            <w:tcW w:w="1409" w:type="dxa"/>
            <w:vAlign w:val="bottom"/>
          </w:tcPr>
          <w:p w:rsidR="00F419A9" w:rsidRDefault="00F419A9" w:rsidP="00F419A9">
            <w:pPr>
              <w:pStyle w:val="BodyText"/>
              <w:jc w:val="right"/>
              <w:rPr>
                <w:color w:val="000000"/>
                <w:sz w:val="20"/>
              </w:rPr>
            </w:pPr>
            <w:r>
              <w:rPr>
                <w:color w:val="000000"/>
                <w:sz w:val="20"/>
              </w:rPr>
              <w:t xml:space="preserve">         306,395 </w:t>
            </w:r>
          </w:p>
        </w:tc>
      </w:tr>
      <w:tr w:rsidR="00F419A9" w:rsidRPr="00C8251D" w:rsidTr="00F419A9">
        <w:tc>
          <w:tcPr>
            <w:tcW w:w="1668" w:type="dxa"/>
            <w:shd w:val="clear" w:color="auto" w:fill="C6D9F1" w:themeFill="text2" w:themeFillTint="33"/>
          </w:tcPr>
          <w:p w:rsidR="00F419A9" w:rsidRPr="00C8251D" w:rsidRDefault="00F419A9" w:rsidP="00F419A9">
            <w:pPr>
              <w:pStyle w:val="BodyText"/>
              <w:rPr>
                <w:sz w:val="20"/>
              </w:rPr>
            </w:pPr>
            <w:r w:rsidRPr="00C8251D">
              <w:rPr>
                <w:sz w:val="20"/>
              </w:rPr>
              <w:t xml:space="preserve">Option 3 </w:t>
            </w:r>
          </w:p>
        </w:tc>
        <w:tc>
          <w:tcPr>
            <w:tcW w:w="1417" w:type="dxa"/>
            <w:vAlign w:val="center"/>
          </w:tcPr>
          <w:p w:rsidR="00F419A9" w:rsidRPr="00C8251D" w:rsidRDefault="00F419A9" w:rsidP="00F419A9">
            <w:pPr>
              <w:pStyle w:val="BodyText"/>
              <w:jc w:val="right"/>
              <w:rPr>
                <w:sz w:val="20"/>
              </w:rPr>
            </w:pPr>
            <w:r>
              <w:rPr>
                <w:sz w:val="20"/>
              </w:rPr>
              <w:t>70 per cent</w:t>
            </w:r>
          </w:p>
        </w:tc>
        <w:tc>
          <w:tcPr>
            <w:tcW w:w="1409" w:type="dxa"/>
            <w:vAlign w:val="bottom"/>
          </w:tcPr>
          <w:p w:rsidR="00F419A9" w:rsidRDefault="00F419A9" w:rsidP="00F419A9">
            <w:pPr>
              <w:pStyle w:val="BodyText"/>
              <w:jc w:val="right"/>
              <w:rPr>
                <w:sz w:val="20"/>
              </w:rPr>
            </w:pPr>
            <w:r>
              <w:rPr>
                <w:color w:val="000000"/>
                <w:sz w:val="20"/>
              </w:rPr>
              <w:t xml:space="preserve">         542,493 </w:t>
            </w:r>
          </w:p>
        </w:tc>
        <w:tc>
          <w:tcPr>
            <w:tcW w:w="1409" w:type="dxa"/>
            <w:vAlign w:val="bottom"/>
          </w:tcPr>
          <w:p w:rsidR="00F419A9" w:rsidRDefault="00F419A9" w:rsidP="00F419A9">
            <w:pPr>
              <w:pStyle w:val="BodyText"/>
              <w:jc w:val="right"/>
              <w:rPr>
                <w:color w:val="000000"/>
                <w:sz w:val="20"/>
              </w:rPr>
            </w:pPr>
            <w:r>
              <w:rPr>
                <w:color w:val="000000"/>
                <w:sz w:val="20"/>
              </w:rPr>
              <w:t xml:space="preserve">         804,042 </w:t>
            </w:r>
          </w:p>
        </w:tc>
        <w:tc>
          <w:tcPr>
            <w:tcW w:w="1409" w:type="dxa"/>
            <w:vAlign w:val="bottom"/>
          </w:tcPr>
          <w:p w:rsidR="00F419A9" w:rsidRDefault="00F419A9" w:rsidP="00F419A9">
            <w:pPr>
              <w:pStyle w:val="BodyText"/>
              <w:jc w:val="right"/>
              <w:rPr>
                <w:color w:val="000000"/>
                <w:sz w:val="20"/>
              </w:rPr>
            </w:pPr>
            <w:r>
              <w:rPr>
                <w:color w:val="000000"/>
                <w:sz w:val="20"/>
              </w:rPr>
              <w:t xml:space="preserve">         384,752 </w:t>
            </w:r>
          </w:p>
        </w:tc>
        <w:tc>
          <w:tcPr>
            <w:tcW w:w="1409" w:type="dxa"/>
            <w:vAlign w:val="bottom"/>
          </w:tcPr>
          <w:p w:rsidR="00F419A9" w:rsidRDefault="00F419A9" w:rsidP="00F419A9">
            <w:pPr>
              <w:pStyle w:val="BodyText"/>
              <w:jc w:val="right"/>
              <w:rPr>
                <w:color w:val="000000"/>
                <w:sz w:val="20"/>
              </w:rPr>
            </w:pPr>
            <w:r>
              <w:rPr>
                <w:color w:val="000000"/>
                <w:sz w:val="20"/>
              </w:rPr>
              <w:t xml:space="preserve">         612,790 </w:t>
            </w:r>
          </w:p>
        </w:tc>
      </w:tr>
    </w:tbl>
    <w:p w:rsidR="00F419A9" w:rsidRPr="00785131" w:rsidRDefault="00F419A9" w:rsidP="00F419A9">
      <w:pPr>
        <w:pStyle w:val="Source"/>
      </w:pPr>
      <w:proofErr w:type="gramStart"/>
      <w:r>
        <w:rPr>
          <w:vertAlign w:val="superscript"/>
        </w:rPr>
        <w:t>a</w:t>
      </w:r>
      <w:proofErr w:type="gramEnd"/>
      <w:r>
        <w:rPr>
          <w:vertAlign w:val="superscript"/>
        </w:rPr>
        <w:tab/>
      </w:r>
      <w:r>
        <w:t>Based on the estimated recovery by retailers under each option and RAC equipment disposals outlined in Section 3.</w:t>
      </w:r>
    </w:p>
    <w:p w:rsidR="00F419A9" w:rsidRDefault="00F419A9" w:rsidP="00F419A9">
      <w:pPr>
        <w:pStyle w:val="Source"/>
      </w:pPr>
      <w:r>
        <w:t>Source: Department of the Environment, industry consultation and KPMG analysis</w:t>
      </w:r>
    </w:p>
    <w:p w:rsidR="00400BE8" w:rsidRDefault="00400BE8">
      <w:pPr>
        <w:rPr>
          <w:b/>
          <w:color w:val="1F497D" w:themeColor="text2"/>
          <w:sz w:val="28"/>
        </w:rPr>
      </w:pPr>
      <w:r>
        <w:br w:type="page"/>
      </w:r>
    </w:p>
    <w:p w:rsidR="000B3550" w:rsidRDefault="00F419A9" w:rsidP="0016103D">
      <w:pPr>
        <w:pStyle w:val="Heading3"/>
        <w:numPr>
          <w:ilvl w:val="0"/>
          <w:numId w:val="0"/>
        </w:numPr>
      </w:pPr>
      <w:r>
        <w:lastRenderedPageBreak/>
        <w:t>Disassembly</w:t>
      </w:r>
    </w:p>
    <w:p w:rsidR="000B3550" w:rsidRDefault="000B3550" w:rsidP="000B3550">
      <w:pPr>
        <w:pStyle w:val="BodyText"/>
      </w:pPr>
    </w:p>
    <w:p w:rsidR="000B3550" w:rsidRPr="00F419A9" w:rsidRDefault="000B3550" w:rsidP="000B3550">
      <w:pPr>
        <w:pStyle w:val="Caption"/>
        <w:rPr>
          <w:vertAlign w:val="superscript"/>
        </w:rPr>
      </w:pPr>
      <w:r>
        <w:t xml:space="preserve">Appendix Table C </w:t>
      </w:r>
      <w:r w:rsidR="00586F30">
        <w:fldChar w:fldCharType="begin"/>
      </w:r>
      <w:r>
        <w:instrText xml:space="preserve"> SEQ Appendix_Table_C \* ARABIC </w:instrText>
      </w:r>
      <w:r w:rsidR="00586F30">
        <w:fldChar w:fldCharType="separate"/>
      </w:r>
      <w:r w:rsidR="001E5D7A">
        <w:rPr>
          <w:noProof/>
        </w:rPr>
        <w:t>9</w:t>
      </w:r>
      <w:r w:rsidR="00586F30">
        <w:fldChar w:fldCharType="end"/>
      </w:r>
      <w:r>
        <w:t xml:space="preserve">: </w:t>
      </w:r>
      <w:r w:rsidR="00425F2D">
        <w:t>Disassemble scheme</w:t>
      </w:r>
      <w:r w:rsidR="002E0107">
        <w:t xml:space="preserve"> costs </w:t>
      </w:r>
      <w:r w:rsidR="00F419A9">
        <w:rPr>
          <w:vertAlign w:val="superscript"/>
        </w:rPr>
        <w:t>a</w:t>
      </w:r>
    </w:p>
    <w:tbl>
      <w:tblPr>
        <w:tblStyle w:val="TableGrid"/>
        <w:tblW w:w="0" w:type="auto"/>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ayout w:type="fixed"/>
        <w:tblLook w:val="04A0"/>
      </w:tblPr>
      <w:tblGrid>
        <w:gridCol w:w="1668"/>
        <w:gridCol w:w="1417"/>
        <w:gridCol w:w="1409"/>
        <w:gridCol w:w="1409"/>
        <w:gridCol w:w="1409"/>
        <w:gridCol w:w="1409"/>
      </w:tblGrid>
      <w:tr w:rsidR="00F419A9" w:rsidRPr="00C8251D" w:rsidTr="00F419A9">
        <w:tc>
          <w:tcPr>
            <w:tcW w:w="1668" w:type="dxa"/>
            <w:shd w:val="clear" w:color="auto" w:fill="1F497D" w:themeFill="text2"/>
          </w:tcPr>
          <w:p w:rsidR="00F419A9" w:rsidRPr="00C8251D" w:rsidRDefault="00F419A9" w:rsidP="00F419A9">
            <w:pPr>
              <w:pStyle w:val="BodyText"/>
              <w:rPr>
                <w:color w:val="FFFFFF" w:themeColor="background1"/>
                <w:sz w:val="20"/>
              </w:rPr>
            </w:pPr>
            <w:r w:rsidRPr="00C8251D">
              <w:rPr>
                <w:color w:val="FFFFFF" w:themeColor="background1"/>
                <w:sz w:val="20"/>
              </w:rPr>
              <w:t>Option</w:t>
            </w:r>
          </w:p>
        </w:tc>
        <w:tc>
          <w:tcPr>
            <w:tcW w:w="1417" w:type="dxa"/>
            <w:shd w:val="clear" w:color="auto" w:fill="1F497D" w:themeFill="text2"/>
            <w:vAlign w:val="center"/>
          </w:tcPr>
          <w:p w:rsidR="0081406E" w:rsidRDefault="00F419A9">
            <w:pPr>
              <w:pStyle w:val="BodyText"/>
              <w:jc w:val="right"/>
              <w:rPr>
                <w:b/>
                <w:color w:val="FFFFFF" w:themeColor="background1"/>
                <w:sz w:val="20"/>
              </w:rPr>
            </w:pPr>
            <w:r>
              <w:rPr>
                <w:color w:val="FFFFFF" w:themeColor="background1"/>
                <w:sz w:val="20"/>
              </w:rPr>
              <w:t>Equipment disassembled</w:t>
            </w:r>
          </w:p>
        </w:tc>
        <w:tc>
          <w:tcPr>
            <w:tcW w:w="1409" w:type="dxa"/>
            <w:shd w:val="clear" w:color="auto" w:fill="1F497D" w:themeFill="text2"/>
            <w:vAlign w:val="center"/>
          </w:tcPr>
          <w:p w:rsidR="0081406E" w:rsidRDefault="00F419A9">
            <w:pPr>
              <w:pStyle w:val="BodyText"/>
              <w:jc w:val="right"/>
              <w:rPr>
                <w:b/>
                <w:color w:val="FFFFFF" w:themeColor="background1"/>
                <w:sz w:val="20"/>
              </w:rPr>
            </w:pPr>
            <w:r>
              <w:rPr>
                <w:color w:val="FFFFFF" w:themeColor="background1"/>
                <w:sz w:val="20"/>
              </w:rPr>
              <w:t>Refrigerators disassembled (2014)</w:t>
            </w:r>
          </w:p>
        </w:tc>
        <w:tc>
          <w:tcPr>
            <w:tcW w:w="1409" w:type="dxa"/>
            <w:shd w:val="clear" w:color="auto" w:fill="1F497D" w:themeFill="text2"/>
            <w:vAlign w:val="center"/>
          </w:tcPr>
          <w:p w:rsidR="0081406E" w:rsidRDefault="00F419A9">
            <w:pPr>
              <w:pStyle w:val="BodyText"/>
              <w:jc w:val="right"/>
              <w:rPr>
                <w:b/>
                <w:color w:val="FFFFFF" w:themeColor="background1"/>
                <w:sz w:val="20"/>
              </w:rPr>
            </w:pPr>
            <w:r>
              <w:rPr>
                <w:color w:val="FFFFFF" w:themeColor="background1"/>
                <w:sz w:val="20"/>
              </w:rPr>
              <w:t>Refrigerators disassembled (2014)</w:t>
            </w:r>
          </w:p>
        </w:tc>
        <w:tc>
          <w:tcPr>
            <w:tcW w:w="1409" w:type="dxa"/>
            <w:shd w:val="clear" w:color="auto" w:fill="1F497D" w:themeFill="text2"/>
            <w:vAlign w:val="center"/>
          </w:tcPr>
          <w:p w:rsidR="0081406E" w:rsidRDefault="00F419A9">
            <w:pPr>
              <w:pStyle w:val="BodyText"/>
              <w:jc w:val="right"/>
              <w:rPr>
                <w:b/>
                <w:color w:val="FFFFFF" w:themeColor="background1"/>
                <w:sz w:val="20"/>
              </w:rPr>
            </w:pPr>
            <w:r>
              <w:rPr>
                <w:color w:val="FFFFFF" w:themeColor="background1"/>
                <w:sz w:val="20"/>
              </w:rPr>
              <w:t>Air conditioners disassembled (2014)</w:t>
            </w:r>
          </w:p>
        </w:tc>
        <w:tc>
          <w:tcPr>
            <w:tcW w:w="1409" w:type="dxa"/>
            <w:shd w:val="clear" w:color="auto" w:fill="1F497D" w:themeFill="text2"/>
            <w:vAlign w:val="center"/>
          </w:tcPr>
          <w:p w:rsidR="0081406E" w:rsidRDefault="00F419A9">
            <w:pPr>
              <w:pStyle w:val="BodyText"/>
              <w:jc w:val="right"/>
              <w:rPr>
                <w:b/>
                <w:color w:val="FFFFFF" w:themeColor="background1"/>
                <w:sz w:val="20"/>
              </w:rPr>
            </w:pPr>
            <w:r>
              <w:rPr>
                <w:color w:val="FFFFFF" w:themeColor="background1"/>
                <w:sz w:val="20"/>
              </w:rPr>
              <w:t>Air conditioners disassembled (2014)</w:t>
            </w:r>
          </w:p>
        </w:tc>
      </w:tr>
      <w:tr w:rsidR="00F419A9" w:rsidRPr="00C8251D" w:rsidTr="00F419A9">
        <w:tc>
          <w:tcPr>
            <w:tcW w:w="1668" w:type="dxa"/>
            <w:shd w:val="clear" w:color="auto" w:fill="C6D9F1" w:themeFill="text2" w:themeFillTint="33"/>
          </w:tcPr>
          <w:p w:rsidR="0081406E" w:rsidRDefault="00F419A9">
            <w:pPr>
              <w:pStyle w:val="BodyText"/>
              <w:rPr>
                <w:b/>
                <w:color w:val="1F497D" w:themeColor="text2"/>
                <w:sz w:val="20"/>
              </w:rPr>
            </w:pPr>
            <w:r>
              <w:rPr>
                <w:sz w:val="20"/>
              </w:rPr>
              <w:t xml:space="preserve">Base Case </w:t>
            </w:r>
          </w:p>
        </w:tc>
        <w:tc>
          <w:tcPr>
            <w:tcW w:w="1417" w:type="dxa"/>
            <w:vAlign w:val="center"/>
          </w:tcPr>
          <w:p w:rsidR="00F419A9" w:rsidRDefault="00F419A9" w:rsidP="00F419A9">
            <w:pPr>
              <w:pStyle w:val="BodyText"/>
              <w:jc w:val="right"/>
              <w:rPr>
                <w:sz w:val="20"/>
              </w:rPr>
            </w:pPr>
            <w:r>
              <w:rPr>
                <w:sz w:val="20"/>
              </w:rPr>
              <w:t>0 per cent</w:t>
            </w:r>
          </w:p>
        </w:tc>
        <w:tc>
          <w:tcPr>
            <w:tcW w:w="1409" w:type="dxa"/>
            <w:vAlign w:val="bottom"/>
          </w:tcPr>
          <w:p w:rsidR="0081406E" w:rsidRDefault="00F419A9">
            <w:pPr>
              <w:pStyle w:val="BodyText"/>
              <w:jc w:val="right"/>
              <w:rPr>
                <w:b/>
                <w:color w:val="1F497D" w:themeColor="text2"/>
                <w:sz w:val="20"/>
              </w:rPr>
            </w:pPr>
            <w:r>
              <w:rPr>
                <w:color w:val="000000"/>
                <w:sz w:val="20"/>
              </w:rPr>
              <w:t xml:space="preserve">                  -   </w:t>
            </w:r>
          </w:p>
        </w:tc>
        <w:tc>
          <w:tcPr>
            <w:tcW w:w="1409" w:type="dxa"/>
            <w:vAlign w:val="bottom"/>
          </w:tcPr>
          <w:p w:rsidR="0081406E" w:rsidRDefault="00F419A9">
            <w:pPr>
              <w:pStyle w:val="BodyText"/>
              <w:jc w:val="right"/>
              <w:rPr>
                <w:b/>
                <w:color w:val="000000"/>
                <w:sz w:val="20"/>
              </w:rPr>
            </w:pPr>
            <w:r>
              <w:rPr>
                <w:color w:val="000000"/>
                <w:sz w:val="20"/>
              </w:rPr>
              <w:t xml:space="preserve">                  -   </w:t>
            </w:r>
          </w:p>
        </w:tc>
        <w:tc>
          <w:tcPr>
            <w:tcW w:w="1409" w:type="dxa"/>
            <w:vAlign w:val="bottom"/>
          </w:tcPr>
          <w:p w:rsidR="0081406E" w:rsidRDefault="00F419A9">
            <w:pPr>
              <w:pStyle w:val="BodyText"/>
              <w:jc w:val="right"/>
              <w:rPr>
                <w:b/>
                <w:color w:val="000000"/>
                <w:sz w:val="20"/>
              </w:rPr>
            </w:pPr>
            <w:r>
              <w:rPr>
                <w:color w:val="000000"/>
                <w:sz w:val="20"/>
              </w:rPr>
              <w:t xml:space="preserve">                  -   </w:t>
            </w:r>
          </w:p>
        </w:tc>
        <w:tc>
          <w:tcPr>
            <w:tcW w:w="1409" w:type="dxa"/>
            <w:vAlign w:val="bottom"/>
          </w:tcPr>
          <w:p w:rsidR="0081406E" w:rsidRDefault="00F419A9">
            <w:pPr>
              <w:pStyle w:val="BodyText"/>
              <w:jc w:val="right"/>
              <w:rPr>
                <w:b/>
                <w:color w:val="000000"/>
                <w:sz w:val="20"/>
              </w:rPr>
            </w:pPr>
            <w:r>
              <w:rPr>
                <w:color w:val="000000"/>
                <w:sz w:val="20"/>
              </w:rPr>
              <w:t xml:space="preserve">                  -   </w:t>
            </w:r>
          </w:p>
        </w:tc>
      </w:tr>
      <w:tr w:rsidR="00F419A9" w:rsidRPr="00C8251D" w:rsidTr="00F419A9">
        <w:tc>
          <w:tcPr>
            <w:tcW w:w="1668" w:type="dxa"/>
            <w:shd w:val="clear" w:color="auto" w:fill="C6D9F1" w:themeFill="text2" w:themeFillTint="33"/>
          </w:tcPr>
          <w:p w:rsidR="0081406E" w:rsidRDefault="00F419A9">
            <w:pPr>
              <w:pStyle w:val="BodyText"/>
              <w:rPr>
                <w:b/>
                <w:color w:val="1F497D" w:themeColor="text2"/>
                <w:sz w:val="20"/>
              </w:rPr>
            </w:pPr>
            <w:r w:rsidRPr="00C8251D">
              <w:rPr>
                <w:sz w:val="20"/>
              </w:rPr>
              <w:t xml:space="preserve">Option 1 </w:t>
            </w:r>
          </w:p>
        </w:tc>
        <w:tc>
          <w:tcPr>
            <w:tcW w:w="1417" w:type="dxa"/>
            <w:vAlign w:val="center"/>
          </w:tcPr>
          <w:p w:rsidR="00F419A9" w:rsidRPr="00C8251D" w:rsidRDefault="00F419A9" w:rsidP="00F419A9">
            <w:pPr>
              <w:pStyle w:val="BodyText"/>
              <w:jc w:val="right"/>
              <w:rPr>
                <w:sz w:val="20"/>
              </w:rPr>
            </w:pPr>
            <w:r>
              <w:rPr>
                <w:sz w:val="20"/>
              </w:rPr>
              <w:t>7 per cent</w:t>
            </w:r>
          </w:p>
        </w:tc>
        <w:tc>
          <w:tcPr>
            <w:tcW w:w="1409" w:type="dxa"/>
            <w:vAlign w:val="bottom"/>
          </w:tcPr>
          <w:p w:rsidR="0081406E" w:rsidRDefault="00F419A9">
            <w:pPr>
              <w:pStyle w:val="BodyText"/>
              <w:jc w:val="right"/>
              <w:rPr>
                <w:b/>
                <w:color w:val="1F497D" w:themeColor="text2"/>
                <w:sz w:val="20"/>
              </w:rPr>
            </w:pPr>
            <w:r>
              <w:rPr>
                <w:color w:val="000000"/>
                <w:sz w:val="20"/>
              </w:rPr>
              <w:t xml:space="preserve">           54,249 </w:t>
            </w:r>
          </w:p>
        </w:tc>
        <w:tc>
          <w:tcPr>
            <w:tcW w:w="1409" w:type="dxa"/>
            <w:vAlign w:val="bottom"/>
          </w:tcPr>
          <w:p w:rsidR="0081406E" w:rsidRDefault="00F419A9">
            <w:pPr>
              <w:pStyle w:val="BodyText"/>
              <w:jc w:val="right"/>
              <w:rPr>
                <w:b/>
                <w:color w:val="000000"/>
                <w:sz w:val="20"/>
              </w:rPr>
            </w:pPr>
            <w:r>
              <w:rPr>
                <w:color w:val="000000"/>
                <w:sz w:val="20"/>
              </w:rPr>
              <w:t xml:space="preserve">           80,404 </w:t>
            </w:r>
          </w:p>
        </w:tc>
        <w:tc>
          <w:tcPr>
            <w:tcW w:w="1409" w:type="dxa"/>
            <w:vAlign w:val="bottom"/>
          </w:tcPr>
          <w:p w:rsidR="0081406E" w:rsidRDefault="00F419A9">
            <w:pPr>
              <w:pStyle w:val="BodyText"/>
              <w:jc w:val="right"/>
              <w:rPr>
                <w:b/>
                <w:color w:val="000000"/>
                <w:sz w:val="20"/>
              </w:rPr>
            </w:pPr>
            <w:r>
              <w:rPr>
                <w:color w:val="000000"/>
                <w:sz w:val="20"/>
              </w:rPr>
              <w:t xml:space="preserve">           38,475 </w:t>
            </w:r>
          </w:p>
        </w:tc>
        <w:tc>
          <w:tcPr>
            <w:tcW w:w="1409" w:type="dxa"/>
            <w:vAlign w:val="bottom"/>
          </w:tcPr>
          <w:p w:rsidR="0081406E" w:rsidRDefault="00F419A9">
            <w:pPr>
              <w:pStyle w:val="BodyText"/>
              <w:jc w:val="right"/>
              <w:rPr>
                <w:b/>
                <w:color w:val="000000"/>
                <w:sz w:val="20"/>
              </w:rPr>
            </w:pPr>
            <w:r>
              <w:rPr>
                <w:color w:val="000000"/>
                <w:sz w:val="20"/>
              </w:rPr>
              <w:t xml:space="preserve">           61,279 </w:t>
            </w:r>
          </w:p>
        </w:tc>
      </w:tr>
      <w:tr w:rsidR="00F419A9" w:rsidRPr="00C8251D" w:rsidTr="00F419A9">
        <w:tc>
          <w:tcPr>
            <w:tcW w:w="1668" w:type="dxa"/>
            <w:shd w:val="clear" w:color="auto" w:fill="C6D9F1" w:themeFill="text2" w:themeFillTint="33"/>
          </w:tcPr>
          <w:p w:rsidR="0081406E" w:rsidRDefault="00F419A9">
            <w:pPr>
              <w:pStyle w:val="BodyText"/>
              <w:rPr>
                <w:b/>
                <w:color w:val="1F497D" w:themeColor="text2"/>
                <w:sz w:val="20"/>
              </w:rPr>
            </w:pPr>
            <w:r w:rsidRPr="00C8251D">
              <w:rPr>
                <w:sz w:val="20"/>
              </w:rPr>
              <w:t xml:space="preserve">Option 2 </w:t>
            </w:r>
          </w:p>
        </w:tc>
        <w:tc>
          <w:tcPr>
            <w:tcW w:w="1417" w:type="dxa"/>
            <w:vAlign w:val="center"/>
          </w:tcPr>
          <w:p w:rsidR="00F419A9" w:rsidRPr="00C8251D" w:rsidRDefault="00F419A9" w:rsidP="00F419A9">
            <w:pPr>
              <w:pStyle w:val="BodyText"/>
              <w:jc w:val="right"/>
              <w:rPr>
                <w:sz w:val="20"/>
              </w:rPr>
            </w:pPr>
            <w:r>
              <w:rPr>
                <w:sz w:val="20"/>
              </w:rPr>
              <w:t>22.5 per cent</w:t>
            </w:r>
          </w:p>
        </w:tc>
        <w:tc>
          <w:tcPr>
            <w:tcW w:w="1409" w:type="dxa"/>
            <w:vAlign w:val="bottom"/>
          </w:tcPr>
          <w:p w:rsidR="0081406E" w:rsidRDefault="00F419A9">
            <w:pPr>
              <w:pStyle w:val="BodyText"/>
              <w:jc w:val="right"/>
              <w:rPr>
                <w:b/>
                <w:color w:val="1F497D" w:themeColor="text2"/>
                <w:sz w:val="20"/>
              </w:rPr>
            </w:pPr>
            <w:r>
              <w:rPr>
                <w:color w:val="000000"/>
                <w:sz w:val="20"/>
              </w:rPr>
              <w:t xml:space="preserve">         174,373 </w:t>
            </w:r>
          </w:p>
        </w:tc>
        <w:tc>
          <w:tcPr>
            <w:tcW w:w="1409" w:type="dxa"/>
            <w:vAlign w:val="bottom"/>
          </w:tcPr>
          <w:p w:rsidR="0081406E" w:rsidRDefault="00F419A9">
            <w:pPr>
              <w:pStyle w:val="BodyText"/>
              <w:jc w:val="right"/>
              <w:rPr>
                <w:b/>
                <w:color w:val="000000"/>
                <w:sz w:val="20"/>
              </w:rPr>
            </w:pPr>
            <w:r>
              <w:rPr>
                <w:color w:val="000000"/>
                <w:sz w:val="20"/>
              </w:rPr>
              <w:t xml:space="preserve">         258,442 </w:t>
            </w:r>
          </w:p>
        </w:tc>
        <w:tc>
          <w:tcPr>
            <w:tcW w:w="1409" w:type="dxa"/>
            <w:vAlign w:val="bottom"/>
          </w:tcPr>
          <w:p w:rsidR="0081406E" w:rsidRDefault="00F419A9">
            <w:pPr>
              <w:pStyle w:val="BodyText"/>
              <w:jc w:val="right"/>
              <w:rPr>
                <w:b/>
                <w:color w:val="000000"/>
                <w:sz w:val="20"/>
              </w:rPr>
            </w:pPr>
            <w:r>
              <w:rPr>
                <w:color w:val="000000"/>
                <w:sz w:val="20"/>
              </w:rPr>
              <w:t xml:space="preserve">         123,670 </w:t>
            </w:r>
          </w:p>
        </w:tc>
        <w:tc>
          <w:tcPr>
            <w:tcW w:w="1409" w:type="dxa"/>
            <w:vAlign w:val="bottom"/>
          </w:tcPr>
          <w:p w:rsidR="0081406E" w:rsidRDefault="00F419A9">
            <w:pPr>
              <w:pStyle w:val="BodyText"/>
              <w:jc w:val="right"/>
              <w:rPr>
                <w:b/>
                <w:color w:val="000000"/>
                <w:sz w:val="20"/>
              </w:rPr>
            </w:pPr>
            <w:r>
              <w:rPr>
                <w:color w:val="000000"/>
                <w:sz w:val="20"/>
              </w:rPr>
              <w:t xml:space="preserve">         196,968 </w:t>
            </w:r>
          </w:p>
        </w:tc>
      </w:tr>
      <w:tr w:rsidR="00F419A9" w:rsidRPr="00C8251D" w:rsidTr="00F419A9">
        <w:tc>
          <w:tcPr>
            <w:tcW w:w="1668" w:type="dxa"/>
            <w:shd w:val="clear" w:color="auto" w:fill="C6D9F1" w:themeFill="text2" w:themeFillTint="33"/>
          </w:tcPr>
          <w:p w:rsidR="0081406E" w:rsidRDefault="00F419A9">
            <w:pPr>
              <w:pStyle w:val="BodyText"/>
              <w:rPr>
                <w:b/>
                <w:color w:val="1F497D" w:themeColor="text2"/>
                <w:sz w:val="20"/>
              </w:rPr>
            </w:pPr>
            <w:r w:rsidRPr="00C8251D">
              <w:rPr>
                <w:sz w:val="20"/>
              </w:rPr>
              <w:t xml:space="preserve">Option 3 </w:t>
            </w:r>
          </w:p>
        </w:tc>
        <w:tc>
          <w:tcPr>
            <w:tcW w:w="1417" w:type="dxa"/>
            <w:vAlign w:val="center"/>
          </w:tcPr>
          <w:p w:rsidR="00F419A9" w:rsidRPr="00C8251D" w:rsidRDefault="00F419A9" w:rsidP="00F419A9">
            <w:pPr>
              <w:pStyle w:val="BodyText"/>
              <w:jc w:val="right"/>
              <w:rPr>
                <w:sz w:val="20"/>
              </w:rPr>
            </w:pPr>
            <w:r>
              <w:rPr>
                <w:sz w:val="20"/>
              </w:rPr>
              <w:t>70 per cent</w:t>
            </w:r>
          </w:p>
        </w:tc>
        <w:tc>
          <w:tcPr>
            <w:tcW w:w="1409" w:type="dxa"/>
            <w:vAlign w:val="bottom"/>
          </w:tcPr>
          <w:p w:rsidR="0081406E" w:rsidRDefault="00F419A9">
            <w:pPr>
              <w:pStyle w:val="BodyText"/>
              <w:jc w:val="right"/>
              <w:rPr>
                <w:b/>
                <w:color w:val="1F497D" w:themeColor="text2"/>
                <w:sz w:val="20"/>
              </w:rPr>
            </w:pPr>
            <w:r>
              <w:rPr>
                <w:color w:val="000000"/>
                <w:sz w:val="20"/>
              </w:rPr>
              <w:t xml:space="preserve">         542,493 </w:t>
            </w:r>
          </w:p>
        </w:tc>
        <w:tc>
          <w:tcPr>
            <w:tcW w:w="1409" w:type="dxa"/>
            <w:vAlign w:val="bottom"/>
          </w:tcPr>
          <w:p w:rsidR="0081406E" w:rsidRDefault="00F419A9">
            <w:pPr>
              <w:pStyle w:val="BodyText"/>
              <w:jc w:val="right"/>
              <w:rPr>
                <w:b/>
                <w:color w:val="000000"/>
                <w:sz w:val="20"/>
              </w:rPr>
            </w:pPr>
            <w:r>
              <w:rPr>
                <w:color w:val="000000"/>
                <w:sz w:val="20"/>
              </w:rPr>
              <w:t xml:space="preserve">         804,042 </w:t>
            </w:r>
          </w:p>
        </w:tc>
        <w:tc>
          <w:tcPr>
            <w:tcW w:w="1409" w:type="dxa"/>
            <w:vAlign w:val="bottom"/>
          </w:tcPr>
          <w:p w:rsidR="0081406E" w:rsidRDefault="00F419A9">
            <w:pPr>
              <w:pStyle w:val="BodyText"/>
              <w:jc w:val="right"/>
              <w:rPr>
                <w:b/>
                <w:color w:val="000000"/>
                <w:sz w:val="20"/>
              </w:rPr>
            </w:pPr>
            <w:r>
              <w:rPr>
                <w:color w:val="000000"/>
                <w:sz w:val="20"/>
              </w:rPr>
              <w:t xml:space="preserve">         384,752 </w:t>
            </w:r>
          </w:p>
        </w:tc>
        <w:tc>
          <w:tcPr>
            <w:tcW w:w="1409" w:type="dxa"/>
            <w:vAlign w:val="bottom"/>
          </w:tcPr>
          <w:p w:rsidR="0081406E" w:rsidRDefault="00F419A9">
            <w:pPr>
              <w:pStyle w:val="BodyText"/>
              <w:jc w:val="right"/>
              <w:rPr>
                <w:b/>
                <w:color w:val="000000"/>
                <w:sz w:val="20"/>
              </w:rPr>
            </w:pPr>
            <w:r>
              <w:rPr>
                <w:color w:val="000000"/>
                <w:sz w:val="20"/>
              </w:rPr>
              <w:t xml:space="preserve">         612,790 </w:t>
            </w:r>
          </w:p>
        </w:tc>
      </w:tr>
    </w:tbl>
    <w:p w:rsidR="00F419A9" w:rsidRPr="00785131" w:rsidRDefault="00F419A9" w:rsidP="00F419A9">
      <w:pPr>
        <w:pStyle w:val="Source"/>
      </w:pPr>
      <w:proofErr w:type="gramStart"/>
      <w:r>
        <w:rPr>
          <w:vertAlign w:val="superscript"/>
        </w:rPr>
        <w:t>a</w:t>
      </w:r>
      <w:proofErr w:type="gramEnd"/>
      <w:r>
        <w:rPr>
          <w:vertAlign w:val="superscript"/>
        </w:rPr>
        <w:tab/>
      </w:r>
      <w:r>
        <w:t>Based on the estimated recovery of plastics under each option and RAC equipment disposals outlined in Section 3.</w:t>
      </w:r>
    </w:p>
    <w:p w:rsidR="00F419A9" w:rsidRDefault="00F419A9" w:rsidP="00F419A9">
      <w:pPr>
        <w:pStyle w:val="Source"/>
      </w:pPr>
      <w:r>
        <w:t>Source: Department of the Environment, industry consultation and KPMG analysis</w:t>
      </w:r>
    </w:p>
    <w:p w:rsidR="000B3550" w:rsidRDefault="000B3550" w:rsidP="000E1FD9">
      <w:pPr>
        <w:pStyle w:val="BodyText"/>
      </w:pPr>
    </w:p>
    <w:p w:rsidR="002E0107" w:rsidRDefault="002E0107" w:rsidP="000E1FD9">
      <w:pPr>
        <w:pStyle w:val="BodyText"/>
        <w:sectPr w:rsidR="002E0107" w:rsidSect="00953A19">
          <w:pgSz w:w="11907" w:h="16840" w:code="9"/>
          <w:pgMar w:top="2835" w:right="1474" w:bottom="1588" w:left="1474" w:header="1077" w:footer="1304" w:gutter="454"/>
          <w:cols w:space="737"/>
        </w:sectPr>
      </w:pPr>
    </w:p>
    <w:p w:rsidR="0081406E" w:rsidRDefault="000E1FD9">
      <w:pPr>
        <w:pStyle w:val="Heading1"/>
        <w:numPr>
          <w:ilvl w:val="0"/>
          <w:numId w:val="0"/>
        </w:numPr>
        <w:ind w:left="1985" w:hanging="1985"/>
      </w:pPr>
      <w:bookmarkStart w:id="102" w:name="_Toc403647599"/>
      <w:r>
        <w:lastRenderedPageBreak/>
        <w:t>Appendix D – Summary of Costs and Benefits by Year</w:t>
      </w:r>
      <w:bookmarkEnd w:id="102"/>
      <w:r>
        <w:t xml:space="preserve"> </w:t>
      </w:r>
    </w:p>
    <w:p w:rsidR="000E1FD9" w:rsidRDefault="000E1FD9" w:rsidP="000E1FD9">
      <w:pPr>
        <w:pStyle w:val="BodyText"/>
      </w:pPr>
    </w:p>
    <w:p w:rsidR="0081406E" w:rsidRDefault="002E0107">
      <w:pPr>
        <w:pStyle w:val="Caption"/>
      </w:pPr>
      <w:r>
        <w:t xml:space="preserve">Appendix Table D </w:t>
      </w:r>
      <w:r w:rsidR="00586F30">
        <w:fldChar w:fldCharType="begin"/>
      </w:r>
      <w:r>
        <w:instrText xml:space="preserve"> SEQ Appendix_Table_D \* ARABIC </w:instrText>
      </w:r>
      <w:r w:rsidR="00586F30">
        <w:fldChar w:fldCharType="separate"/>
      </w:r>
      <w:r w:rsidR="001E5D7A">
        <w:rPr>
          <w:noProof/>
        </w:rPr>
        <w:t>1</w:t>
      </w:r>
      <w:r w:rsidR="00586F30">
        <w:fldChar w:fldCharType="end"/>
      </w:r>
      <w:r>
        <w:t>: Costs and benefits, Option 1 ($ million 2014)</w:t>
      </w:r>
    </w:p>
    <w:tbl>
      <w:tblPr>
        <w:tblW w:w="12734" w:type="dxa"/>
        <w:tblInd w:w="108" w:type="dxa"/>
        <w:tblBorders>
          <w:top w:val="single" w:sz="4" w:space="0" w:color="1F497D" w:themeColor="text2"/>
          <w:left w:val="single" w:sz="4" w:space="0" w:color="1F497D" w:themeColor="text2"/>
          <w:bottom w:val="single" w:sz="4" w:space="0" w:color="1F497D" w:themeColor="text2"/>
          <w:right w:val="single" w:sz="4" w:space="0" w:color="1F497D" w:themeColor="text2"/>
        </w:tblBorders>
        <w:tblLook w:val="04A0"/>
      </w:tblPr>
      <w:tblGrid>
        <w:gridCol w:w="4000"/>
        <w:gridCol w:w="794"/>
        <w:gridCol w:w="794"/>
        <w:gridCol w:w="794"/>
        <w:gridCol w:w="794"/>
        <w:gridCol w:w="794"/>
        <w:gridCol w:w="794"/>
        <w:gridCol w:w="794"/>
        <w:gridCol w:w="794"/>
        <w:gridCol w:w="794"/>
        <w:gridCol w:w="794"/>
        <w:gridCol w:w="794"/>
      </w:tblGrid>
      <w:tr w:rsidR="002E0107" w:rsidRPr="002E0107" w:rsidTr="002E0107">
        <w:trPr>
          <w:trHeight w:val="300"/>
        </w:trPr>
        <w:tc>
          <w:tcPr>
            <w:tcW w:w="4000" w:type="dxa"/>
            <w:tcBorders>
              <w:top w:val="single" w:sz="4" w:space="0" w:color="1F497D" w:themeColor="text2"/>
              <w:bottom w:val="nil"/>
              <w:right w:val="single" w:sz="4" w:space="0" w:color="1F497D" w:themeColor="text2"/>
            </w:tcBorders>
            <w:shd w:val="clear" w:color="auto" w:fill="1F497D" w:themeFill="text2"/>
            <w:vAlign w:val="center"/>
            <w:hideMark/>
          </w:tcPr>
          <w:p w:rsidR="0081406E" w:rsidRDefault="0081406E">
            <w:pPr>
              <w:jc w:val="right"/>
              <w:rPr>
                <w:b/>
                <w:color w:val="FFFFFF" w:themeColor="background1"/>
                <w:sz w:val="20"/>
                <w:lang w:eastAsia="en-AU"/>
              </w:rPr>
            </w:pPr>
          </w:p>
        </w:tc>
        <w:tc>
          <w:tcPr>
            <w:tcW w:w="794" w:type="dxa"/>
            <w:tcBorders>
              <w:left w:val="single" w:sz="4" w:space="0" w:color="1F497D" w:themeColor="text2"/>
            </w:tcBorders>
            <w:shd w:val="clear" w:color="auto" w:fill="1F497D" w:themeFill="text2"/>
            <w:vAlign w:val="center"/>
            <w:hideMark/>
          </w:tcPr>
          <w:p w:rsidR="0085085D" w:rsidRPr="0085085D" w:rsidRDefault="00E10441">
            <w:pPr>
              <w:jc w:val="right"/>
              <w:rPr>
                <w:b/>
                <w:color w:val="FFFFFF" w:themeColor="background1"/>
                <w:sz w:val="20"/>
                <w:lang w:eastAsia="en-AU"/>
              </w:rPr>
            </w:pPr>
            <w:r w:rsidRPr="00E10441">
              <w:rPr>
                <w:b/>
                <w:color w:val="FFFFFF" w:themeColor="background1"/>
                <w:sz w:val="20"/>
                <w:lang w:eastAsia="en-AU"/>
              </w:rPr>
              <w:t>2014</w:t>
            </w:r>
          </w:p>
        </w:tc>
        <w:tc>
          <w:tcPr>
            <w:tcW w:w="794" w:type="dxa"/>
            <w:shd w:val="clear" w:color="auto" w:fill="1F497D" w:themeFill="text2"/>
            <w:vAlign w:val="center"/>
            <w:hideMark/>
          </w:tcPr>
          <w:p w:rsidR="0085085D" w:rsidRPr="0085085D" w:rsidRDefault="00E10441">
            <w:pPr>
              <w:jc w:val="right"/>
              <w:rPr>
                <w:b/>
                <w:color w:val="FFFFFF" w:themeColor="background1"/>
                <w:sz w:val="20"/>
                <w:lang w:eastAsia="en-AU"/>
              </w:rPr>
            </w:pPr>
            <w:r w:rsidRPr="00E10441">
              <w:rPr>
                <w:b/>
                <w:color w:val="FFFFFF" w:themeColor="background1"/>
                <w:sz w:val="20"/>
                <w:lang w:eastAsia="en-AU"/>
              </w:rPr>
              <w:t>2015</w:t>
            </w:r>
          </w:p>
        </w:tc>
        <w:tc>
          <w:tcPr>
            <w:tcW w:w="794" w:type="dxa"/>
            <w:shd w:val="clear" w:color="auto" w:fill="1F497D" w:themeFill="text2"/>
            <w:vAlign w:val="center"/>
            <w:hideMark/>
          </w:tcPr>
          <w:p w:rsidR="0085085D" w:rsidRPr="0085085D" w:rsidRDefault="00E10441">
            <w:pPr>
              <w:jc w:val="right"/>
              <w:rPr>
                <w:b/>
                <w:color w:val="FFFFFF" w:themeColor="background1"/>
                <w:sz w:val="20"/>
                <w:lang w:eastAsia="en-AU"/>
              </w:rPr>
            </w:pPr>
            <w:r w:rsidRPr="00E10441">
              <w:rPr>
                <w:b/>
                <w:color w:val="FFFFFF" w:themeColor="background1"/>
                <w:sz w:val="20"/>
                <w:lang w:eastAsia="en-AU"/>
              </w:rPr>
              <w:t>2016</w:t>
            </w:r>
          </w:p>
        </w:tc>
        <w:tc>
          <w:tcPr>
            <w:tcW w:w="794" w:type="dxa"/>
            <w:shd w:val="clear" w:color="auto" w:fill="1F497D" w:themeFill="text2"/>
            <w:vAlign w:val="center"/>
            <w:hideMark/>
          </w:tcPr>
          <w:p w:rsidR="0085085D" w:rsidRPr="0085085D" w:rsidRDefault="00E10441">
            <w:pPr>
              <w:jc w:val="right"/>
              <w:rPr>
                <w:b/>
                <w:color w:val="FFFFFF" w:themeColor="background1"/>
                <w:sz w:val="20"/>
                <w:lang w:eastAsia="en-AU"/>
              </w:rPr>
            </w:pPr>
            <w:r w:rsidRPr="00E10441">
              <w:rPr>
                <w:b/>
                <w:color w:val="FFFFFF" w:themeColor="background1"/>
                <w:sz w:val="20"/>
                <w:lang w:eastAsia="en-AU"/>
              </w:rPr>
              <w:t>2017</w:t>
            </w:r>
          </w:p>
        </w:tc>
        <w:tc>
          <w:tcPr>
            <w:tcW w:w="794" w:type="dxa"/>
            <w:shd w:val="clear" w:color="auto" w:fill="1F497D" w:themeFill="text2"/>
            <w:vAlign w:val="center"/>
            <w:hideMark/>
          </w:tcPr>
          <w:p w:rsidR="0085085D" w:rsidRPr="0085085D" w:rsidRDefault="00E10441">
            <w:pPr>
              <w:jc w:val="right"/>
              <w:rPr>
                <w:b/>
                <w:color w:val="FFFFFF" w:themeColor="background1"/>
                <w:sz w:val="20"/>
                <w:lang w:eastAsia="en-AU"/>
              </w:rPr>
            </w:pPr>
            <w:r w:rsidRPr="00E10441">
              <w:rPr>
                <w:b/>
                <w:color w:val="FFFFFF" w:themeColor="background1"/>
                <w:sz w:val="20"/>
                <w:lang w:eastAsia="en-AU"/>
              </w:rPr>
              <w:t>2018</w:t>
            </w:r>
          </w:p>
        </w:tc>
        <w:tc>
          <w:tcPr>
            <w:tcW w:w="794" w:type="dxa"/>
            <w:shd w:val="clear" w:color="auto" w:fill="1F497D" w:themeFill="text2"/>
            <w:vAlign w:val="center"/>
            <w:hideMark/>
          </w:tcPr>
          <w:p w:rsidR="0085085D" w:rsidRPr="0085085D" w:rsidRDefault="00E10441">
            <w:pPr>
              <w:jc w:val="right"/>
              <w:rPr>
                <w:b/>
                <w:color w:val="FFFFFF" w:themeColor="background1"/>
                <w:sz w:val="20"/>
                <w:lang w:eastAsia="en-AU"/>
              </w:rPr>
            </w:pPr>
            <w:r w:rsidRPr="00E10441">
              <w:rPr>
                <w:b/>
                <w:color w:val="FFFFFF" w:themeColor="background1"/>
                <w:sz w:val="20"/>
                <w:lang w:eastAsia="en-AU"/>
              </w:rPr>
              <w:t>2019</w:t>
            </w:r>
          </w:p>
        </w:tc>
        <w:tc>
          <w:tcPr>
            <w:tcW w:w="794" w:type="dxa"/>
            <w:shd w:val="clear" w:color="auto" w:fill="1F497D" w:themeFill="text2"/>
            <w:vAlign w:val="center"/>
            <w:hideMark/>
          </w:tcPr>
          <w:p w:rsidR="0085085D" w:rsidRPr="0085085D" w:rsidRDefault="00E10441">
            <w:pPr>
              <w:jc w:val="right"/>
              <w:rPr>
                <w:b/>
                <w:color w:val="FFFFFF" w:themeColor="background1"/>
                <w:sz w:val="20"/>
                <w:lang w:eastAsia="en-AU"/>
              </w:rPr>
            </w:pPr>
            <w:r w:rsidRPr="00E10441">
              <w:rPr>
                <w:b/>
                <w:color w:val="FFFFFF" w:themeColor="background1"/>
                <w:sz w:val="20"/>
                <w:lang w:eastAsia="en-AU"/>
              </w:rPr>
              <w:t>2020</w:t>
            </w:r>
          </w:p>
        </w:tc>
        <w:tc>
          <w:tcPr>
            <w:tcW w:w="794" w:type="dxa"/>
            <w:shd w:val="clear" w:color="auto" w:fill="1F497D" w:themeFill="text2"/>
            <w:vAlign w:val="center"/>
            <w:hideMark/>
          </w:tcPr>
          <w:p w:rsidR="0085085D" w:rsidRPr="0085085D" w:rsidRDefault="00E10441">
            <w:pPr>
              <w:jc w:val="right"/>
              <w:rPr>
                <w:b/>
                <w:color w:val="FFFFFF" w:themeColor="background1"/>
                <w:sz w:val="20"/>
                <w:lang w:eastAsia="en-AU"/>
              </w:rPr>
            </w:pPr>
            <w:r w:rsidRPr="00E10441">
              <w:rPr>
                <w:b/>
                <w:color w:val="FFFFFF" w:themeColor="background1"/>
                <w:sz w:val="20"/>
                <w:lang w:eastAsia="en-AU"/>
              </w:rPr>
              <w:t>2021</w:t>
            </w:r>
          </w:p>
        </w:tc>
        <w:tc>
          <w:tcPr>
            <w:tcW w:w="794" w:type="dxa"/>
            <w:shd w:val="clear" w:color="auto" w:fill="1F497D" w:themeFill="text2"/>
            <w:vAlign w:val="center"/>
            <w:hideMark/>
          </w:tcPr>
          <w:p w:rsidR="0085085D" w:rsidRPr="0085085D" w:rsidRDefault="00E10441">
            <w:pPr>
              <w:jc w:val="right"/>
              <w:rPr>
                <w:b/>
                <w:color w:val="FFFFFF" w:themeColor="background1"/>
                <w:sz w:val="20"/>
                <w:lang w:eastAsia="en-AU"/>
              </w:rPr>
            </w:pPr>
            <w:r w:rsidRPr="00E10441">
              <w:rPr>
                <w:b/>
                <w:color w:val="FFFFFF" w:themeColor="background1"/>
                <w:sz w:val="20"/>
                <w:lang w:eastAsia="en-AU"/>
              </w:rPr>
              <w:t>2022</w:t>
            </w:r>
          </w:p>
        </w:tc>
        <w:tc>
          <w:tcPr>
            <w:tcW w:w="794" w:type="dxa"/>
            <w:shd w:val="clear" w:color="auto" w:fill="1F497D" w:themeFill="text2"/>
            <w:vAlign w:val="center"/>
            <w:hideMark/>
          </w:tcPr>
          <w:p w:rsidR="0085085D" w:rsidRPr="0085085D" w:rsidRDefault="00E10441">
            <w:pPr>
              <w:jc w:val="right"/>
              <w:rPr>
                <w:b/>
                <w:color w:val="FFFFFF" w:themeColor="background1"/>
                <w:sz w:val="20"/>
                <w:lang w:eastAsia="en-AU"/>
              </w:rPr>
            </w:pPr>
            <w:r w:rsidRPr="00E10441">
              <w:rPr>
                <w:b/>
                <w:color w:val="FFFFFF" w:themeColor="background1"/>
                <w:sz w:val="20"/>
                <w:lang w:eastAsia="en-AU"/>
              </w:rPr>
              <w:t>2023</w:t>
            </w:r>
          </w:p>
        </w:tc>
        <w:tc>
          <w:tcPr>
            <w:tcW w:w="794" w:type="dxa"/>
            <w:shd w:val="clear" w:color="auto" w:fill="1F497D" w:themeFill="text2"/>
            <w:vAlign w:val="center"/>
            <w:hideMark/>
          </w:tcPr>
          <w:p w:rsidR="0085085D" w:rsidRPr="0085085D" w:rsidRDefault="00E10441">
            <w:pPr>
              <w:jc w:val="right"/>
              <w:rPr>
                <w:b/>
                <w:color w:val="FFFFFF" w:themeColor="background1"/>
                <w:sz w:val="20"/>
                <w:lang w:eastAsia="en-AU"/>
              </w:rPr>
            </w:pPr>
            <w:r w:rsidRPr="00E10441">
              <w:rPr>
                <w:b/>
                <w:color w:val="FFFFFF" w:themeColor="background1"/>
                <w:sz w:val="20"/>
                <w:lang w:eastAsia="en-AU"/>
              </w:rPr>
              <w:t>2024</w:t>
            </w:r>
          </w:p>
        </w:tc>
      </w:tr>
      <w:tr w:rsidR="002E0107" w:rsidRPr="002E0107" w:rsidTr="002E0107">
        <w:trPr>
          <w:trHeight w:val="300"/>
        </w:trPr>
        <w:tc>
          <w:tcPr>
            <w:tcW w:w="4000" w:type="dxa"/>
            <w:tcBorders>
              <w:top w:val="nil"/>
              <w:bottom w:val="nil"/>
              <w:right w:val="single" w:sz="4" w:space="0" w:color="1F497D" w:themeColor="text2"/>
            </w:tcBorders>
            <w:shd w:val="clear" w:color="auto" w:fill="C6D9F1" w:themeFill="text2" w:themeFillTint="33"/>
            <w:vAlign w:val="center"/>
            <w:hideMark/>
          </w:tcPr>
          <w:p w:rsidR="0085085D" w:rsidRDefault="002E0107">
            <w:pPr>
              <w:rPr>
                <w:b/>
                <w:bCs/>
                <w:color w:val="000000"/>
                <w:sz w:val="20"/>
                <w:lang w:eastAsia="en-AU"/>
              </w:rPr>
            </w:pPr>
            <w:r w:rsidRPr="002E0107">
              <w:rPr>
                <w:b/>
                <w:bCs/>
                <w:color w:val="000000"/>
                <w:sz w:val="20"/>
                <w:lang w:eastAsia="en-AU"/>
              </w:rPr>
              <w:t>Costs</w:t>
            </w:r>
          </w:p>
        </w:tc>
        <w:tc>
          <w:tcPr>
            <w:tcW w:w="794" w:type="dxa"/>
            <w:tcBorders>
              <w:left w:val="single" w:sz="4" w:space="0" w:color="1F497D" w:themeColor="text2"/>
            </w:tcBorders>
            <w:shd w:val="clear" w:color="auto" w:fill="C6D9F1" w:themeFill="text2" w:themeFillTint="33"/>
            <w:hideMark/>
          </w:tcPr>
          <w:p w:rsidR="002E0107" w:rsidRPr="002E0107" w:rsidRDefault="002E0107" w:rsidP="002E0107">
            <w:pPr>
              <w:rPr>
                <w:color w:val="000000"/>
                <w:sz w:val="20"/>
                <w:lang w:eastAsia="en-AU"/>
              </w:rPr>
            </w:pPr>
          </w:p>
        </w:tc>
        <w:tc>
          <w:tcPr>
            <w:tcW w:w="794" w:type="dxa"/>
            <w:shd w:val="clear" w:color="auto" w:fill="C6D9F1" w:themeFill="text2" w:themeFillTint="33"/>
            <w:hideMark/>
          </w:tcPr>
          <w:p w:rsidR="002E0107" w:rsidRPr="002E0107" w:rsidRDefault="002E0107" w:rsidP="002E0107">
            <w:pPr>
              <w:rPr>
                <w:color w:val="000000"/>
                <w:sz w:val="20"/>
                <w:lang w:eastAsia="en-AU"/>
              </w:rPr>
            </w:pPr>
          </w:p>
        </w:tc>
        <w:tc>
          <w:tcPr>
            <w:tcW w:w="794" w:type="dxa"/>
            <w:shd w:val="clear" w:color="auto" w:fill="C6D9F1" w:themeFill="text2" w:themeFillTint="33"/>
            <w:hideMark/>
          </w:tcPr>
          <w:p w:rsidR="002E0107" w:rsidRPr="002E0107" w:rsidRDefault="002E0107" w:rsidP="002E0107">
            <w:pPr>
              <w:rPr>
                <w:color w:val="000000"/>
                <w:sz w:val="20"/>
                <w:lang w:eastAsia="en-AU"/>
              </w:rPr>
            </w:pPr>
          </w:p>
        </w:tc>
        <w:tc>
          <w:tcPr>
            <w:tcW w:w="794" w:type="dxa"/>
            <w:shd w:val="clear" w:color="auto" w:fill="C6D9F1" w:themeFill="text2" w:themeFillTint="33"/>
            <w:hideMark/>
          </w:tcPr>
          <w:p w:rsidR="002E0107" w:rsidRPr="002E0107" w:rsidRDefault="002E0107" w:rsidP="002E0107">
            <w:pPr>
              <w:rPr>
                <w:color w:val="000000"/>
                <w:sz w:val="20"/>
                <w:lang w:eastAsia="en-AU"/>
              </w:rPr>
            </w:pPr>
          </w:p>
        </w:tc>
        <w:tc>
          <w:tcPr>
            <w:tcW w:w="794" w:type="dxa"/>
            <w:shd w:val="clear" w:color="auto" w:fill="C6D9F1" w:themeFill="text2" w:themeFillTint="33"/>
            <w:hideMark/>
          </w:tcPr>
          <w:p w:rsidR="002E0107" w:rsidRPr="002E0107" w:rsidRDefault="002E0107" w:rsidP="002E0107">
            <w:pPr>
              <w:rPr>
                <w:color w:val="000000"/>
                <w:sz w:val="20"/>
                <w:lang w:eastAsia="en-AU"/>
              </w:rPr>
            </w:pPr>
          </w:p>
        </w:tc>
        <w:tc>
          <w:tcPr>
            <w:tcW w:w="794" w:type="dxa"/>
            <w:shd w:val="clear" w:color="auto" w:fill="C6D9F1" w:themeFill="text2" w:themeFillTint="33"/>
            <w:hideMark/>
          </w:tcPr>
          <w:p w:rsidR="002E0107" w:rsidRPr="002E0107" w:rsidRDefault="002E0107" w:rsidP="002E0107">
            <w:pPr>
              <w:rPr>
                <w:color w:val="000000"/>
                <w:sz w:val="20"/>
                <w:lang w:eastAsia="en-AU"/>
              </w:rPr>
            </w:pPr>
          </w:p>
        </w:tc>
        <w:tc>
          <w:tcPr>
            <w:tcW w:w="794" w:type="dxa"/>
            <w:shd w:val="clear" w:color="auto" w:fill="C6D9F1" w:themeFill="text2" w:themeFillTint="33"/>
            <w:hideMark/>
          </w:tcPr>
          <w:p w:rsidR="002E0107" w:rsidRPr="002E0107" w:rsidRDefault="002E0107" w:rsidP="002E0107">
            <w:pPr>
              <w:rPr>
                <w:color w:val="000000"/>
                <w:sz w:val="20"/>
                <w:lang w:eastAsia="en-AU"/>
              </w:rPr>
            </w:pPr>
          </w:p>
        </w:tc>
        <w:tc>
          <w:tcPr>
            <w:tcW w:w="794" w:type="dxa"/>
            <w:shd w:val="clear" w:color="auto" w:fill="C6D9F1" w:themeFill="text2" w:themeFillTint="33"/>
            <w:hideMark/>
          </w:tcPr>
          <w:p w:rsidR="002E0107" w:rsidRPr="002E0107" w:rsidRDefault="002E0107" w:rsidP="002E0107">
            <w:pPr>
              <w:rPr>
                <w:color w:val="000000"/>
                <w:sz w:val="20"/>
                <w:lang w:eastAsia="en-AU"/>
              </w:rPr>
            </w:pPr>
          </w:p>
        </w:tc>
        <w:tc>
          <w:tcPr>
            <w:tcW w:w="794" w:type="dxa"/>
            <w:shd w:val="clear" w:color="auto" w:fill="C6D9F1" w:themeFill="text2" w:themeFillTint="33"/>
            <w:hideMark/>
          </w:tcPr>
          <w:p w:rsidR="002E0107" w:rsidRPr="002E0107" w:rsidRDefault="002E0107" w:rsidP="002E0107">
            <w:pPr>
              <w:rPr>
                <w:color w:val="000000"/>
                <w:sz w:val="20"/>
                <w:lang w:eastAsia="en-AU"/>
              </w:rPr>
            </w:pPr>
          </w:p>
        </w:tc>
        <w:tc>
          <w:tcPr>
            <w:tcW w:w="794" w:type="dxa"/>
            <w:shd w:val="clear" w:color="auto" w:fill="C6D9F1" w:themeFill="text2" w:themeFillTint="33"/>
            <w:hideMark/>
          </w:tcPr>
          <w:p w:rsidR="002E0107" w:rsidRPr="002E0107" w:rsidRDefault="002E0107" w:rsidP="002E0107">
            <w:pPr>
              <w:rPr>
                <w:color w:val="000000"/>
                <w:sz w:val="20"/>
                <w:lang w:eastAsia="en-AU"/>
              </w:rPr>
            </w:pPr>
          </w:p>
        </w:tc>
        <w:tc>
          <w:tcPr>
            <w:tcW w:w="794" w:type="dxa"/>
            <w:shd w:val="clear" w:color="auto" w:fill="C6D9F1" w:themeFill="text2" w:themeFillTint="33"/>
            <w:hideMark/>
          </w:tcPr>
          <w:p w:rsidR="002E0107" w:rsidRPr="002E0107" w:rsidRDefault="002E0107" w:rsidP="002E0107">
            <w:pPr>
              <w:rPr>
                <w:color w:val="000000"/>
                <w:sz w:val="20"/>
                <w:lang w:eastAsia="en-AU"/>
              </w:rPr>
            </w:pPr>
          </w:p>
        </w:tc>
      </w:tr>
      <w:tr w:rsidR="00D55184" w:rsidRPr="002E0107" w:rsidTr="002E0107">
        <w:trPr>
          <w:trHeight w:val="300"/>
        </w:trPr>
        <w:tc>
          <w:tcPr>
            <w:tcW w:w="4000" w:type="dxa"/>
            <w:tcBorders>
              <w:top w:val="nil"/>
              <w:bottom w:val="nil"/>
              <w:right w:val="single" w:sz="4" w:space="0" w:color="1F497D" w:themeColor="text2"/>
            </w:tcBorders>
            <w:shd w:val="clear" w:color="auto" w:fill="auto"/>
            <w:vAlign w:val="center"/>
            <w:hideMark/>
          </w:tcPr>
          <w:p w:rsidR="00D55184" w:rsidRDefault="00D55184">
            <w:pPr>
              <w:rPr>
                <w:color w:val="000000"/>
                <w:sz w:val="20"/>
                <w:lang w:eastAsia="en-AU"/>
              </w:rPr>
            </w:pPr>
            <w:r w:rsidRPr="002E0107">
              <w:rPr>
                <w:color w:val="000000"/>
                <w:sz w:val="20"/>
                <w:lang w:eastAsia="en-AU"/>
              </w:rPr>
              <w:t>Cost of regulatory compliance – government</w:t>
            </w:r>
          </w:p>
        </w:tc>
        <w:tc>
          <w:tcPr>
            <w:tcW w:w="794" w:type="dxa"/>
            <w:tcBorders>
              <w:left w:val="single" w:sz="4" w:space="0" w:color="1F497D" w:themeColor="text2"/>
            </w:tcBorders>
            <w:shd w:val="clear" w:color="auto" w:fill="auto"/>
            <w:vAlign w:val="center"/>
            <w:hideMark/>
          </w:tcPr>
          <w:p w:rsidR="00D55184" w:rsidRDefault="00D55184">
            <w:pPr>
              <w:jc w:val="right"/>
              <w:rPr>
                <w:color w:val="000000"/>
                <w:sz w:val="20"/>
              </w:rPr>
            </w:pPr>
            <w:r>
              <w:rPr>
                <w:color w:val="000000"/>
                <w:sz w:val="20"/>
              </w:rPr>
              <w:t>0.5</w:t>
            </w:r>
          </w:p>
        </w:tc>
        <w:tc>
          <w:tcPr>
            <w:tcW w:w="794" w:type="dxa"/>
            <w:shd w:val="clear" w:color="auto" w:fill="auto"/>
            <w:vAlign w:val="center"/>
            <w:hideMark/>
          </w:tcPr>
          <w:p w:rsidR="00D55184" w:rsidRDefault="00D55184">
            <w:pPr>
              <w:jc w:val="right"/>
              <w:rPr>
                <w:color w:val="000000"/>
                <w:sz w:val="20"/>
              </w:rPr>
            </w:pPr>
            <w:r>
              <w:rPr>
                <w:color w:val="000000"/>
                <w:sz w:val="20"/>
              </w:rPr>
              <w:t>0.5</w:t>
            </w:r>
          </w:p>
        </w:tc>
        <w:tc>
          <w:tcPr>
            <w:tcW w:w="794" w:type="dxa"/>
            <w:shd w:val="clear" w:color="auto" w:fill="auto"/>
            <w:vAlign w:val="center"/>
            <w:hideMark/>
          </w:tcPr>
          <w:p w:rsidR="00D55184" w:rsidRDefault="00D55184">
            <w:pPr>
              <w:jc w:val="right"/>
              <w:rPr>
                <w:color w:val="000000"/>
                <w:sz w:val="20"/>
              </w:rPr>
            </w:pPr>
            <w:r>
              <w:rPr>
                <w:color w:val="000000"/>
                <w:sz w:val="20"/>
              </w:rPr>
              <w:t>0.0</w:t>
            </w:r>
          </w:p>
        </w:tc>
        <w:tc>
          <w:tcPr>
            <w:tcW w:w="794" w:type="dxa"/>
            <w:shd w:val="clear" w:color="auto" w:fill="auto"/>
            <w:vAlign w:val="center"/>
            <w:hideMark/>
          </w:tcPr>
          <w:p w:rsidR="00D55184" w:rsidRDefault="00D55184">
            <w:pPr>
              <w:jc w:val="right"/>
              <w:rPr>
                <w:color w:val="000000"/>
                <w:sz w:val="20"/>
              </w:rPr>
            </w:pPr>
            <w:r>
              <w:rPr>
                <w:color w:val="000000"/>
                <w:sz w:val="20"/>
              </w:rPr>
              <w:t>0.0</w:t>
            </w:r>
          </w:p>
        </w:tc>
        <w:tc>
          <w:tcPr>
            <w:tcW w:w="794" w:type="dxa"/>
            <w:shd w:val="clear" w:color="auto" w:fill="auto"/>
            <w:vAlign w:val="center"/>
            <w:hideMark/>
          </w:tcPr>
          <w:p w:rsidR="00D55184" w:rsidRDefault="00D55184">
            <w:pPr>
              <w:jc w:val="right"/>
              <w:rPr>
                <w:color w:val="000000"/>
                <w:sz w:val="20"/>
              </w:rPr>
            </w:pPr>
            <w:r>
              <w:rPr>
                <w:color w:val="000000"/>
                <w:sz w:val="20"/>
              </w:rPr>
              <w:t>0.0</w:t>
            </w:r>
          </w:p>
        </w:tc>
        <w:tc>
          <w:tcPr>
            <w:tcW w:w="794" w:type="dxa"/>
            <w:shd w:val="clear" w:color="auto" w:fill="auto"/>
            <w:vAlign w:val="center"/>
            <w:hideMark/>
          </w:tcPr>
          <w:p w:rsidR="00D55184" w:rsidRDefault="00D55184">
            <w:pPr>
              <w:jc w:val="right"/>
              <w:rPr>
                <w:color w:val="000000"/>
                <w:sz w:val="20"/>
              </w:rPr>
            </w:pPr>
            <w:r>
              <w:rPr>
                <w:color w:val="000000"/>
                <w:sz w:val="20"/>
              </w:rPr>
              <w:t>0.0</w:t>
            </w:r>
          </w:p>
        </w:tc>
        <w:tc>
          <w:tcPr>
            <w:tcW w:w="794" w:type="dxa"/>
            <w:shd w:val="clear" w:color="auto" w:fill="auto"/>
            <w:vAlign w:val="center"/>
            <w:hideMark/>
          </w:tcPr>
          <w:p w:rsidR="00D55184" w:rsidRDefault="00D55184">
            <w:pPr>
              <w:jc w:val="right"/>
              <w:rPr>
                <w:color w:val="000000"/>
                <w:sz w:val="20"/>
              </w:rPr>
            </w:pPr>
            <w:r>
              <w:rPr>
                <w:color w:val="000000"/>
                <w:sz w:val="20"/>
              </w:rPr>
              <w:t>0.0</w:t>
            </w:r>
          </w:p>
        </w:tc>
        <w:tc>
          <w:tcPr>
            <w:tcW w:w="794" w:type="dxa"/>
            <w:shd w:val="clear" w:color="auto" w:fill="auto"/>
            <w:vAlign w:val="center"/>
            <w:hideMark/>
          </w:tcPr>
          <w:p w:rsidR="00D55184" w:rsidRDefault="00D55184">
            <w:pPr>
              <w:jc w:val="right"/>
              <w:rPr>
                <w:color w:val="000000"/>
                <w:sz w:val="20"/>
              </w:rPr>
            </w:pPr>
            <w:r>
              <w:rPr>
                <w:color w:val="000000"/>
                <w:sz w:val="20"/>
              </w:rPr>
              <w:t>0.0</w:t>
            </w:r>
          </w:p>
        </w:tc>
        <w:tc>
          <w:tcPr>
            <w:tcW w:w="794" w:type="dxa"/>
            <w:shd w:val="clear" w:color="auto" w:fill="auto"/>
            <w:vAlign w:val="center"/>
            <w:hideMark/>
          </w:tcPr>
          <w:p w:rsidR="00D55184" w:rsidRDefault="00D55184">
            <w:pPr>
              <w:jc w:val="right"/>
              <w:rPr>
                <w:color w:val="000000"/>
                <w:sz w:val="20"/>
              </w:rPr>
            </w:pPr>
            <w:r>
              <w:rPr>
                <w:color w:val="000000"/>
                <w:sz w:val="20"/>
              </w:rPr>
              <w:t>0.0</w:t>
            </w:r>
          </w:p>
        </w:tc>
        <w:tc>
          <w:tcPr>
            <w:tcW w:w="794" w:type="dxa"/>
            <w:shd w:val="clear" w:color="auto" w:fill="auto"/>
            <w:vAlign w:val="center"/>
            <w:hideMark/>
          </w:tcPr>
          <w:p w:rsidR="00D55184" w:rsidRDefault="00D55184">
            <w:pPr>
              <w:jc w:val="right"/>
              <w:rPr>
                <w:color w:val="000000"/>
                <w:sz w:val="20"/>
              </w:rPr>
            </w:pPr>
            <w:r>
              <w:rPr>
                <w:color w:val="000000"/>
                <w:sz w:val="20"/>
              </w:rPr>
              <w:t>0.0</w:t>
            </w:r>
          </w:p>
        </w:tc>
        <w:tc>
          <w:tcPr>
            <w:tcW w:w="794" w:type="dxa"/>
            <w:shd w:val="clear" w:color="auto" w:fill="auto"/>
            <w:vAlign w:val="center"/>
            <w:hideMark/>
          </w:tcPr>
          <w:p w:rsidR="00D55184" w:rsidRDefault="00D55184">
            <w:pPr>
              <w:jc w:val="right"/>
              <w:rPr>
                <w:color w:val="000000"/>
                <w:sz w:val="20"/>
              </w:rPr>
            </w:pPr>
            <w:r>
              <w:rPr>
                <w:color w:val="000000"/>
                <w:sz w:val="20"/>
              </w:rPr>
              <w:t>0.0</w:t>
            </w:r>
          </w:p>
        </w:tc>
      </w:tr>
      <w:tr w:rsidR="00D55184" w:rsidRPr="002E0107" w:rsidTr="002E0107">
        <w:trPr>
          <w:trHeight w:val="300"/>
        </w:trPr>
        <w:tc>
          <w:tcPr>
            <w:tcW w:w="4000" w:type="dxa"/>
            <w:tcBorders>
              <w:top w:val="nil"/>
              <w:bottom w:val="nil"/>
              <w:right w:val="single" w:sz="4" w:space="0" w:color="1F497D" w:themeColor="text2"/>
            </w:tcBorders>
            <w:shd w:val="clear" w:color="auto" w:fill="auto"/>
            <w:vAlign w:val="center"/>
            <w:hideMark/>
          </w:tcPr>
          <w:p w:rsidR="00D55184" w:rsidRDefault="00D55184">
            <w:pPr>
              <w:rPr>
                <w:color w:val="000000"/>
                <w:sz w:val="20"/>
                <w:lang w:eastAsia="en-AU"/>
              </w:rPr>
            </w:pPr>
            <w:r w:rsidRPr="002E0107">
              <w:rPr>
                <w:color w:val="000000"/>
                <w:sz w:val="20"/>
                <w:lang w:eastAsia="en-AU"/>
              </w:rPr>
              <w:t>Cost of regulatory compliance – industry</w:t>
            </w:r>
          </w:p>
        </w:tc>
        <w:tc>
          <w:tcPr>
            <w:tcW w:w="794" w:type="dxa"/>
            <w:tcBorders>
              <w:left w:val="single" w:sz="4" w:space="0" w:color="1F497D" w:themeColor="text2"/>
            </w:tcBorders>
            <w:shd w:val="clear" w:color="auto" w:fill="auto"/>
            <w:vAlign w:val="center"/>
            <w:hideMark/>
          </w:tcPr>
          <w:p w:rsidR="00D55184" w:rsidRDefault="00D55184">
            <w:pPr>
              <w:jc w:val="right"/>
              <w:rPr>
                <w:color w:val="000000"/>
                <w:sz w:val="20"/>
              </w:rPr>
            </w:pPr>
            <w:r>
              <w:rPr>
                <w:color w:val="000000"/>
                <w:sz w:val="20"/>
              </w:rPr>
              <w:t>0.3</w:t>
            </w:r>
          </w:p>
        </w:tc>
        <w:tc>
          <w:tcPr>
            <w:tcW w:w="794" w:type="dxa"/>
            <w:shd w:val="clear" w:color="auto" w:fill="auto"/>
            <w:vAlign w:val="center"/>
            <w:hideMark/>
          </w:tcPr>
          <w:p w:rsidR="00D55184" w:rsidRDefault="00D55184">
            <w:pPr>
              <w:jc w:val="right"/>
              <w:rPr>
                <w:color w:val="000000"/>
                <w:sz w:val="20"/>
              </w:rPr>
            </w:pPr>
            <w:r>
              <w:rPr>
                <w:color w:val="000000"/>
                <w:sz w:val="20"/>
              </w:rPr>
              <w:t>0.2</w:t>
            </w:r>
          </w:p>
        </w:tc>
        <w:tc>
          <w:tcPr>
            <w:tcW w:w="794" w:type="dxa"/>
            <w:shd w:val="clear" w:color="auto" w:fill="auto"/>
            <w:vAlign w:val="center"/>
            <w:hideMark/>
          </w:tcPr>
          <w:p w:rsidR="00D55184" w:rsidRDefault="00D55184">
            <w:pPr>
              <w:jc w:val="right"/>
              <w:rPr>
                <w:color w:val="000000"/>
                <w:sz w:val="20"/>
              </w:rPr>
            </w:pPr>
            <w:r>
              <w:rPr>
                <w:color w:val="000000"/>
                <w:sz w:val="20"/>
              </w:rPr>
              <w:t>0.2</w:t>
            </w:r>
          </w:p>
        </w:tc>
        <w:tc>
          <w:tcPr>
            <w:tcW w:w="794" w:type="dxa"/>
            <w:shd w:val="clear" w:color="auto" w:fill="auto"/>
            <w:vAlign w:val="center"/>
            <w:hideMark/>
          </w:tcPr>
          <w:p w:rsidR="00D55184" w:rsidRDefault="00D55184">
            <w:pPr>
              <w:jc w:val="right"/>
              <w:rPr>
                <w:color w:val="000000"/>
                <w:sz w:val="20"/>
              </w:rPr>
            </w:pPr>
            <w:r>
              <w:rPr>
                <w:color w:val="000000"/>
                <w:sz w:val="20"/>
              </w:rPr>
              <w:t>0.2</w:t>
            </w:r>
          </w:p>
        </w:tc>
        <w:tc>
          <w:tcPr>
            <w:tcW w:w="794" w:type="dxa"/>
            <w:shd w:val="clear" w:color="auto" w:fill="auto"/>
            <w:vAlign w:val="center"/>
            <w:hideMark/>
          </w:tcPr>
          <w:p w:rsidR="00D55184" w:rsidRDefault="00D55184">
            <w:pPr>
              <w:jc w:val="right"/>
              <w:rPr>
                <w:color w:val="000000"/>
                <w:sz w:val="20"/>
              </w:rPr>
            </w:pPr>
            <w:r>
              <w:rPr>
                <w:color w:val="000000"/>
                <w:sz w:val="20"/>
              </w:rPr>
              <w:t>0.2</w:t>
            </w:r>
          </w:p>
        </w:tc>
        <w:tc>
          <w:tcPr>
            <w:tcW w:w="794" w:type="dxa"/>
            <w:shd w:val="clear" w:color="auto" w:fill="auto"/>
            <w:vAlign w:val="center"/>
            <w:hideMark/>
          </w:tcPr>
          <w:p w:rsidR="00D55184" w:rsidRDefault="00D55184">
            <w:pPr>
              <w:jc w:val="right"/>
              <w:rPr>
                <w:color w:val="000000"/>
                <w:sz w:val="20"/>
              </w:rPr>
            </w:pPr>
            <w:r>
              <w:rPr>
                <w:color w:val="000000"/>
                <w:sz w:val="20"/>
              </w:rPr>
              <w:t>0.2</w:t>
            </w:r>
          </w:p>
        </w:tc>
        <w:tc>
          <w:tcPr>
            <w:tcW w:w="794" w:type="dxa"/>
            <w:shd w:val="clear" w:color="auto" w:fill="auto"/>
            <w:vAlign w:val="center"/>
            <w:hideMark/>
          </w:tcPr>
          <w:p w:rsidR="00D55184" w:rsidRDefault="00D55184">
            <w:pPr>
              <w:jc w:val="right"/>
              <w:rPr>
                <w:color w:val="000000"/>
                <w:sz w:val="20"/>
              </w:rPr>
            </w:pPr>
            <w:r>
              <w:rPr>
                <w:color w:val="000000"/>
                <w:sz w:val="20"/>
              </w:rPr>
              <w:t>0.2</w:t>
            </w:r>
          </w:p>
        </w:tc>
        <w:tc>
          <w:tcPr>
            <w:tcW w:w="794" w:type="dxa"/>
            <w:shd w:val="clear" w:color="auto" w:fill="auto"/>
            <w:vAlign w:val="center"/>
            <w:hideMark/>
          </w:tcPr>
          <w:p w:rsidR="00D55184" w:rsidRDefault="00D55184">
            <w:pPr>
              <w:jc w:val="right"/>
              <w:rPr>
                <w:color w:val="000000"/>
                <w:sz w:val="20"/>
              </w:rPr>
            </w:pPr>
            <w:r>
              <w:rPr>
                <w:color w:val="000000"/>
                <w:sz w:val="20"/>
              </w:rPr>
              <w:t>0.2</w:t>
            </w:r>
          </w:p>
        </w:tc>
        <w:tc>
          <w:tcPr>
            <w:tcW w:w="794" w:type="dxa"/>
            <w:shd w:val="clear" w:color="auto" w:fill="auto"/>
            <w:vAlign w:val="center"/>
            <w:hideMark/>
          </w:tcPr>
          <w:p w:rsidR="00D55184" w:rsidRDefault="00D55184">
            <w:pPr>
              <w:jc w:val="right"/>
              <w:rPr>
                <w:color w:val="000000"/>
                <w:sz w:val="20"/>
              </w:rPr>
            </w:pPr>
            <w:r>
              <w:rPr>
                <w:color w:val="000000"/>
                <w:sz w:val="20"/>
              </w:rPr>
              <w:t>0.2</w:t>
            </w:r>
          </w:p>
        </w:tc>
        <w:tc>
          <w:tcPr>
            <w:tcW w:w="794" w:type="dxa"/>
            <w:shd w:val="clear" w:color="auto" w:fill="auto"/>
            <w:vAlign w:val="center"/>
            <w:hideMark/>
          </w:tcPr>
          <w:p w:rsidR="00D55184" w:rsidRDefault="00D55184">
            <w:pPr>
              <w:jc w:val="right"/>
              <w:rPr>
                <w:color w:val="000000"/>
                <w:sz w:val="20"/>
              </w:rPr>
            </w:pPr>
            <w:r>
              <w:rPr>
                <w:color w:val="000000"/>
                <w:sz w:val="20"/>
              </w:rPr>
              <w:t>0.2</w:t>
            </w:r>
          </w:p>
        </w:tc>
        <w:tc>
          <w:tcPr>
            <w:tcW w:w="794" w:type="dxa"/>
            <w:shd w:val="clear" w:color="auto" w:fill="auto"/>
            <w:vAlign w:val="center"/>
            <w:hideMark/>
          </w:tcPr>
          <w:p w:rsidR="00D55184" w:rsidRDefault="00D55184">
            <w:pPr>
              <w:jc w:val="right"/>
              <w:rPr>
                <w:color w:val="000000"/>
                <w:sz w:val="20"/>
              </w:rPr>
            </w:pPr>
            <w:r>
              <w:rPr>
                <w:color w:val="000000"/>
                <w:sz w:val="20"/>
              </w:rPr>
              <w:t>0.2</w:t>
            </w:r>
          </w:p>
        </w:tc>
      </w:tr>
      <w:tr w:rsidR="00D55184" w:rsidRPr="002E0107" w:rsidTr="002E0107">
        <w:trPr>
          <w:trHeight w:val="300"/>
        </w:trPr>
        <w:tc>
          <w:tcPr>
            <w:tcW w:w="4000" w:type="dxa"/>
            <w:tcBorders>
              <w:top w:val="nil"/>
              <w:bottom w:val="nil"/>
              <w:right w:val="single" w:sz="4" w:space="0" w:color="1F497D" w:themeColor="text2"/>
            </w:tcBorders>
            <w:shd w:val="clear" w:color="auto" w:fill="auto"/>
            <w:vAlign w:val="center"/>
            <w:hideMark/>
          </w:tcPr>
          <w:p w:rsidR="00D55184" w:rsidRDefault="00D55184">
            <w:pPr>
              <w:rPr>
                <w:color w:val="000000"/>
                <w:sz w:val="20"/>
                <w:lang w:eastAsia="en-AU"/>
              </w:rPr>
            </w:pPr>
            <w:r w:rsidRPr="002E0107">
              <w:rPr>
                <w:color w:val="000000"/>
                <w:sz w:val="20"/>
                <w:lang w:eastAsia="en-AU"/>
              </w:rPr>
              <w:t>Retailer take back scheme</w:t>
            </w:r>
          </w:p>
        </w:tc>
        <w:tc>
          <w:tcPr>
            <w:tcW w:w="794" w:type="dxa"/>
            <w:tcBorders>
              <w:left w:val="single" w:sz="4" w:space="0" w:color="1F497D" w:themeColor="text2"/>
            </w:tcBorders>
            <w:shd w:val="clear" w:color="auto" w:fill="auto"/>
            <w:vAlign w:val="center"/>
            <w:hideMark/>
          </w:tcPr>
          <w:p w:rsidR="00D55184" w:rsidRDefault="00D55184">
            <w:pPr>
              <w:jc w:val="right"/>
              <w:rPr>
                <w:color w:val="000000"/>
                <w:sz w:val="20"/>
              </w:rPr>
            </w:pPr>
            <w:r>
              <w:rPr>
                <w:color w:val="000000"/>
                <w:sz w:val="20"/>
              </w:rPr>
              <w:t>1.5</w:t>
            </w:r>
          </w:p>
        </w:tc>
        <w:tc>
          <w:tcPr>
            <w:tcW w:w="794" w:type="dxa"/>
            <w:shd w:val="clear" w:color="auto" w:fill="auto"/>
            <w:vAlign w:val="center"/>
            <w:hideMark/>
          </w:tcPr>
          <w:p w:rsidR="00D55184" w:rsidRDefault="00D55184">
            <w:pPr>
              <w:jc w:val="right"/>
              <w:rPr>
                <w:color w:val="000000"/>
                <w:sz w:val="20"/>
              </w:rPr>
            </w:pPr>
            <w:r>
              <w:rPr>
                <w:color w:val="000000"/>
                <w:sz w:val="20"/>
              </w:rPr>
              <w:t>1.6</w:t>
            </w:r>
          </w:p>
        </w:tc>
        <w:tc>
          <w:tcPr>
            <w:tcW w:w="794" w:type="dxa"/>
            <w:shd w:val="clear" w:color="auto" w:fill="auto"/>
            <w:vAlign w:val="center"/>
            <w:hideMark/>
          </w:tcPr>
          <w:p w:rsidR="00D55184" w:rsidRDefault="00D55184">
            <w:pPr>
              <w:jc w:val="right"/>
              <w:rPr>
                <w:color w:val="000000"/>
                <w:sz w:val="20"/>
              </w:rPr>
            </w:pPr>
            <w:r>
              <w:rPr>
                <w:color w:val="000000"/>
                <w:sz w:val="20"/>
              </w:rPr>
              <w:t>1.6</w:t>
            </w:r>
          </w:p>
        </w:tc>
        <w:tc>
          <w:tcPr>
            <w:tcW w:w="794" w:type="dxa"/>
            <w:shd w:val="clear" w:color="auto" w:fill="auto"/>
            <w:vAlign w:val="center"/>
            <w:hideMark/>
          </w:tcPr>
          <w:p w:rsidR="00D55184" w:rsidRDefault="00D55184">
            <w:pPr>
              <w:jc w:val="right"/>
              <w:rPr>
                <w:color w:val="000000"/>
                <w:sz w:val="20"/>
              </w:rPr>
            </w:pPr>
            <w:r>
              <w:rPr>
                <w:color w:val="000000"/>
                <w:sz w:val="20"/>
              </w:rPr>
              <w:t>1.7</w:t>
            </w:r>
          </w:p>
        </w:tc>
        <w:tc>
          <w:tcPr>
            <w:tcW w:w="794" w:type="dxa"/>
            <w:shd w:val="clear" w:color="auto" w:fill="auto"/>
            <w:vAlign w:val="center"/>
            <w:hideMark/>
          </w:tcPr>
          <w:p w:rsidR="00D55184" w:rsidRDefault="00D55184">
            <w:pPr>
              <w:jc w:val="right"/>
              <w:rPr>
                <w:color w:val="000000"/>
                <w:sz w:val="20"/>
              </w:rPr>
            </w:pPr>
            <w:r>
              <w:rPr>
                <w:color w:val="000000"/>
                <w:sz w:val="20"/>
              </w:rPr>
              <w:t>1.8</w:t>
            </w:r>
          </w:p>
        </w:tc>
        <w:tc>
          <w:tcPr>
            <w:tcW w:w="794" w:type="dxa"/>
            <w:shd w:val="clear" w:color="auto" w:fill="auto"/>
            <w:vAlign w:val="center"/>
            <w:hideMark/>
          </w:tcPr>
          <w:p w:rsidR="00D55184" w:rsidRDefault="00D55184">
            <w:pPr>
              <w:jc w:val="right"/>
              <w:rPr>
                <w:color w:val="000000"/>
                <w:sz w:val="20"/>
              </w:rPr>
            </w:pPr>
            <w:r>
              <w:rPr>
                <w:color w:val="000000"/>
                <w:sz w:val="20"/>
              </w:rPr>
              <w:t>1.9</w:t>
            </w:r>
          </w:p>
        </w:tc>
        <w:tc>
          <w:tcPr>
            <w:tcW w:w="794" w:type="dxa"/>
            <w:shd w:val="clear" w:color="auto" w:fill="auto"/>
            <w:vAlign w:val="center"/>
            <w:hideMark/>
          </w:tcPr>
          <w:p w:rsidR="00D55184" w:rsidRDefault="00D55184">
            <w:pPr>
              <w:jc w:val="right"/>
              <w:rPr>
                <w:color w:val="000000"/>
                <w:sz w:val="20"/>
              </w:rPr>
            </w:pPr>
            <w:r>
              <w:rPr>
                <w:color w:val="000000"/>
                <w:sz w:val="20"/>
              </w:rPr>
              <w:t>2.0</w:t>
            </w:r>
          </w:p>
        </w:tc>
        <w:tc>
          <w:tcPr>
            <w:tcW w:w="794" w:type="dxa"/>
            <w:shd w:val="clear" w:color="auto" w:fill="auto"/>
            <w:vAlign w:val="center"/>
            <w:hideMark/>
          </w:tcPr>
          <w:p w:rsidR="00D55184" w:rsidRDefault="00D55184">
            <w:pPr>
              <w:jc w:val="right"/>
              <w:rPr>
                <w:color w:val="000000"/>
                <w:sz w:val="20"/>
              </w:rPr>
            </w:pPr>
            <w:r>
              <w:rPr>
                <w:color w:val="000000"/>
                <w:sz w:val="20"/>
              </w:rPr>
              <w:t>2.1</w:t>
            </w:r>
          </w:p>
        </w:tc>
        <w:tc>
          <w:tcPr>
            <w:tcW w:w="794" w:type="dxa"/>
            <w:shd w:val="clear" w:color="auto" w:fill="auto"/>
            <w:vAlign w:val="center"/>
            <w:hideMark/>
          </w:tcPr>
          <w:p w:rsidR="00D55184" w:rsidRDefault="00D55184">
            <w:pPr>
              <w:jc w:val="right"/>
              <w:rPr>
                <w:color w:val="000000"/>
                <w:sz w:val="20"/>
              </w:rPr>
            </w:pPr>
            <w:r>
              <w:rPr>
                <w:color w:val="000000"/>
                <w:sz w:val="20"/>
              </w:rPr>
              <w:t>2.2</w:t>
            </w:r>
          </w:p>
        </w:tc>
        <w:tc>
          <w:tcPr>
            <w:tcW w:w="794" w:type="dxa"/>
            <w:shd w:val="clear" w:color="auto" w:fill="auto"/>
            <w:vAlign w:val="center"/>
            <w:hideMark/>
          </w:tcPr>
          <w:p w:rsidR="00D55184" w:rsidRDefault="00D55184">
            <w:pPr>
              <w:jc w:val="right"/>
              <w:rPr>
                <w:color w:val="000000"/>
                <w:sz w:val="20"/>
              </w:rPr>
            </w:pPr>
            <w:r>
              <w:rPr>
                <w:color w:val="000000"/>
                <w:sz w:val="20"/>
              </w:rPr>
              <w:t>2.2</w:t>
            </w:r>
          </w:p>
        </w:tc>
        <w:tc>
          <w:tcPr>
            <w:tcW w:w="794" w:type="dxa"/>
            <w:shd w:val="clear" w:color="auto" w:fill="auto"/>
            <w:vAlign w:val="center"/>
            <w:hideMark/>
          </w:tcPr>
          <w:p w:rsidR="00D55184" w:rsidRDefault="00D55184">
            <w:pPr>
              <w:jc w:val="right"/>
              <w:rPr>
                <w:color w:val="000000"/>
                <w:sz w:val="20"/>
              </w:rPr>
            </w:pPr>
            <w:r>
              <w:rPr>
                <w:color w:val="000000"/>
                <w:sz w:val="20"/>
              </w:rPr>
              <w:t>2.3</w:t>
            </w:r>
          </w:p>
        </w:tc>
      </w:tr>
      <w:tr w:rsidR="00D55184" w:rsidRPr="002E0107" w:rsidTr="002E0107">
        <w:trPr>
          <w:trHeight w:val="300"/>
        </w:trPr>
        <w:tc>
          <w:tcPr>
            <w:tcW w:w="4000" w:type="dxa"/>
            <w:tcBorders>
              <w:top w:val="nil"/>
              <w:bottom w:val="nil"/>
              <w:right w:val="single" w:sz="4" w:space="0" w:color="1F497D" w:themeColor="text2"/>
            </w:tcBorders>
            <w:shd w:val="clear" w:color="auto" w:fill="auto"/>
            <w:vAlign w:val="center"/>
            <w:hideMark/>
          </w:tcPr>
          <w:p w:rsidR="00D55184" w:rsidRDefault="00D55184">
            <w:pPr>
              <w:rPr>
                <w:color w:val="000000"/>
                <w:sz w:val="20"/>
                <w:lang w:eastAsia="en-AU"/>
              </w:rPr>
            </w:pPr>
            <w:r w:rsidRPr="002E0107">
              <w:rPr>
                <w:color w:val="000000"/>
                <w:sz w:val="20"/>
                <w:lang w:eastAsia="en-AU"/>
              </w:rPr>
              <w:t>Cost of disassembly</w:t>
            </w:r>
          </w:p>
        </w:tc>
        <w:tc>
          <w:tcPr>
            <w:tcW w:w="794" w:type="dxa"/>
            <w:tcBorders>
              <w:left w:val="single" w:sz="4" w:space="0" w:color="1F497D" w:themeColor="text2"/>
            </w:tcBorders>
            <w:shd w:val="clear" w:color="auto" w:fill="auto"/>
            <w:vAlign w:val="center"/>
            <w:hideMark/>
          </w:tcPr>
          <w:p w:rsidR="00D55184" w:rsidRDefault="00D55184">
            <w:pPr>
              <w:jc w:val="right"/>
              <w:rPr>
                <w:color w:val="000000"/>
                <w:sz w:val="20"/>
              </w:rPr>
            </w:pPr>
            <w:r>
              <w:rPr>
                <w:color w:val="000000"/>
                <w:sz w:val="20"/>
              </w:rPr>
              <w:t>2.0</w:t>
            </w:r>
          </w:p>
        </w:tc>
        <w:tc>
          <w:tcPr>
            <w:tcW w:w="794" w:type="dxa"/>
            <w:shd w:val="clear" w:color="auto" w:fill="auto"/>
            <w:vAlign w:val="center"/>
            <w:hideMark/>
          </w:tcPr>
          <w:p w:rsidR="00D55184" w:rsidRDefault="00D55184">
            <w:pPr>
              <w:jc w:val="right"/>
              <w:rPr>
                <w:color w:val="000000"/>
                <w:sz w:val="20"/>
              </w:rPr>
            </w:pPr>
            <w:r>
              <w:rPr>
                <w:color w:val="000000"/>
                <w:sz w:val="20"/>
              </w:rPr>
              <w:t>2.2</w:t>
            </w:r>
          </w:p>
        </w:tc>
        <w:tc>
          <w:tcPr>
            <w:tcW w:w="794" w:type="dxa"/>
            <w:shd w:val="clear" w:color="auto" w:fill="auto"/>
            <w:vAlign w:val="center"/>
            <w:hideMark/>
          </w:tcPr>
          <w:p w:rsidR="00D55184" w:rsidRDefault="00D55184">
            <w:pPr>
              <w:jc w:val="right"/>
              <w:rPr>
                <w:color w:val="000000"/>
                <w:sz w:val="20"/>
              </w:rPr>
            </w:pPr>
            <w:r>
              <w:rPr>
                <w:color w:val="000000"/>
                <w:sz w:val="20"/>
              </w:rPr>
              <w:t>2.4</w:t>
            </w:r>
          </w:p>
        </w:tc>
        <w:tc>
          <w:tcPr>
            <w:tcW w:w="794" w:type="dxa"/>
            <w:shd w:val="clear" w:color="auto" w:fill="auto"/>
            <w:vAlign w:val="center"/>
            <w:hideMark/>
          </w:tcPr>
          <w:p w:rsidR="00D55184" w:rsidRDefault="00D55184">
            <w:pPr>
              <w:jc w:val="right"/>
              <w:rPr>
                <w:color w:val="000000"/>
                <w:sz w:val="20"/>
              </w:rPr>
            </w:pPr>
            <w:r>
              <w:rPr>
                <w:color w:val="000000"/>
                <w:sz w:val="20"/>
              </w:rPr>
              <w:t>2.6</w:t>
            </w:r>
          </w:p>
        </w:tc>
        <w:tc>
          <w:tcPr>
            <w:tcW w:w="794" w:type="dxa"/>
            <w:shd w:val="clear" w:color="auto" w:fill="auto"/>
            <w:vAlign w:val="center"/>
            <w:hideMark/>
          </w:tcPr>
          <w:p w:rsidR="00D55184" w:rsidRDefault="00D55184">
            <w:pPr>
              <w:jc w:val="right"/>
              <w:rPr>
                <w:color w:val="000000"/>
                <w:sz w:val="20"/>
              </w:rPr>
            </w:pPr>
            <w:r>
              <w:rPr>
                <w:color w:val="000000"/>
                <w:sz w:val="20"/>
              </w:rPr>
              <w:t>2.7</w:t>
            </w:r>
          </w:p>
        </w:tc>
        <w:tc>
          <w:tcPr>
            <w:tcW w:w="794" w:type="dxa"/>
            <w:shd w:val="clear" w:color="auto" w:fill="auto"/>
            <w:vAlign w:val="center"/>
            <w:hideMark/>
          </w:tcPr>
          <w:p w:rsidR="00D55184" w:rsidRDefault="00D55184">
            <w:pPr>
              <w:jc w:val="right"/>
              <w:rPr>
                <w:color w:val="000000"/>
                <w:sz w:val="20"/>
              </w:rPr>
            </w:pPr>
            <w:r>
              <w:rPr>
                <w:color w:val="000000"/>
                <w:sz w:val="20"/>
              </w:rPr>
              <w:t>2.8</w:t>
            </w:r>
          </w:p>
        </w:tc>
        <w:tc>
          <w:tcPr>
            <w:tcW w:w="794" w:type="dxa"/>
            <w:shd w:val="clear" w:color="auto" w:fill="auto"/>
            <w:vAlign w:val="center"/>
            <w:hideMark/>
          </w:tcPr>
          <w:p w:rsidR="00D55184" w:rsidRDefault="00D55184">
            <w:pPr>
              <w:jc w:val="right"/>
              <w:rPr>
                <w:color w:val="000000"/>
                <w:sz w:val="20"/>
              </w:rPr>
            </w:pPr>
            <w:r>
              <w:rPr>
                <w:color w:val="000000"/>
                <w:sz w:val="20"/>
              </w:rPr>
              <w:t>3.0</w:t>
            </w:r>
          </w:p>
        </w:tc>
        <w:tc>
          <w:tcPr>
            <w:tcW w:w="794" w:type="dxa"/>
            <w:shd w:val="clear" w:color="auto" w:fill="auto"/>
            <w:vAlign w:val="center"/>
            <w:hideMark/>
          </w:tcPr>
          <w:p w:rsidR="00D55184" w:rsidRDefault="00D55184">
            <w:pPr>
              <w:jc w:val="right"/>
              <w:rPr>
                <w:color w:val="000000"/>
                <w:sz w:val="20"/>
              </w:rPr>
            </w:pPr>
            <w:r>
              <w:rPr>
                <w:color w:val="000000"/>
                <w:sz w:val="20"/>
              </w:rPr>
              <w:t>3.0</w:t>
            </w:r>
          </w:p>
        </w:tc>
        <w:tc>
          <w:tcPr>
            <w:tcW w:w="794" w:type="dxa"/>
            <w:shd w:val="clear" w:color="auto" w:fill="auto"/>
            <w:vAlign w:val="center"/>
            <w:hideMark/>
          </w:tcPr>
          <w:p w:rsidR="00D55184" w:rsidRDefault="00D55184">
            <w:pPr>
              <w:jc w:val="right"/>
              <w:rPr>
                <w:color w:val="000000"/>
                <w:sz w:val="20"/>
              </w:rPr>
            </w:pPr>
            <w:r>
              <w:rPr>
                <w:color w:val="000000"/>
                <w:sz w:val="20"/>
              </w:rPr>
              <w:t>3.1</w:t>
            </w:r>
          </w:p>
        </w:tc>
        <w:tc>
          <w:tcPr>
            <w:tcW w:w="794" w:type="dxa"/>
            <w:shd w:val="clear" w:color="auto" w:fill="auto"/>
            <w:vAlign w:val="center"/>
            <w:hideMark/>
          </w:tcPr>
          <w:p w:rsidR="00D55184" w:rsidRDefault="00D55184">
            <w:pPr>
              <w:jc w:val="right"/>
              <w:rPr>
                <w:color w:val="000000"/>
                <w:sz w:val="20"/>
              </w:rPr>
            </w:pPr>
            <w:r>
              <w:rPr>
                <w:color w:val="000000"/>
                <w:sz w:val="20"/>
              </w:rPr>
              <w:t>3.1</w:t>
            </w:r>
          </w:p>
        </w:tc>
        <w:tc>
          <w:tcPr>
            <w:tcW w:w="794" w:type="dxa"/>
            <w:shd w:val="clear" w:color="auto" w:fill="auto"/>
            <w:vAlign w:val="center"/>
            <w:hideMark/>
          </w:tcPr>
          <w:p w:rsidR="00D55184" w:rsidRDefault="00D55184">
            <w:pPr>
              <w:jc w:val="right"/>
              <w:rPr>
                <w:color w:val="000000"/>
                <w:sz w:val="20"/>
              </w:rPr>
            </w:pPr>
            <w:r>
              <w:rPr>
                <w:color w:val="000000"/>
                <w:sz w:val="20"/>
              </w:rPr>
              <w:t>3.0</w:t>
            </w:r>
          </w:p>
        </w:tc>
      </w:tr>
      <w:tr w:rsidR="00D55184" w:rsidRPr="002E0107" w:rsidTr="002E0107">
        <w:trPr>
          <w:trHeight w:val="300"/>
        </w:trPr>
        <w:tc>
          <w:tcPr>
            <w:tcW w:w="4000" w:type="dxa"/>
            <w:tcBorders>
              <w:top w:val="nil"/>
              <w:bottom w:val="single" w:sz="4" w:space="0" w:color="1F497D" w:themeColor="text2"/>
              <w:right w:val="single" w:sz="4" w:space="0" w:color="1F497D" w:themeColor="text2"/>
            </w:tcBorders>
            <w:shd w:val="clear" w:color="auto" w:fill="auto"/>
            <w:vAlign w:val="center"/>
            <w:hideMark/>
          </w:tcPr>
          <w:p w:rsidR="00D55184" w:rsidRDefault="00D55184">
            <w:pPr>
              <w:rPr>
                <w:b/>
                <w:bCs/>
                <w:color w:val="000000"/>
                <w:sz w:val="20"/>
                <w:lang w:eastAsia="en-AU"/>
              </w:rPr>
            </w:pPr>
            <w:r w:rsidRPr="002E0107">
              <w:rPr>
                <w:b/>
                <w:bCs/>
                <w:color w:val="000000"/>
                <w:sz w:val="20"/>
                <w:lang w:eastAsia="en-AU"/>
              </w:rPr>
              <w:t>Total Costs</w:t>
            </w:r>
          </w:p>
        </w:tc>
        <w:tc>
          <w:tcPr>
            <w:tcW w:w="794" w:type="dxa"/>
            <w:tcBorders>
              <w:left w:val="single" w:sz="4" w:space="0" w:color="1F497D" w:themeColor="text2"/>
              <w:bottom w:val="single" w:sz="4" w:space="0" w:color="1F497D" w:themeColor="text2"/>
            </w:tcBorders>
            <w:shd w:val="clear" w:color="auto" w:fill="auto"/>
            <w:vAlign w:val="center"/>
            <w:hideMark/>
          </w:tcPr>
          <w:p w:rsidR="00D55184" w:rsidRDefault="00D55184">
            <w:pPr>
              <w:jc w:val="right"/>
              <w:rPr>
                <w:b/>
                <w:bCs/>
                <w:color w:val="000000"/>
                <w:sz w:val="20"/>
              </w:rPr>
            </w:pPr>
            <w:r>
              <w:rPr>
                <w:b/>
                <w:bCs/>
                <w:color w:val="000000"/>
                <w:sz w:val="20"/>
              </w:rPr>
              <w:t>4.4</w:t>
            </w:r>
          </w:p>
        </w:tc>
        <w:tc>
          <w:tcPr>
            <w:tcW w:w="794" w:type="dxa"/>
            <w:tcBorders>
              <w:bottom w:val="single" w:sz="4" w:space="0" w:color="1F497D" w:themeColor="text2"/>
            </w:tcBorders>
            <w:shd w:val="clear" w:color="auto" w:fill="auto"/>
            <w:vAlign w:val="center"/>
            <w:hideMark/>
          </w:tcPr>
          <w:p w:rsidR="00D55184" w:rsidRDefault="00D55184">
            <w:pPr>
              <w:jc w:val="right"/>
              <w:rPr>
                <w:b/>
                <w:bCs/>
                <w:color w:val="000000"/>
                <w:sz w:val="20"/>
              </w:rPr>
            </w:pPr>
            <w:r>
              <w:rPr>
                <w:b/>
                <w:bCs/>
                <w:color w:val="000000"/>
                <w:sz w:val="20"/>
              </w:rPr>
              <w:t>4.5</w:t>
            </w:r>
          </w:p>
        </w:tc>
        <w:tc>
          <w:tcPr>
            <w:tcW w:w="794" w:type="dxa"/>
            <w:tcBorders>
              <w:bottom w:val="single" w:sz="4" w:space="0" w:color="1F497D" w:themeColor="text2"/>
            </w:tcBorders>
            <w:shd w:val="clear" w:color="auto" w:fill="auto"/>
            <w:vAlign w:val="center"/>
            <w:hideMark/>
          </w:tcPr>
          <w:p w:rsidR="00D55184" w:rsidRDefault="00D55184">
            <w:pPr>
              <w:jc w:val="right"/>
              <w:rPr>
                <w:b/>
                <w:bCs/>
                <w:color w:val="000000"/>
                <w:sz w:val="20"/>
              </w:rPr>
            </w:pPr>
            <w:r>
              <w:rPr>
                <w:b/>
                <w:bCs/>
                <w:color w:val="000000"/>
                <w:sz w:val="20"/>
              </w:rPr>
              <w:t>4.3</w:t>
            </w:r>
          </w:p>
        </w:tc>
        <w:tc>
          <w:tcPr>
            <w:tcW w:w="794" w:type="dxa"/>
            <w:tcBorders>
              <w:bottom w:val="single" w:sz="4" w:space="0" w:color="1F497D" w:themeColor="text2"/>
            </w:tcBorders>
            <w:shd w:val="clear" w:color="auto" w:fill="auto"/>
            <w:vAlign w:val="center"/>
            <w:hideMark/>
          </w:tcPr>
          <w:p w:rsidR="00D55184" w:rsidRDefault="00D55184">
            <w:pPr>
              <w:jc w:val="right"/>
              <w:rPr>
                <w:b/>
                <w:bCs/>
                <w:color w:val="000000"/>
                <w:sz w:val="20"/>
              </w:rPr>
            </w:pPr>
            <w:r>
              <w:rPr>
                <w:b/>
                <w:bCs/>
                <w:color w:val="000000"/>
                <w:sz w:val="20"/>
              </w:rPr>
              <w:t>4.5</w:t>
            </w:r>
          </w:p>
        </w:tc>
        <w:tc>
          <w:tcPr>
            <w:tcW w:w="794" w:type="dxa"/>
            <w:tcBorders>
              <w:bottom w:val="single" w:sz="4" w:space="0" w:color="1F497D" w:themeColor="text2"/>
            </w:tcBorders>
            <w:shd w:val="clear" w:color="auto" w:fill="auto"/>
            <w:vAlign w:val="center"/>
            <w:hideMark/>
          </w:tcPr>
          <w:p w:rsidR="00D55184" w:rsidRDefault="00D55184">
            <w:pPr>
              <w:jc w:val="right"/>
              <w:rPr>
                <w:b/>
                <w:bCs/>
                <w:color w:val="000000"/>
                <w:sz w:val="20"/>
              </w:rPr>
            </w:pPr>
            <w:r>
              <w:rPr>
                <w:b/>
                <w:bCs/>
                <w:color w:val="000000"/>
                <w:sz w:val="20"/>
              </w:rPr>
              <w:t>4.7</w:t>
            </w:r>
          </w:p>
        </w:tc>
        <w:tc>
          <w:tcPr>
            <w:tcW w:w="794" w:type="dxa"/>
            <w:tcBorders>
              <w:bottom w:val="single" w:sz="4" w:space="0" w:color="1F497D" w:themeColor="text2"/>
            </w:tcBorders>
            <w:shd w:val="clear" w:color="auto" w:fill="auto"/>
            <w:vAlign w:val="center"/>
            <w:hideMark/>
          </w:tcPr>
          <w:p w:rsidR="00D55184" w:rsidRDefault="00D55184">
            <w:pPr>
              <w:jc w:val="right"/>
              <w:rPr>
                <w:b/>
                <w:bCs/>
                <w:color w:val="000000"/>
                <w:sz w:val="20"/>
              </w:rPr>
            </w:pPr>
            <w:r>
              <w:rPr>
                <w:b/>
                <w:bCs/>
                <w:color w:val="000000"/>
                <w:sz w:val="20"/>
              </w:rPr>
              <w:t>5.0</w:t>
            </w:r>
          </w:p>
        </w:tc>
        <w:tc>
          <w:tcPr>
            <w:tcW w:w="794" w:type="dxa"/>
            <w:tcBorders>
              <w:bottom w:val="single" w:sz="4" w:space="0" w:color="1F497D" w:themeColor="text2"/>
            </w:tcBorders>
            <w:shd w:val="clear" w:color="auto" w:fill="auto"/>
            <w:vAlign w:val="center"/>
            <w:hideMark/>
          </w:tcPr>
          <w:p w:rsidR="00D55184" w:rsidRDefault="00D55184">
            <w:pPr>
              <w:jc w:val="right"/>
              <w:rPr>
                <w:b/>
                <w:bCs/>
                <w:color w:val="000000"/>
                <w:sz w:val="20"/>
              </w:rPr>
            </w:pPr>
            <w:r>
              <w:rPr>
                <w:b/>
                <w:bCs/>
                <w:color w:val="000000"/>
                <w:sz w:val="20"/>
              </w:rPr>
              <w:t>5.2</w:t>
            </w:r>
          </w:p>
        </w:tc>
        <w:tc>
          <w:tcPr>
            <w:tcW w:w="794" w:type="dxa"/>
            <w:tcBorders>
              <w:bottom w:val="single" w:sz="4" w:space="0" w:color="1F497D" w:themeColor="text2"/>
            </w:tcBorders>
            <w:shd w:val="clear" w:color="auto" w:fill="auto"/>
            <w:vAlign w:val="center"/>
            <w:hideMark/>
          </w:tcPr>
          <w:p w:rsidR="00D55184" w:rsidRDefault="00D55184">
            <w:pPr>
              <w:jc w:val="right"/>
              <w:rPr>
                <w:b/>
                <w:bCs/>
                <w:color w:val="000000"/>
                <w:sz w:val="20"/>
              </w:rPr>
            </w:pPr>
            <w:r>
              <w:rPr>
                <w:b/>
                <w:bCs/>
                <w:color w:val="000000"/>
                <w:sz w:val="20"/>
              </w:rPr>
              <w:t>5.3</w:t>
            </w:r>
          </w:p>
        </w:tc>
        <w:tc>
          <w:tcPr>
            <w:tcW w:w="794" w:type="dxa"/>
            <w:tcBorders>
              <w:bottom w:val="single" w:sz="4" w:space="0" w:color="1F497D" w:themeColor="text2"/>
            </w:tcBorders>
            <w:shd w:val="clear" w:color="auto" w:fill="auto"/>
            <w:vAlign w:val="center"/>
            <w:hideMark/>
          </w:tcPr>
          <w:p w:rsidR="00D55184" w:rsidRDefault="00D55184">
            <w:pPr>
              <w:jc w:val="right"/>
              <w:rPr>
                <w:b/>
                <w:bCs/>
                <w:color w:val="000000"/>
                <w:sz w:val="20"/>
              </w:rPr>
            </w:pPr>
            <w:r>
              <w:rPr>
                <w:b/>
                <w:bCs/>
                <w:color w:val="000000"/>
                <w:sz w:val="20"/>
              </w:rPr>
              <w:t>5.5</w:t>
            </w:r>
          </w:p>
        </w:tc>
        <w:tc>
          <w:tcPr>
            <w:tcW w:w="794" w:type="dxa"/>
            <w:tcBorders>
              <w:bottom w:val="single" w:sz="4" w:space="0" w:color="1F497D" w:themeColor="text2"/>
            </w:tcBorders>
            <w:shd w:val="clear" w:color="auto" w:fill="auto"/>
            <w:vAlign w:val="center"/>
            <w:hideMark/>
          </w:tcPr>
          <w:p w:rsidR="00D55184" w:rsidRDefault="00D55184">
            <w:pPr>
              <w:jc w:val="right"/>
              <w:rPr>
                <w:b/>
                <w:bCs/>
                <w:color w:val="000000"/>
                <w:sz w:val="20"/>
              </w:rPr>
            </w:pPr>
            <w:r>
              <w:rPr>
                <w:b/>
                <w:bCs/>
                <w:color w:val="000000"/>
                <w:sz w:val="20"/>
              </w:rPr>
              <w:t>5.5</w:t>
            </w:r>
          </w:p>
        </w:tc>
        <w:tc>
          <w:tcPr>
            <w:tcW w:w="794" w:type="dxa"/>
            <w:tcBorders>
              <w:bottom w:val="single" w:sz="4" w:space="0" w:color="1F497D" w:themeColor="text2"/>
            </w:tcBorders>
            <w:shd w:val="clear" w:color="auto" w:fill="auto"/>
            <w:vAlign w:val="center"/>
            <w:hideMark/>
          </w:tcPr>
          <w:p w:rsidR="00D55184" w:rsidRDefault="00D55184">
            <w:pPr>
              <w:jc w:val="right"/>
              <w:rPr>
                <w:b/>
                <w:bCs/>
                <w:color w:val="000000"/>
                <w:sz w:val="20"/>
              </w:rPr>
            </w:pPr>
            <w:r>
              <w:rPr>
                <w:b/>
                <w:bCs/>
                <w:color w:val="000000"/>
                <w:sz w:val="20"/>
              </w:rPr>
              <w:t>5.6</w:t>
            </w:r>
          </w:p>
        </w:tc>
      </w:tr>
      <w:tr w:rsidR="002E0107" w:rsidRPr="002E0107" w:rsidTr="002E0107">
        <w:trPr>
          <w:trHeight w:val="300"/>
        </w:trPr>
        <w:tc>
          <w:tcPr>
            <w:tcW w:w="4000" w:type="dxa"/>
            <w:tcBorders>
              <w:top w:val="single" w:sz="4" w:space="0" w:color="1F497D" w:themeColor="text2"/>
              <w:bottom w:val="nil"/>
              <w:right w:val="single" w:sz="4" w:space="0" w:color="1F497D" w:themeColor="text2"/>
            </w:tcBorders>
            <w:shd w:val="clear" w:color="auto" w:fill="C6D9F1" w:themeFill="text2" w:themeFillTint="33"/>
            <w:vAlign w:val="center"/>
            <w:hideMark/>
          </w:tcPr>
          <w:p w:rsidR="0085085D" w:rsidRDefault="002E0107">
            <w:pPr>
              <w:rPr>
                <w:b/>
                <w:bCs/>
                <w:color w:val="000000"/>
                <w:sz w:val="20"/>
                <w:lang w:eastAsia="en-AU"/>
              </w:rPr>
            </w:pPr>
            <w:r w:rsidRPr="002E0107">
              <w:rPr>
                <w:b/>
                <w:bCs/>
                <w:color w:val="000000"/>
                <w:sz w:val="20"/>
                <w:lang w:eastAsia="en-AU"/>
              </w:rPr>
              <w:t>Benefits</w:t>
            </w:r>
          </w:p>
        </w:tc>
        <w:tc>
          <w:tcPr>
            <w:tcW w:w="794" w:type="dxa"/>
            <w:tcBorders>
              <w:top w:val="single" w:sz="4" w:space="0" w:color="1F497D" w:themeColor="text2"/>
              <w:left w:val="single" w:sz="4" w:space="0" w:color="1F497D" w:themeColor="text2"/>
              <w:bottom w:val="nil"/>
            </w:tcBorders>
            <w:shd w:val="clear" w:color="auto" w:fill="C6D9F1" w:themeFill="text2" w:themeFillTint="33"/>
            <w:noWrap/>
            <w:vAlign w:val="center"/>
            <w:hideMark/>
          </w:tcPr>
          <w:p w:rsidR="0081406E" w:rsidRDefault="0081406E">
            <w:pPr>
              <w:jc w:val="right"/>
              <w:rPr>
                <w:color w:val="000000"/>
                <w:sz w:val="20"/>
                <w:lang w:eastAsia="en-AU"/>
              </w:rPr>
            </w:pPr>
          </w:p>
        </w:tc>
        <w:tc>
          <w:tcPr>
            <w:tcW w:w="794" w:type="dxa"/>
            <w:tcBorders>
              <w:top w:val="single" w:sz="4" w:space="0" w:color="1F497D" w:themeColor="text2"/>
              <w:bottom w:val="nil"/>
            </w:tcBorders>
            <w:shd w:val="clear" w:color="auto" w:fill="C6D9F1" w:themeFill="text2" w:themeFillTint="33"/>
            <w:noWrap/>
            <w:vAlign w:val="center"/>
            <w:hideMark/>
          </w:tcPr>
          <w:p w:rsidR="0081406E" w:rsidRDefault="0081406E">
            <w:pPr>
              <w:jc w:val="right"/>
              <w:rPr>
                <w:color w:val="000000"/>
                <w:sz w:val="20"/>
                <w:lang w:eastAsia="en-AU"/>
              </w:rPr>
            </w:pPr>
          </w:p>
        </w:tc>
        <w:tc>
          <w:tcPr>
            <w:tcW w:w="794" w:type="dxa"/>
            <w:tcBorders>
              <w:top w:val="single" w:sz="4" w:space="0" w:color="1F497D" w:themeColor="text2"/>
              <w:bottom w:val="nil"/>
            </w:tcBorders>
            <w:shd w:val="clear" w:color="auto" w:fill="C6D9F1" w:themeFill="text2" w:themeFillTint="33"/>
            <w:noWrap/>
            <w:vAlign w:val="center"/>
            <w:hideMark/>
          </w:tcPr>
          <w:p w:rsidR="0081406E" w:rsidRDefault="0081406E">
            <w:pPr>
              <w:jc w:val="right"/>
              <w:rPr>
                <w:color w:val="000000"/>
                <w:sz w:val="20"/>
                <w:lang w:eastAsia="en-AU"/>
              </w:rPr>
            </w:pPr>
          </w:p>
        </w:tc>
        <w:tc>
          <w:tcPr>
            <w:tcW w:w="794" w:type="dxa"/>
            <w:tcBorders>
              <w:top w:val="single" w:sz="4" w:space="0" w:color="1F497D" w:themeColor="text2"/>
              <w:bottom w:val="nil"/>
            </w:tcBorders>
            <w:shd w:val="clear" w:color="auto" w:fill="C6D9F1" w:themeFill="text2" w:themeFillTint="33"/>
            <w:noWrap/>
            <w:vAlign w:val="center"/>
            <w:hideMark/>
          </w:tcPr>
          <w:p w:rsidR="0081406E" w:rsidRDefault="0081406E">
            <w:pPr>
              <w:jc w:val="right"/>
              <w:rPr>
                <w:color w:val="000000"/>
                <w:sz w:val="20"/>
                <w:lang w:eastAsia="en-AU"/>
              </w:rPr>
            </w:pPr>
          </w:p>
        </w:tc>
        <w:tc>
          <w:tcPr>
            <w:tcW w:w="794" w:type="dxa"/>
            <w:tcBorders>
              <w:top w:val="single" w:sz="4" w:space="0" w:color="1F497D" w:themeColor="text2"/>
              <w:bottom w:val="nil"/>
            </w:tcBorders>
            <w:shd w:val="clear" w:color="auto" w:fill="C6D9F1" w:themeFill="text2" w:themeFillTint="33"/>
            <w:noWrap/>
            <w:vAlign w:val="center"/>
            <w:hideMark/>
          </w:tcPr>
          <w:p w:rsidR="0081406E" w:rsidRDefault="0081406E">
            <w:pPr>
              <w:jc w:val="right"/>
              <w:rPr>
                <w:color w:val="000000"/>
                <w:sz w:val="20"/>
                <w:lang w:eastAsia="en-AU"/>
              </w:rPr>
            </w:pPr>
          </w:p>
        </w:tc>
        <w:tc>
          <w:tcPr>
            <w:tcW w:w="794" w:type="dxa"/>
            <w:tcBorders>
              <w:top w:val="single" w:sz="4" w:space="0" w:color="1F497D" w:themeColor="text2"/>
              <w:bottom w:val="nil"/>
            </w:tcBorders>
            <w:shd w:val="clear" w:color="auto" w:fill="C6D9F1" w:themeFill="text2" w:themeFillTint="33"/>
            <w:noWrap/>
            <w:vAlign w:val="center"/>
            <w:hideMark/>
          </w:tcPr>
          <w:p w:rsidR="0081406E" w:rsidRDefault="0081406E">
            <w:pPr>
              <w:jc w:val="right"/>
              <w:rPr>
                <w:color w:val="000000"/>
                <w:sz w:val="20"/>
                <w:lang w:eastAsia="en-AU"/>
              </w:rPr>
            </w:pPr>
          </w:p>
        </w:tc>
        <w:tc>
          <w:tcPr>
            <w:tcW w:w="794" w:type="dxa"/>
            <w:tcBorders>
              <w:top w:val="single" w:sz="4" w:space="0" w:color="1F497D" w:themeColor="text2"/>
              <w:bottom w:val="nil"/>
            </w:tcBorders>
            <w:shd w:val="clear" w:color="auto" w:fill="C6D9F1" w:themeFill="text2" w:themeFillTint="33"/>
            <w:noWrap/>
            <w:vAlign w:val="center"/>
            <w:hideMark/>
          </w:tcPr>
          <w:p w:rsidR="0081406E" w:rsidRDefault="0081406E">
            <w:pPr>
              <w:jc w:val="right"/>
              <w:rPr>
                <w:color w:val="000000"/>
                <w:sz w:val="20"/>
                <w:lang w:eastAsia="en-AU"/>
              </w:rPr>
            </w:pPr>
          </w:p>
        </w:tc>
        <w:tc>
          <w:tcPr>
            <w:tcW w:w="794" w:type="dxa"/>
            <w:tcBorders>
              <w:top w:val="single" w:sz="4" w:space="0" w:color="1F497D" w:themeColor="text2"/>
              <w:bottom w:val="nil"/>
            </w:tcBorders>
            <w:shd w:val="clear" w:color="auto" w:fill="C6D9F1" w:themeFill="text2" w:themeFillTint="33"/>
            <w:noWrap/>
            <w:vAlign w:val="center"/>
            <w:hideMark/>
          </w:tcPr>
          <w:p w:rsidR="0081406E" w:rsidRDefault="0081406E">
            <w:pPr>
              <w:jc w:val="right"/>
              <w:rPr>
                <w:color w:val="000000"/>
                <w:sz w:val="20"/>
                <w:lang w:eastAsia="en-AU"/>
              </w:rPr>
            </w:pPr>
          </w:p>
        </w:tc>
        <w:tc>
          <w:tcPr>
            <w:tcW w:w="794" w:type="dxa"/>
            <w:tcBorders>
              <w:top w:val="single" w:sz="4" w:space="0" w:color="1F497D" w:themeColor="text2"/>
              <w:bottom w:val="nil"/>
            </w:tcBorders>
            <w:shd w:val="clear" w:color="auto" w:fill="C6D9F1" w:themeFill="text2" w:themeFillTint="33"/>
            <w:noWrap/>
            <w:vAlign w:val="center"/>
            <w:hideMark/>
          </w:tcPr>
          <w:p w:rsidR="0081406E" w:rsidRDefault="0081406E">
            <w:pPr>
              <w:jc w:val="right"/>
              <w:rPr>
                <w:color w:val="000000"/>
                <w:sz w:val="20"/>
                <w:lang w:eastAsia="en-AU"/>
              </w:rPr>
            </w:pPr>
          </w:p>
        </w:tc>
        <w:tc>
          <w:tcPr>
            <w:tcW w:w="794" w:type="dxa"/>
            <w:tcBorders>
              <w:top w:val="single" w:sz="4" w:space="0" w:color="1F497D" w:themeColor="text2"/>
              <w:bottom w:val="nil"/>
            </w:tcBorders>
            <w:shd w:val="clear" w:color="auto" w:fill="C6D9F1" w:themeFill="text2" w:themeFillTint="33"/>
            <w:noWrap/>
            <w:vAlign w:val="center"/>
            <w:hideMark/>
          </w:tcPr>
          <w:p w:rsidR="0081406E" w:rsidRDefault="0081406E">
            <w:pPr>
              <w:jc w:val="right"/>
              <w:rPr>
                <w:color w:val="000000"/>
                <w:sz w:val="20"/>
                <w:lang w:eastAsia="en-AU"/>
              </w:rPr>
            </w:pPr>
          </w:p>
        </w:tc>
        <w:tc>
          <w:tcPr>
            <w:tcW w:w="794" w:type="dxa"/>
            <w:tcBorders>
              <w:top w:val="single" w:sz="4" w:space="0" w:color="1F497D" w:themeColor="text2"/>
              <w:bottom w:val="nil"/>
            </w:tcBorders>
            <w:shd w:val="clear" w:color="auto" w:fill="C6D9F1" w:themeFill="text2" w:themeFillTint="33"/>
            <w:noWrap/>
            <w:vAlign w:val="center"/>
            <w:hideMark/>
          </w:tcPr>
          <w:p w:rsidR="0081406E" w:rsidRDefault="0081406E">
            <w:pPr>
              <w:jc w:val="right"/>
              <w:rPr>
                <w:color w:val="000000"/>
                <w:sz w:val="20"/>
                <w:lang w:eastAsia="en-AU"/>
              </w:rPr>
            </w:pPr>
          </w:p>
        </w:tc>
      </w:tr>
      <w:tr w:rsidR="00DA6B3F" w:rsidRPr="002E0107" w:rsidTr="0016103D">
        <w:trPr>
          <w:trHeight w:val="300"/>
        </w:trPr>
        <w:tc>
          <w:tcPr>
            <w:tcW w:w="4000" w:type="dxa"/>
            <w:tcBorders>
              <w:top w:val="nil"/>
              <w:bottom w:val="nil"/>
              <w:right w:val="single" w:sz="4" w:space="0" w:color="1F497D" w:themeColor="text2"/>
            </w:tcBorders>
            <w:shd w:val="clear" w:color="auto" w:fill="auto"/>
            <w:vAlign w:val="center"/>
            <w:hideMark/>
          </w:tcPr>
          <w:p w:rsidR="00DA6B3F" w:rsidRDefault="00DA6B3F" w:rsidP="0016103D">
            <w:pPr>
              <w:rPr>
                <w:color w:val="000000"/>
                <w:sz w:val="20"/>
              </w:rPr>
            </w:pPr>
            <w:r>
              <w:rPr>
                <w:color w:val="000000"/>
                <w:sz w:val="20"/>
              </w:rPr>
              <w:t>Avoided landfill costs – waste management</w:t>
            </w:r>
          </w:p>
        </w:tc>
        <w:tc>
          <w:tcPr>
            <w:tcW w:w="794" w:type="dxa"/>
            <w:tcBorders>
              <w:top w:val="nil"/>
              <w:left w:val="single" w:sz="4" w:space="0" w:color="1F497D" w:themeColor="text2"/>
              <w:bottom w:val="nil"/>
            </w:tcBorders>
            <w:shd w:val="clear" w:color="auto" w:fill="auto"/>
            <w:vAlign w:val="center"/>
            <w:hideMark/>
          </w:tcPr>
          <w:p w:rsidR="00DA6B3F" w:rsidRDefault="00DA6B3F">
            <w:pPr>
              <w:jc w:val="right"/>
              <w:rPr>
                <w:color w:val="000000"/>
                <w:sz w:val="20"/>
              </w:rPr>
            </w:pPr>
            <w:r>
              <w:rPr>
                <w:color w:val="000000"/>
                <w:sz w:val="20"/>
              </w:rPr>
              <w:t>0.2</w:t>
            </w:r>
          </w:p>
        </w:tc>
        <w:tc>
          <w:tcPr>
            <w:tcW w:w="794" w:type="dxa"/>
            <w:tcBorders>
              <w:top w:val="nil"/>
              <w:bottom w:val="nil"/>
            </w:tcBorders>
            <w:shd w:val="clear" w:color="auto" w:fill="auto"/>
            <w:vAlign w:val="center"/>
            <w:hideMark/>
          </w:tcPr>
          <w:p w:rsidR="00DA6B3F" w:rsidRDefault="00DA6B3F">
            <w:pPr>
              <w:jc w:val="right"/>
              <w:rPr>
                <w:color w:val="000000"/>
                <w:sz w:val="20"/>
              </w:rPr>
            </w:pPr>
            <w:r>
              <w:rPr>
                <w:color w:val="000000"/>
                <w:sz w:val="20"/>
              </w:rPr>
              <w:t>0.2</w:t>
            </w:r>
          </w:p>
        </w:tc>
        <w:tc>
          <w:tcPr>
            <w:tcW w:w="794" w:type="dxa"/>
            <w:tcBorders>
              <w:top w:val="nil"/>
              <w:bottom w:val="nil"/>
            </w:tcBorders>
            <w:shd w:val="clear" w:color="auto" w:fill="auto"/>
            <w:vAlign w:val="center"/>
            <w:hideMark/>
          </w:tcPr>
          <w:p w:rsidR="00DA6B3F" w:rsidRDefault="00DA6B3F">
            <w:pPr>
              <w:jc w:val="right"/>
              <w:rPr>
                <w:color w:val="000000"/>
                <w:sz w:val="20"/>
              </w:rPr>
            </w:pPr>
            <w:r>
              <w:rPr>
                <w:color w:val="000000"/>
                <w:sz w:val="20"/>
              </w:rPr>
              <w:t>0.2</w:t>
            </w:r>
          </w:p>
        </w:tc>
        <w:tc>
          <w:tcPr>
            <w:tcW w:w="794" w:type="dxa"/>
            <w:tcBorders>
              <w:top w:val="nil"/>
              <w:bottom w:val="nil"/>
            </w:tcBorders>
            <w:shd w:val="clear" w:color="auto" w:fill="auto"/>
            <w:vAlign w:val="center"/>
            <w:hideMark/>
          </w:tcPr>
          <w:p w:rsidR="00DA6B3F" w:rsidRDefault="00DA6B3F">
            <w:pPr>
              <w:jc w:val="right"/>
              <w:rPr>
                <w:color w:val="000000"/>
                <w:sz w:val="20"/>
              </w:rPr>
            </w:pPr>
            <w:r>
              <w:rPr>
                <w:color w:val="000000"/>
                <w:sz w:val="20"/>
              </w:rPr>
              <w:t>0.2</w:t>
            </w:r>
          </w:p>
        </w:tc>
        <w:tc>
          <w:tcPr>
            <w:tcW w:w="794" w:type="dxa"/>
            <w:tcBorders>
              <w:top w:val="nil"/>
              <w:bottom w:val="nil"/>
            </w:tcBorders>
            <w:shd w:val="clear" w:color="auto" w:fill="auto"/>
            <w:vAlign w:val="center"/>
            <w:hideMark/>
          </w:tcPr>
          <w:p w:rsidR="00DA6B3F" w:rsidRDefault="00DA6B3F">
            <w:pPr>
              <w:jc w:val="right"/>
              <w:rPr>
                <w:color w:val="000000"/>
                <w:sz w:val="20"/>
              </w:rPr>
            </w:pPr>
            <w:r>
              <w:rPr>
                <w:color w:val="000000"/>
                <w:sz w:val="20"/>
              </w:rPr>
              <w:t>0.2</w:t>
            </w:r>
          </w:p>
        </w:tc>
        <w:tc>
          <w:tcPr>
            <w:tcW w:w="794" w:type="dxa"/>
            <w:tcBorders>
              <w:top w:val="nil"/>
              <w:bottom w:val="nil"/>
            </w:tcBorders>
            <w:shd w:val="clear" w:color="auto" w:fill="auto"/>
            <w:vAlign w:val="center"/>
            <w:hideMark/>
          </w:tcPr>
          <w:p w:rsidR="00DA6B3F" w:rsidRDefault="00DA6B3F">
            <w:pPr>
              <w:jc w:val="right"/>
              <w:rPr>
                <w:color w:val="000000"/>
                <w:sz w:val="20"/>
              </w:rPr>
            </w:pPr>
            <w:r>
              <w:rPr>
                <w:color w:val="000000"/>
                <w:sz w:val="20"/>
              </w:rPr>
              <w:t>0.2</w:t>
            </w:r>
          </w:p>
        </w:tc>
        <w:tc>
          <w:tcPr>
            <w:tcW w:w="794" w:type="dxa"/>
            <w:tcBorders>
              <w:top w:val="nil"/>
              <w:bottom w:val="nil"/>
            </w:tcBorders>
            <w:shd w:val="clear" w:color="auto" w:fill="auto"/>
            <w:vAlign w:val="center"/>
            <w:hideMark/>
          </w:tcPr>
          <w:p w:rsidR="00DA6B3F" w:rsidRDefault="00DA6B3F">
            <w:pPr>
              <w:jc w:val="right"/>
              <w:rPr>
                <w:color w:val="000000"/>
                <w:sz w:val="20"/>
              </w:rPr>
            </w:pPr>
            <w:r>
              <w:rPr>
                <w:color w:val="000000"/>
                <w:sz w:val="20"/>
              </w:rPr>
              <w:t>0.2</w:t>
            </w:r>
          </w:p>
        </w:tc>
        <w:tc>
          <w:tcPr>
            <w:tcW w:w="794" w:type="dxa"/>
            <w:tcBorders>
              <w:top w:val="nil"/>
              <w:bottom w:val="nil"/>
            </w:tcBorders>
            <w:shd w:val="clear" w:color="auto" w:fill="auto"/>
            <w:vAlign w:val="center"/>
            <w:hideMark/>
          </w:tcPr>
          <w:p w:rsidR="00DA6B3F" w:rsidRDefault="00DA6B3F">
            <w:pPr>
              <w:jc w:val="right"/>
              <w:rPr>
                <w:color w:val="000000"/>
                <w:sz w:val="20"/>
              </w:rPr>
            </w:pPr>
            <w:r>
              <w:rPr>
                <w:color w:val="000000"/>
                <w:sz w:val="20"/>
              </w:rPr>
              <w:t>0.3</w:t>
            </w:r>
          </w:p>
        </w:tc>
        <w:tc>
          <w:tcPr>
            <w:tcW w:w="794" w:type="dxa"/>
            <w:tcBorders>
              <w:top w:val="nil"/>
              <w:bottom w:val="nil"/>
            </w:tcBorders>
            <w:shd w:val="clear" w:color="auto" w:fill="auto"/>
            <w:vAlign w:val="center"/>
            <w:hideMark/>
          </w:tcPr>
          <w:p w:rsidR="00DA6B3F" w:rsidRDefault="00DA6B3F">
            <w:pPr>
              <w:jc w:val="right"/>
              <w:rPr>
                <w:color w:val="000000"/>
                <w:sz w:val="20"/>
              </w:rPr>
            </w:pPr>
            <w:r>
              <w:rPr>
                <w:color w:val="000000"/>
                <w:sz w:val="20"/>
              </w:rPr>
              <w:t>0.3</w:t>
            </w:r>
          </w:p>
        </w:tc>
        <w:tc>
          <w:tcPr>
            <w:tcW w:w="794" w:type="dxa"/>
            <w:tcBorders>
              <w:top w:val="nil"/>
              <w:bottom w:val="nil"/>
            </w:tcBorders>
            <w:shd w:val="clear" w:color="auto" w:fill="auto"/>
            <w:vAlign w:val="center"/>
            <w:hideMark/>
          </w:tcPr>
          <w:p w:rsidR="00DA6B3F" w:rsidRDefault="00DA6B3F">
            <w:pPr>
              <w:jc w:val="right"/>
              <w:rPr>
                <w:color w:val="000000"/>
                <w:sz w:val="20"/>
              </w:rPr>
            </w:pPr>
            <w:r>
              <w:rPr>
                <w:color w:val="000000"/>
                <w:sz w:val="20"/>
              </w:rPr>
              <w:t>0.3</w:t>
            </w:r>
          </w:p>
        </w:tc>
        <w:tc>
          <w:tcPr>
            <w:tcW w:w="794" w:type="dxa"/>
            <w:tcBorders>
              <w:top w:val="nil"/>
              <w:bottom w:val="nil"/>
            </w:tcBorders>
            <w:shd w:val="clear" w:color="auto" w:fill="auto"/>
            <w:vAlign w:val="center"/>
            <w:hideMark/>
          </w:tcPr>
          <w:p w:rsidR="00DA6B3F" w:rsidRDefault="00DA6B3F">
            <w:pPr>
              <w:jc w:val="right"/>
              <w:rPr>
                <w:color w:val="000000"/>
                <w:sz w:val="20"/>
              </w:rPr>
            </w:pPr>
            <w:r>
              <w:rPr>
                <w:color w:val="000000"/>
                <w:sz w:val="20"/>
              </w:rPr>
              <w:t>0.3</w:t>
            </w:r>
          </w:p>
        </w:tc>
      </w:tr>
      <w:tr w:rsidR="00DA6B3F" w:rsidRPr="002E0107" w:rsidTr="0016103D">
        <w:trPr>
          <w:trHeight w:val="300"/>
        </w:trPr>
        <w:tc>
          <w:tcPr>
            <w:tcW w:w="4000" w:type="dxa"/>
            <w:tcBorders>
              <w:top w:val="nil"/>
              <w:bottom w:val="nil"/>
              <w:right w:val="single" w:sz="4" w:space="0" w:color="1F497D" w:themeColor="text2"/>
            </w:tcBorders>
            <w:shd w:val="clear" w:color="auto" w:fill="auto"/>
            <w:vAlign w:val="center"/>
            <w:hideMark/>
          </w:tcPr>
          <w:p w:rsidR="00DA6B3F" w:rsidRDefault="00DA6B3F" w:rsidP="0016103D">
            <w:pPr>
              <w:rPr>
                <w:color w:val="000000"/>
                <w:sz w:val="20"/>
              </w:rPr>
            </w:pPr>
            <w:r>
              <w:rPr>
                <w:color w:val="000000"/>
                <w:sz w:val="20"/>
              </w:rPr>
              <w:t>Avoided landfill costs – environmental</w:t>
            </w:r>
          </w:p>
        </w:tc>
        <w:tc>
          <w:tcPr>
            <w:tcW w:w="794" w:type="dxa"/>
            <w:tcBorders>
              <w:top w:val="nil"/>
              <w:left w:val="single" w:sz="4" w:space="0" w:color="1F497D" w:themeColor="text2"/>
              <w:bottom w:val="nil"/>
            </w:tcBorders>
            <w:shd w:val="clear" w:color="auto" w:fill="auto"/>
            <w:vAlign w:val="center"/>
            <w:hideMark/>
          </w:tcPr>
          <w:p w:rsidR="00DA6B3F" w:rsidRDefault="00DA6B3F">
            <w:pPr>
              <w:jc w:val="right"/>
              <w:rPr>
                <w:color w:val="000000"/>
                <w:sz w:val="20"/>
              </w:rPr>
            </w:pPr>
            <w:r>
              <w:rPr>
                <w:color w:val="000000"/>
                <w:sz w:val="20"/>
              </w:rPr>
              <w:t>0.0</w:t>
            </w:r>
          </w:p>
        </w:tc>
        <w:tc>
          <w:tcPr>
            <w:tcW w:w="794" w:type="dxa"/>
            <w:tcBorders>
              <w:top w:val="nil"/>
              <w:bottom w:val="nil"/>
            </w:tcBorders>
            <w:shd w:val="clear" w:color="auto" w:fill="auto"/>
            <w:vAlign w:val="center"/>
            <w:hideMark/>
          </w:tcPr>
          <w:p w:rsidR="00DA6B3F" w:rsidRDefault="00DA6B3F">
            <w:pPr>
              <w:jc w:val="right"/>
              <w:rPr>
                <w:color w:val="000000"/>
                <w:sz w:val="20"/>
              </w:rPr>
            </w:pPr>
            <w:r>
              <w:rPr>
                <w:color w:val="000000"/>
                <w:sz w:val="20"/>
              </w:rPr>
              <w:t>0.0</w:t>
            </w:r>
          </w:p>
        </w:tc>
        <w:tc>
          <w:tcPr>
            <w:tcW w:w="794" w:type="dxa"/>
            <w:tcBorders>
              <w:top w:val="nil"/>
              <w:bottom w:val="nil"/>
            </w:tcBorders>
            <w:shd w:val="clear" w:color="auto" w:fill="auto"/>
            <w:vAlign w:val="center"/>
            <w:hideMark/>
          </w:tcPr>
          <w:p w:rsidR="00DA6B3F" w:rsidRDefault="00DA6B3F">
            <w:pPr>
              <w:jc w:val="right"/>
              <w:rPr>
                <w:color w:val="000000"/>
                <w:sz w:val="20"/>
              </w:rPr>
            </w:pPr>
            <w:r>
              <w:rPr>
                <w:color w:val="000000"/>
                <w:sz w:val="20"/>
              </w:rPr>
              <w:t>0.0</w:t>
            </w:r>
          </w:p>
        </w:tc>
        <w:tc>
          <w:tcPr>
            <w:tcW w:w="794" w:type="dxa"/>
            <w:tcBorders>
              <w:top w:val="nil"/>
              <w:bottom w:val="nil"/>
            </w:tcBorders>
            <w:shd w:val="clear" w:color="auto" w:fill="auto"/>
            <w:vAlign w:val="center"/>
            <w:hideMark/>
          </w:tcPr>
          <w:p w:rsidR="00DA6B3F" w:rsidRDefault="00DA6B3F">
            <w:pPr>
              <w:jc w:val="right"/>
              <w:rPr>
                <w:color w:val="000000"/>
                <w:sz w:val="20"/>
              </w:rPr>
            </w:pPr>
            <w:r>
              <w:rPr>
                <w:color w:val="000000"/>
                <w:sz w:val="20"/>
              </w:rPr>
              <w:t>0.0</w:t>
            </w:r>
          </w:p>
        </w:tc>
        <w:tc>
          <w:tcPr>
            <w:tcW w:w="794" w:type="dxa"/>
            <w:tcBorders>
              <w:top w:val="nil"/>
              <w:bottom w:val="nil"/>
            </w:tcBorders>
            <w:shd w:val="clear" w:color="auto" w:fill="auto"/>
            <w:vAlign w:val="center"/>
            <w:hideMark/>
          </w:tcPr>
          <w:p w:rsidR="00DA6B3F" w:rsidRDefault="00DA6B3F">
            <w:pPr>
              <w:jc w:val="right"/>
              <w:rPr>
                <w:color w:val="000000"/>
                <w:sz w:val="20"/>
              </w:rPr>
            </w:pPr>
            <w:r>
              <w:rPr>
                <w:color w:val="000000"/>
                <w:sz w:val="20"/>
              </w:rPr>
              <w:t>0.0</w:t>
            </w:r>
          </w:p>
        </w:tc>
        <w:tc>
          <w:tcPr>
            <w:tcW w:w="794" w:type="dxa"/>
            <w:tcBorders>
              <w:top w:val="nil"/>
              <w:bottom w:val="nil"/>
            </w:tcBorders>
            <w:shd w:val="clear" w:color="auto" w:fill="auto"/>
            <w:vAlign w:val="center"/>
            <w:hideMark/>
          </w:tcPr>
          <w:p w:rsidR="00DA6B3F" w:rsidRDefault="00DA6B3F">
            <w:pPr>
              <w:jc w:val="right"/>
              <w:rPr>
                <w:color w:val="000000"/>
                <w:sz w:val="20"/>
              </w:rPr>
            </w:pPr>
            <w:r>
              <w:rPr>
                <w:color w:val="000000"/>
                <w:sz w:val="20"/>
              </w:rPr>
              <w:t>0.0</w:t>
            </w:r>
          </w:p>
        </w:tc>
        <w:tc>
          <w:tcPr>
            <w:tcW w:w="794" w:type="dxa"/>
            <w:tcBorders>
              <w:top w:val="nil"/>
              <w:bottom w:val="nil"/>
            </w:tcBorders>
            <w:shd w:val="clear" w:color="auto" w:fill="auto"/>
            <w:vAlign w:val="center"/>
            <w:hideMark/>
          </w:tcPr>
          <w:p w:rsidR="00DA6B3F" w:rsidRDefault="00DA6B3F">
            <w:pPr>
              <w:jc w:val="right"/>
              <w:rPr>
                <w:color w:val="000000"/>
                <w:sz w:val="20"/>
              </w:rPr>
            </w:pPr>
            <w:r>
              <w:rPr>
                <w:color w:val="000000"/>
                <w:sz w:val="20"/>
              </w:rPr>
              <w:t>0.0</w:t>
            </w:r>
          </w:p>
        </w:tc>
        <w:tc>
          <w:tcPr>
            <w:tcW w:w="794" w:type="dxa"/>
            <w:tcBorders>
              <w:top w:val="nil"/>
              <w:bottom w:val="nil"/>
            </w:tcBorders>
            <w:shd w:val="clear" w:color="auto" w:fill="auto"/>
            <w:vAlign w:val="center"/>
            <w:hideMark/>
          </w:tcPr>
          <w:p w:rsidR="00DA6B3F" w:rsidRDefault="00DA6B3F">
            <w:pPr>
              <w:jc w:val="right"/>
              <w:rPr>
                <w:color w:val="000000"/>
                <w:sz w:val="20"/>
              </w:rPr>
            </w:pPr>
            <w:r>
              <w:rPr>
                <w:color w:val="000000"/>
                <w:sz w:val="20"/>
              </w:rPr>
              <w:t>0.1</w:t>
            </w:r>
          </w:p>
        </w:tc>
        <w:tc>
          <w:tcPr>
            <w:tcW w:w="794" w:type="dxa"/>
            <w:tcBorders>
              <w:top w:val="nil"/>
              <w:bottom w:val="nil"/>
            </w:tcBorders>
            <w:shd w:val="clear" w:color="auto" w:fill="auto"/>
            <w:vAlign w:val="center"/>
            <w:hideMark/>
          </w:tcPr>
          <w:p w:rsidR="00DA6B3F" w:rsidRDefault="00DA6B3F">
            <w:pPr>
              <w:jc w:val="right"/>
              <w:rPr>
                <w:color w:val="000000"/>
                <w:sz w:val="20"/>
              </w:rPr>
            </w:pPr>
            <w:r>
              <w:rPr>
                <w:color w:val="000000"/>
                <w:sz w:val="20"/>
              </w:rPr>
              <w:t>0.1</w:t>
            </w:r>
          </w:p>
        </w:tc>
        <w:tc>
          <w:tcPr>
            <w:tcW w:w="794" w:type="dxa"/>
            <w:tcBorders>
              <w:top w:val="nil"/>
              <w:bottom w:val="nil"/>
            </w:tcBorders>
            <w:shd w:val="clear" w:color="auto" w:fill="auto"/>
            <w:vAlign w:val="center"/>
            <w:hideMark/>
          </w:tcPr>
          <w:p w:rsidR="00DA6B3F" w:rsidRDefault="00DA6B3F">
            <w:pPr>
              <w:jc w:val="right"/>
              <w:rPr>
                <w:color w:val="000000"/>
                <w:sz w:val="20"/>
              </w:rPr>
            </w:pPr>
            <w:r>
              <w:rPr>
                <w:color w:val="000000"/>
                <w:sz w:val="20"/>
              </w:rPr>
              <w:t>0.1</w:t>
            </w:r>
          </w:p>
        </w:tc>
        <w:tc>
          <w:tcPr>
            <w:tcW w:w="794" w:type="dxa"/>
            <w:tcBorders>
              <w:top w:val="nil"/>
              <w:bottom w:val="nil"/>
            </w:tcBorders>
            <w:shd w:val="clear" w:color="auto" w:fill="auto"/>
            <w:vAlign w:val="center"/>
            <w:hideMark/>
          </w:tcPr>
          <w:p w:rsidR="00DA6B3F" w:rsidRDefault="00DA6B3F">
            <w:pPr>
              <w:jc w:val="right"/>
              <w:rPr>
                <w:color w:val="000000"/>
                <w:sz w:val="20"/>
              </w:rPr>
            </w:pPr>
            <w:r>
              <w:rPr>
                <w:color w:val="000000"/>
                <w:sz w:val="20"/>
              </w:rPr>
              <w:t>0.1</w:t>
            </w:r>
          </w:p>
        </w:tc>
      </w:tr>
      <w:tr w:rsidR="00DA6B3F" w:rsidRPr="002E0107" w:rsidTr="0016103D">
        <w:trPr>
          <w:trHeight w:val="300"/>
        </w:trPr>
        <w:tc>
          <w:tcPr>
            <w:tcW w:w="4000" w:type="dxa"/>
            <w:tcBorders>
              <w:top w:val="nil"/>
              <w:bottom w:val="nil"/>
              <w:right w:val="single" w:sz="4" w:space="0" w:color="1F497D" w:themeColor="text2"/>
            </w:tcBorders>
            <w:shd w:val="clear" w:color="auto" w:fill="auto"/>
            <w:vAlign w:val="center"/>
            <w:hideMark/>
          </w:tcPr>
          <w:p w:rsidR="00DA6B3F" w:rsidRDefault="00DA6B3F" w:rsidP="0016103D">
            <w:pPr>
              <w:rPr>
                <w:color w:val="000000"/>
                <w:sz w:val="20"/>
              </w:rPr>
            </w:pPr>
            <w:r>
              <w:rPr>
                <w:color w:val="000000"/>
                <w:sz w:val="20"/>
              </w:rPr>
              <w:t xml:space="preserve">Metal resource recovery </w:t>
            </w:r>
          </w:p>
        </w:tc>
        <w:tc>
          <w:tcPr>
            <w:tcW w:w="794" w:type="dxa"/>
            <w:tcBorders>
              <w:top w:val="nil"/>
              <w:left w:val="single" w:sz="4" w:space="0" w:color="1F497D" w:themeColor="text2"/>
              <w:bottom w:val="nil"/>
            </w:tcBorders>
            <w:shd w:val="clear" w:color="auto" w:fill="auto"/>
            <w:vAlign w:val="center"/>
            <w:hideMark/>
          </w:tcPr>
          <w:p w:rsidR="00DA6B3F" w:rsidRDefault="00DA6B3F">
            <w:pPr>
              <w:jc w:val="right"/>
              <w:rPr>
                <w:color w:val="000000"/>
                <w:sz w:val="20"/>
              </w:rPr>
            </w:pPr>
            <w:r>
              <w:rPr>
                <w:color w:val="000000"/>
                <w:sz w:val="20"/>
              </w:rPr>
              <w:t>0.0</w:t>
            </w:r>
          </w:p>
        </w:tc>
        <w:tc>
          <w:tcPr>
            <w:tcW w:w="794" w:type="dxa"/>
            <w:tcBorders>
              <w:top w:val="nil"/>
              <w:bottom w:val="nil"/>
            </w:tcBorders>
            <w:shd w:val="clear" w:color="auto" w:fill="auto"/>
            <w:vAlign w:val="center"/>
            <w:hideMark/>
          </w:tcPr>
          <w:p w:rsidR="00DA6B3F" w:rsidRDefault="00DA6B3F">
            <w:pPr>
              <w:jc w:val="right"/>
              <w:rPr>
                <w:color w:val="000000"/>
                <w:sz w:val="20"/>
              </w:rPr>
            </w:pPr>
            <w:r>
              <w:rPr>
                <w:color w:val="000000"/>
                <w:sz w:val="20"/>
              </w:rPr>
              <w:t>0.0</w:t>
            </w:r>
          </w:p>
        </w:tc>
        <w:tc>
          <w:tcPr>
            <w:tcW w:w="794" w:type="dxa"/>
            <w:tcBorders>
              <w:top w:val="nil"/>
              <w:bottom w:val="nil"/>
            </w:tcBorders>
            <w:shd w:val="clear" w:color="auto" w:fill="auto"/>
            <w:vAlign w:val="center"/>
            <w:hideMark/>
          </w:tcPr>
          <w:p w:rsidR="00DA6B3F" w:rsidRDefault="00DA6B3F">
            <w:pPr>
              <w:jc w:val="right"/>
              <w:rPr>
                <w:color w:val="000000"/>
                <w:sz w:val="20"/>
              </w:rPr>
            </w:pPr>
            <w:r>
              <w:rPr>
                <w:color w:val="000000"/>
                <w:sz w:val="20"/>
              </w:rPr>
              <w:t>0.0</w:t>
            </w:r>
          </w:p>
        </w:tc>
        <w:tc>
          <w:tcPr>
            <w:tcW w:w="794" w:type="dxa"/>
            <w:tcBorders>
              <w:top w:val="nil"/>
              <w:bottom w:val="nil"/>
            </w:tcBorders>
            <w:shd w:val="clear" w:color="auto" w:fill="auto"/>
            <w:vAlign w:val="center"/>
            <w:hideMark/>
          </w:tcPr>
          <w:p w:rsidR="00DA6B3F" w:rsidRDefault="00DA6B3F">
            <w:pPr>
              <w:jc w:val="right"/>
              <w:rPr>
                <w:color w:val="000000"/>
                <w:sz w:val="20"/>
              </w:rPr>
            </w:pPr>
            <w:r>
              <w:rPr>
                <w:color w:val="000000"/>
                <w:sz w:val="20"/>
              </w:rPr>
              <w:t>0.0</w:t>
            </w:r>
          </w:p>
        </w:tc>
        <w:tc>
          <w:tcPr>
            <w:tcW w:w="794" w:type="dxa"/>
            <w:tcBorders>
              <w:top w:val="nil"/>
              <w:bottom w:val="nil"/>
            </w:tcBorders>
            <w:shd w:val="clear" w:color="auto" w:fill="auto"/>
            <w:vAlign w:val="center"/>
            <w:hideMark/>
          </w:tcPr>
          <w:p w:rsidR="00DA6B3F" w:rsidRDefault="00DA6B3F">
            <w:pPr>
              <w:jc w:val="right"/>
              <w:rPr>
                <w:color w:val="000000"/>
                <w:sz w:val="20"/>
              </w:rPr>
            </w:pPr>
            <w:r>
              <w:rPr>
                <w:color w:val="000000"/>
                <w:sz w:val="20"/>
              </w:rPr>
              <w:t>0.0</w:t>
            </w:r>
          </w:p>
        </w:tc>
        <w:tc>
          <w:tcPr>
            <w:tcW w:w="794" w:type="dxa"/>
            <w:tcBorders>
              <w:top w:val="nil"/>
              <w:bottom w:val="nil"/>
            </w:tcBorders>
            <w:shd w:val="clear" w:color="auto" w:fill="auto"/>
            <w:vAlign w:val="center"/>
            <w:hideMark/>
          </w:tcPr>
          <w:p w:rsidR="00DA6B3F" w:rsidRDefault="00DA6B3F">
            <w:pPr>
              <w:jc w:val="right"/>
              <w:rPr>
                <w:color w:val="000000"/>
                <w:sz w:val="20"/>
              </w:rPr>
            </w:pPr>
            <w:r>
              <w:rPr>
                <w:color w:val="000000"/>
                <w:sz w:val="20"/>
              </w:rPr>
              <w:t>0.0</w:t>
            </w:r>
          </w:p>
        </w:tc>
        <w:tc>
          <w:tcPr>
            <w:tcW w:w="794" w:type="dxa"/>
            <w:tcBorders>
              <w:top w:val="nil"/>
              <w:bottom w:val="nil"/>
            </w:tcBorders>
            <w:shd w:val="clear" w:color="auto" w:fill="auto"/>
            <w:vAlign w:val="center"/>
            <w:hideMark/>
          </w:tcPr>
          <w:p w:rsidR="00DA6B3F" w:rsidRDefault="00DA6B3F">
            <w:pPr>
              <w:jc w:val="right"/>
              <w:rPr>
                <w:color w:val="000000"/>
                <w:sz w:val="20"/>
              </w:rPr>
            </w:pPr>
            <w:r>
              <w:rPr>
                <w:color w:val="000000"/>
                <w:sz w:val="20"/>
              </w:rPr>
              <w:t>0.0</w:t>
            </w:r>
          </w:p>
        </w:tc>
        <w:tc>
          <w:tcPr>
            <w:tcW w:w="794" w:type="dxa"/>
            <w:tcBorders>
              <w:top w:val="nil"/>
              <w:bottom w:val="nil"/>
            </w:tcBorders>
            <w:shd w:val="clear" w:color="auto" w:fill="auto"/>
            <w:vAlign w:val="center"/>
            <w:hideMark/>
          </w:tcPr>
          <w:p w:rsidR="00DA6B3F" w:rsidRDefault="00DA6B3F">
            <w:pPr>
              <w:jc w:val="right"/>
              <w:rPr>
                <w:color w:val="000000"/>
                <w:sz w:val="20"/>
              </w:rPr>
            </w:pPr>
            <w:r>
              <w:rPr>
                <w:color w:val="000000"/>
                <w:sz w:val="20"/>
              </w:rPr>
              <w:t>0.0</w:t>
            </w:r>
          </w:p>
        </w:tc>
        <w:tc>
          <w:tcPr>
            <w:tcW w:w="794" w:type="dxa"/>
            <w:tcBorders>
              <w:top w:val="nil"/>
              <w:bottom w:val="nil"/>
            </w:tcBorders>
            <w:shd w:val="clear" w:color="auto" w:fill="auto"/>
            <w:vAlign w:val="center"/>
            <w:hideMark/>
          </w:tcPr>
          <w:p w:rsidR="00DA6B3F" w:rsidRDefault="00DA6B3F">
            <w:pPr>
              <w:jc w:val="right"/>
              <w:rPr>
                <w:color w:val="000000"/>
                <w:sz w:val="20"/>
              </w:rPr>
            </w:pPr>
            <w:r>
              <w:rPr>
                <w:color w:val="000000"/>
                <w:sz w:val="20"/>
              </w:rPr>
              <w:t>0.0</w:t>
            </w:r>
          </w:p>
        </w:tc>
        <w:tc>
          <w:tcPr>
            <w:tcW w:w="794" w:type="dxa"/>
            <w:tcBorders>
              <w:top w:val="nil"/>
              <w:bottom w:val="nil"/>
            </w:tcBorders>
            <w:shd w:val="clear" w:color="auto" w:fill="auto"/>
            <w:vAlign w:val="center"/>
            <w:hideMark/>
          </w:tcPr>
          <w:p w:rsidR="00DA6B3F" w:rsidRDefault="00DA6B3F">
            <w:pPr>
              <w:jc w:val="right"/>
              <w:rPr>
                <w:color w:val="000000"/>
                <w:sz w:val="20"/>
              </w:rPr>
            </w:pPr>
            <w:r>
              <w:rPr>
                <w:color w:val="000000"/>
                <w:sz w:val="20"/>
              </w:rPr>
              <w:t>0.0</w:t>
            </w:r>
          </w:p>
        </w:tc>
        <w:tc>
          <w:tcPr>
            <w:tcW w:w="794" w:type="dxa"/>
            <w:tcBorders>
              <w:top w:val="nil"/>
              <w:bottom w:val="nil"/>
            </w:tcBorders>
            <w:shd w:val="clear" w:color="auto" w:fill="auto"/>
            <w:vAlign w:val="center"/>
            <w:hideMark/>
          </w:tcPr>
          <w:p w:rsidR="00DA6B3F" w:rsidRDefault="00DA6B3F">
            <w:pPr>
              <w:jc w:val="right"/>
              <w:rPr>
                <w:color w:val="000000"/>
                <w:sz w:val="20"/>
              </w:rPr>
            </w:pPr>
            <w:r>
              <w:rPr>
                <w:color w:val="000000"/>
                <w:sz w:val="20"/>
              </w:rPr>
              <w:t>0.0</w:t>
            </w:r>
          </w:p>
        </w:tc>
      </w:tr>
      <w:tr w:rsidR="00DA6B3F" w:rsidRPr="002E0107" w:rsidTr="0016103D">
        <w:trPr>
          <w:trHeight w:val="300"/>
        </w:trPr>
        <w:tc>
          <w:tcPr>
            <w:tcW w:w="4000" w:type="dxa"/>
            <w:tcBorders>
              <w:top w:val="nil"/>
              <w:bottom w:val="nil"/>
              <w:right w:val="single" w:sz="4" w:space="0" w:color="1F497D" w:themeColor="text2"/>
            </w:tcBorders>
            <w:shd w:val="clear" w:color="auto" w:fill="auto"/>
            <w:vAlign w:val="center"/>
            <w:hideMark/>
          </w:tcPr>
          <w:p w:rsidR="00DA6B3F" w:rsidRDefault="00DA6B3F" w:rsidP="0016103D">
            <w:pPr>
              <w:rPr>
                <w:color w:val="000000"/>
                <w:sz w:val="20"/>
              </w:rPr>
            </w:pPr>
            <w:r>
              <w:rPr>
                <w:color w:val="000000"/>
                <w:sz w:val="20"/>
              </w:rPr>
              <w:t>Refrigerant gas recovery (emissions reduction)</w:t>
            </w:r>
          </w:p>
        </w:tc>
        <w:tc>
          <w:tcPr>
            <w:tcW w:w="794" w:type="dxa"/>
            <w:tcBorders>
              <w:top w:val="nil"/>
              <w:left w:val="single" w:sz="4" w:space="0" w:color="1F497D" w:themeColor="text2"/>
              <w:bottom w:val="nil"/>
            </w:tcBorders>
            <w:shd w:val="clear" w:color="auto" w:fill="auto"/>
            <w:vAlign w:val="center"/>
            <w:hideMark/>
          </w:tcPr>
          <w:p w:rsidR="00DA6B3F" w:rsidRDefault="00DA6B3F">
            <w:pPr>
              <w:jc w:val="right"/>
              <w:rPr>
                <w:color w:val="000000"/>
                <w:sz w:val="20"/>
              </w:rPr>
            </w:pPr>
            <w:r>
              <w:rPr>
                <w:color w:val="000000"/>
                <w:sz w:val="20"/>
              </w:rPr>
              <w:t>0.1</w:t>
            </w:r>
          </w:p>
        </w:tc>
        <w:tc>
          <w:tcPr>
            <w:tcW w:w="794" w:type="dxa"/>
            <w:tcBorders>
              <w:top w:val="nil"/>
              <w:bottom w:val="nil"/>
            </w:tcBorders>
            <w:shd w:val="clear" w:color="auto" w:fill="auto"/>
            <w:vAlign w:val="center"/>
            <w:hideMark/>
          </w:tcPr>
          <w:p w:rsidR="00DA6B3F" w:rsidRDefault="00DA6B3F">
            <w:pPr>
              <w:jc w:val="right"/>
              <w:rPr>
                <w:color w:val="000000"/>
                <w:sz w:val="20"/>
              </w:rPr>
            </w:pPr>
            <w:r>
              <w:rPr>
                <w:color w:val="000000"/>
                <w:sz w:val="20"/>
              </w:rPr>
              <w:t>0.1</w:t>
            </w:r>
          </w:p>
        </w:tc>
        <w:tc>
          <w:tcPr>
            <w:tcW w:w="794" w:type="dxa"/>
            <w:tcBorders>
              <w:top w:val="nil"/>
              <w:bottom w:val="nil"/>
            </w:tcBorders>
            <w:shd w:val="clear" w:color="auto" w:fill="auto"/>
            <w:vAlign w:val="center"/>
            <w:hideMark/>
          </w:tcPr>
          <w:p w:rsidR="00DA6B3F" w:rsidRDefault="00DA6B3F">
            <w:pPr>
              <w:jc w:val="right"/>
              <w:rPr>
                <w:color w:val="000000"/>
                <w:sz w:val="20"/>
              </w:rPr>
            </w:pPr>
            <w:r>
              <w:rPr>
                <w:color w:val="000000"/>
                <w:sz w:val="20"/>
              </w:rPr>
              <w:t>0.1</w:t>
            </w:r>
          </w:p>
        </w:tc>
        <w:tc>
          <w:tcPr>
            <w:tcW w:w="794" w:type="dxa"/>
            <w:tcBorders>
              <w:top w:val="nil"/>
              <w:bottom w:val="nil"/>
            </w:tcBorders>
            <w:shd w:val="clear" w:color="auto" w:fill="auto"/>
            <w:vAlign w:val="center"/>
            <w:hideMark/>
          </w:tcPr>
          <w:p w:rsidR="00DA6B3F" w:rsidRDefault="00DA6B3F">
            <w:pPr>
              <w:jc w:val="right"/>
              <w:rPr>
                <w:color w:val="000000"/>
                <w:sz w:val="20"/>
              </w:rPr>
            </w:pPr>
            <w:r>
              <w:rPr>
                <w:color w:val="000000"/>
                <w:sz w:val="20"/>
              </w:rPr>
              <w:t>0.1</w:t>
            </w:r>
          </w:p>
        </w:tc>
        <w:tc>
          <w:tcPr>
            <w:tcW w:w="794" w:type="dxa"/>
            <w:tcBorders>
              <w:top w:val="nil"/>
              <w:bottom w:val="nil"/>
            </w:tcBorders>
            <w:shd w:val="clear" w:color="auto" w:fill="auto"/>
            <w:vAlign w:val="center"/>
            <w:hideMark/>
          </w:tcPr>
          <w:p w:rsidR="00DA6B3F" w:rsidRDefault="00DA6B3F">
            <w:pPr>
              <w:jc w:val="right"/>
              <w:rPr>
                <w:color w:val="000000"/>
                <w:sz w:val="20"/>
              </w:rPr>
            </w:pPr>
            <w:r>
              <w:rPr>
                <w:color w:val="000000"/>
                <w:sz w:val="20"/>
              </w:rPr>
              <w:t>0.2</w:t>
            </w:r>
          </w:p>
        </w:tc>
        <w:tc>
          <w:tcPr>
            <w:tcW w:w="794" w:type="dxa"/>
            <w:tcBorders>
              <w:top w:val="nil"/>
              <w:bottom w:val="nil"/>
            </w:tcBorders>
            <w:shd w:val="clear" w:color="auto" w:fill="auto"/>
            <w:vAlign w:val="center"/>
            <w:hideMark/>
          </w:tcPr>
          <w:p w:rsidR="00DA6B3F" w:rsidRDefault="00DA6B3F">
            <w:pPr>
              <w:jc w:val="right"/>
              <w:rPr>
                <w:color w:val="000000"/>
                <w:sz w:val="20"/>
              </w:rPr>
            </w:pPr>
            <w:r>
              <w:rPr>
                <w:color w:val="000000"/>
                <w:sz w:val="20"/>
              </w:rPr>
              <w:t>0.2</w:t>
            </w:r>
          </w:p>
        </w:tc>
        <w:tc>
          <w:tcPr>
            <w:tcW w:w="794" w:type="dxa"/>
            <w:tcBorders>
              <w:top w:val="nil"/>
              <w:bottom w:val="nil"/>
            </w:tcBorders>
            <w:shd w:val="clear" w:color="auto" w:fill="auto"/>
            <w:vAlign w:val="center"/>
            <w:hideMark/>
          </w:tcPr>
          <w:p w:rsidR="00DA6B3F" w:rsidRDefault="00DA6B3F">
            <w:pPr>
              <w:jc w:val="right"/>
              <w:rPr>
                <w:color w:val="000000"/>
                <w:sz w:val="20"/>
              </w:rPr>
            </w:pPr>
            <w:r>
              <w:rPr>
                <w:color w:val="000000"/>
                <w:sz w:val="20"/>
              </w:rPr>
              <w:t>0.2</w:t>
            </w:r>
          </w:p>
        </w:tc>
        <w:tc>
          <w:tcPr>
            <w:tcW w:w="794" w:type="dxa"/>
            <w:tcBorders>
              <w:top w:val="nil"/>
              <w:bottom w:val="nil"/>
            </w:tcBorders>
            <w:shd w:val="clear" w:color="auto" w:fill="auto"/>
            <w:vAlign w:val="center"/>
            <w:hideMark/>
          </w:tcPr>
          <w:p w:rsidR="00DA6B3F" w:rsidRDefault="00DA6B3F">
            <w:pPr>
              <w:jc w:val="right"/>
              <w:rPr>
                <w:color w:val="000000"/>
                <w:sz w:val="20"/>
              </w:rPr>
            </w:pPr>
            <w:r>
              <w:rPr>
                <w:color w:val="000000"/>
                <w:sz w:val="20"/>
              </w:rPr>
              <w:t>0.2</w:t>
            </w:r>
          </w:p>
        </w:tc>
        <w:tc>
          <w:tcPr>
            <w:tcW w:w="794" w:type="dxa"/>
            <w:tcBorders>
              <w:top w:val="nil"/>
              <w:bottom w:val="nil"/>
            </w:tcBorders>
            <w:shd w:val="clear" w:color="auto" w:fill="auto"/>
            <w:vAlign w:val="center"/>
            <w:hideMark/>
          </w:tcPr>
          <w:p w:rsidR="00DA6B3F" w:rsidRDefault="00DA6B3F">
            <w:pPr>
              <w:jc w:val="right"/>
              <w:rPr>
                <w:color w:val="000000"/>
                <w:sz w:val="20"/>
              </w:rPr>
            </w:pPr>
            <w:r>
              <w:rPr>
                <w:color w:val="000000"/>
                <w:sz w:val="20"/>
              </w:rPr>
              <w:t>0.2</w:t>
            </w:r>
          </w:p>
        </w:tc>
        <w:tc>
          <w:tcPr>
            <w:tcW w:w="794" w:type="dxa"/>
            <w:tcBorders>
              <w:top w:val="nil"/>
              <w:bottom w:val="nil"/>
            </w:tcBorders>
            <w:shd w:val="clear" w:color="auto" w:fill="auto"/>
            <w:vAlign w:val="center"/>
            <w:hideMark/>
          </w:tcPr>
          <w:p w:rsidR="00DA6B3F" w:rsidRDefault="00DA6B3F">
            <w:pPr>
              <w:jc w:val="right"/>
              <w:rPr>
                <w:color w:val="000000"/>
                <w:sz w:val="20"/>
              </w:rPr>
            </w:pPr>
            <w:r>
              <w:rPr>
                <w:color w:val="000000"/>
                <w:sz w:val="20"/>
              </w:rPr>
              <w:t>0.2</w:t>
            </w:r>
          </w:p>
        </w:tc>
        <w:tc>
          <w:tcPr>
            <w:tcW w:w="794" w:type="dxa"/>
            <w:tcBorders>
              <w:top w:val="nil"/>
              <w:bottom w:val="nil"/>
            </w:tcBorders>
            <w:shd w:val="clear" w:color="auto" w:fill="auto"/>
            <w:vAlign w:val="center"/>
            <w:hideMark/>
          </w:tcPr>
          <w:p w:rsidR="00DA6B3F" w:rsidRDefault="00DA6B3F">
            <w:pPr>
              <w:jc w:val="right"/>
              <w:rPr>
                <w:color w:val="000000"/>
                <w:sz w:val="20"/>
              </w:rPr>
            </w:pPr>
            <w:r>
              <w:rPr>
                <w:color w:val="000000"/>
                <w:sz w:val="20"/>
              </w:rPr>
              <w:t>0.2</w:t>
            </w:r>
          </w:p>
        </w:tc>
      </w:tr>
      <w:tr w:rsidR="00DA6B3F" w:rsidRPr="002E0107" w:rsidTr="0016103D">
        <w:trPr>
          <w:trHeight w:val="300"/>
        </w:trPr>
        <w:tc>
          <w:tcPr>
            <w:tcW w:w="4000" w:type="dxa"/>
            <w:tcBorders>
              <w:top w:val="nil"/>
              <w:bottom w:val="nil"/>
              <w:right w:val="single" w:sz="4" w:space="0" w:color="1F497D" w:themeColor="text2"/>
            </w:tcBorders>
            <w:shd w:val="clear" w:color="auto" w:fill="auto"/>
            <w:vAlign w:val="center"/>
            <w:hideMark/>
          </w:tcPr>
          <w:p w:rsidR="00DA6B3F" w:rsidRDefault="00DA6B3F" w:rsidP="0016103D">
            <w:pPr>
              <w:rPr>
                <w:color w:val="000000"/>
                <w:sz w:val="20"/>
              </w:rPr>
            </w:pPr>
            <w:r>
              <w:rPr>
                <w:color w:val="000000"/>
                <w:sz w:val="20"/>
              </w:rPr>
              <w:t>Plastic resource recovery</w:t>
            </w:r>
          </w:p>
        </w:tc>
        <w:tc>
          <w:tcPr>
            <w:tcW w:w="794" w:type="dxa"/>
            <w:tcBorders>
              <w:top w:val="nil"/>
              <w:left w:val="single" w:sz="4" w:space="0" w:color="1F497D" w:themeColor="text2"/>
              <w:bottom w:val="nil"/>
            </w:tcBorders>
            <w:shd w:val="clear" w:color="auto" w:fill="auto"/>
            <w:vAlign w:val="center"/>
            <w:hideMark/>
          </w:tcPr>
          <w:p w:rsidR="00DA6B3F" w:rsidRDefault="00DA6B3F">
            <w:pPr>
              <w:jc w:val="right"/>
              <w:rPr>
                <w:color w:val="000000"/>
                <w:sz w:val="20"/>
              </w:rPr>
            </w:pPr>
            <w:r>
              <w:rPr>
                <w:color w:val="000000"/>
                <w:sz w:val="20"/>
              </w:rPr>
              <w:t>0.7</w:t>
            </w:r>
          </w:p>
        </w:tc>
        <w:tc>
          <w:tcPr>
            <w:tcW w:w="794" w:type="dxa"/>
            <w:tcBorders>
              <w:top w:val="nil"/>
              <w:bottom w:val="nil"/>
            </w:tcBorders>
            <w:shd w:val="clear" w:color="auto" w:fill="auto"/>
            <w:vAlign w:val="center"/>
            <w:hideMark/>
          </w:tcPr>
          <w:p w:rsidR="00DA6B3F" w:rsidRDefault="00DA6B3F">
            <w:pPr>
              <w:jc w:val="right"/>
              <w:rPr>
                <w:color w:val="000000"/>
                <w:sz w:val="20"/>
              </w:rPr>
            </w:pPr>
            <w:r>
              <w:rPr>
                <w:color w:val="000000"/>
                <w:sz w:val="20"/>
              </w:rPr>
              <w:t>0.8</w:t>
            </w:r>
          </w:p>
        </w:tc>
        <w:tc>
          <w:tcPr>
            <w:tcW w:w="794" w:type="dxa"/>
            <w:tcBorders>
              <w:top w:val="nil"/>
              <w:bottom w:val="nil"/>
            </w:tcBorders>
            <w:shd w:val="clear" w:color="auto" w:fill="auto"/>
            <w:vAlign w:val="center"/>
            <w:hideMark/>
          </w:tcPr>
          <w:p w:rsidR="00DA6B3F" w:rsidRDefault="00DA6B3F">
            <w:pPr>
              <w:jc w:val="right"/>
              <w:rPr>
                <w:color w:val="000000"/>
                <w:sz w:val="20"/>
              </w:rPr>
            </w:pPr>
            <w:r>
              <w:rPr>
                <w:color w:val="000000"/>
                <w:sz w:val="20"/>
              </w:rPr>
              <w:t>0.9</w:t>
            </w:r>
          </w:p>
        </w:tc>
        <w:tc>
          <w:tcPr>
            <w:tcW w:w="794" w:type="dxa"/>
            <w:tcBorders>
              <w:top w:val="nil"/>
              <w:bottom w:val="nil"/>
            </w:tcBorders>
            <w:shd w:val="clear" w:color="auto" w:fill="auto"/>
            <w:vAlign w:val="center"/>
            <w:hideMark/>
          </w:tcPr>
          <w:p w:rsidR="00DA6B3F" w:rsidRDefault="00DA6B3F">
            <w:pPr>
              <w:jc w:val="right"/>
              <w:rPr>
                <w:color w:val="000000"/>
                <w:sz w:val="20"/>
              </w:rPr>
            </w:pPr>
            <w:r>
              <w:rPr>
                <w:color w:val="000000"/>
                <w:sz w:val="20"/>
              </w:rPr>
              <w:t>0.9</w:t>
            </w:r>
          </w:p>
        </w:tc>
        <w:tc>
          <w:tcPr>
            <w:tcW w:w="794" w:type="dxa"/>
            <w:tcBorders>
              <w:top w:val="nil"/>
              <w:bottom w:val="nil"/>
            </w:tcBorders>
            <w:shd w:val="clear" w:color="auto" w:fill="auto"/>
            <w:vAlign w:val="center"/>
            <w:hideMark/>
          </w:tcPr>
          <w:p w:rsidR="00DA6B3F" w:rsidRDefault="00DA6B3F">
            <w:pPr>
              <w:jc w:val="right"/>
              <w:rPr>
                <w:color w:val="000000"/>
                <w:sz w:val="20"/>
              </w:rPr>
            </w:pPr>
            <w:r>
              <w:rPr>
                <w:color w:val="000000"/>
                <w:sz w:val="20"/>
              </w:rPr>
              <w:t>1.0</w:t>
            </w:r>
          </w:p>
        </w:tc>
        <w:tc>
          <w:tcPr>
            <w:tcW w:w="794" w:type="dxa"/>
            <w:tcBorders>
              <w:top w:val="nil"/>
              <w:bottom w:val="nil"/>
            </w:tcBorders>
            <w:shd w:val="clear" w:color="auto" w:fill="auto"/>
            <w:vAlign w:val="center"/>
            <w:hideMark/>
          </w:tcPr>
          <w:p w:rsidR="00DA6B3F" w:rsidRDefault="00DA6B3F">
            <w:pPr>
              <w:jc w:val="right"/>
              <w:rPr>
                <w:color w:val="000000"/>
                <w:sz w:val="20"/>
              </w:rPr>
            </w:pPr>
            <w:r>
              <w:rPr>
                <w:color w:val="000000"/>
                <w:sz w:val="20"/>
              </w:rPr>
              <w:t>1.0</w:t>
            </w:r>
          </w:p>
        </w:tc>
        <w:tc>
          <w:tcPr>
            <w:tcW w:w="794" w:type="dxa"/>
            <w:tcBorders>
              <w:top w:val="nil"/>
              <w:bottom w:val="nil"/>
            </w:tcBorders>
            <w:shd w:val="clear" w:color="auto" w:fill="auto"/>
            <w:vAlign w:val="center"/>
            <w:hideMark/>
          </w:tcPr>
          <w:p w:rsidR="00DA6B3F" w:rsidRDefault="00DA6B3F">
            <w:pPr>
              <w:jc w:val="right"/>
              <w:rPr>
                <w:color w:val="000000"/>
                <w:sz w:val="20"/>
              </w:rPr>
            </w:pPr>
            <w:r>
              <w:rPr>
                <w:color w:val="000000"/>
                <w:sz w:val="20"/>
              </w:rPr>
              <w:t>1.1</w:t>
            </w:r>
          </w:p>
        </w:tc>
        <w:tc>
          <w:tcPr>
            <w:tcW w:w="794" w:type="dxa"/>
            <w:tcBorders>
              <w:top w:val="nil"/>
              <w:bottom w:val="nil"/>
            </w:tcBorders>
            <w:shd w:val="clear" w:color="auto" w:fill="auto"/>
            <w:vAlign w:val="center"/>
            <w:hideMark/>
          </w:tcPr>
          <w:p w:rsidR="00DA6B3F" w:rsidRDefault="00DA6B3F">
            <w:pPr>
              <w:jc w:val="right"/>
              <w:rPr>
                <w:color w:val="000000"/>
                <w:sz w:val="20"/>
              </w:rPr>
            </w:pPr>
            <w:r>
              <w:rPr>
                <w:color w:val="000000"/>
                <w:sz w:val="20"/>
              </w:rPr>
              <w:t>1.1</w:t>
            </w:r>
          </w:p>
        </w:tc>
        <w:tc>
          <w:tcPr>
            <w:tcW w:w="794" w:type="dxa"/>
            <w:tcBorders>
              <w:top w:val="nil"/>
              <w:bottom w:val="nil"/>
            </w:tcBorders>
            <w:shd w:val="clear" w:color="auto" w:fill="auto"/>
            <w:vAlign w:val="center"/>
            <w:hideMark/>
          </w:tcPr>
          <w:p w:rsidR="00DA6B3F" w:rsidRDefault="00DA6B3F">
            <w:pPr>
              <w:jc w:val="right"/>
              <w:rPr>
                <w:color w:val="000000"/>
                <w:sz w:val="20"/>
              </w:rPr>
            </w:pPr>
            <w:r>
              <w:rPr>
                <w:color w:val="000000"/>
                <w:sz w:val="20"/>
              </w:rPr>
              <w:t>1.1</w:t>
            </w:r>
          </w:p>
        </w:tc>
        <w:tc>
          <w:tcPr>
            <w:tcW w:w="794" w:type="dxa"/>
            <w:tcBorders>
              <w:top w:val="nil"/>
              <w:bottom w:val="nil"/>
            </w:tcBorders>
            <w:shd w:val="clear" w:color="auto" w:fill="auto"/>
            <w:vAlign w:val="center"/>
            <w:hideMark/>
          </w:tcPr>
          <w:p w:rsidR="00DA6B3F" w:rsidRDefault="00DA6B3F">
            <w:pPr>
              <w:jc w:val="right"/>
              <w:rPr>
                <w:color w:val="000000"/>
                <w:sz w:val="20"/>
              </w:rPr>
            </w:pPr>
            <w:r>
              <w:rPr>
                <w:color w:val="000000"/>
                <w:sz w:val="20"/>
              </w:rPr>
              <w:t>1.1</w:t>
            </w:r>
          </w:p>
        </w:tc>
        <w:tc>
          <w:tcPr>
            <w:tcW w:w="794" w:type="dxa"/>
            <w:tcBorders>
              <w:top w:val="nil"/>
              <w:bottom w:val="nil"/>
            </w:tcBorders>
            <w:shd w:val="clear" w:color="auto" w:fill="auto"/>
            <w:vAlign w:val="center"/>
            <w:hideMark/>
          </w:tcPr>
          <w:p w:rsidR="00DA6B3F" w:rsidRDefault="00DA6B3F">
            <w:pPr>
              <w:jc w:val="right"/>
              <w:rPr>
                <w:color w:val="000000"/>
                <w:sz w:val="20"/>
              </w:rPr>
            </w:pPr>
            <w:r>
              <w:rPr>
                <w:color w:val="000000"/>
                <w:sz w:val="20"/>
              </w:rPr>
              <w:t>1.1</w:t>
            </w:r>
          </w:p>
        </w:tc>
      </w:tr>
      <w:tr w:rsidR="00DA6B3F" w:rsidRPr="002E0107" w:rsidTr="0016103D">
        <w:trPr>
          <w:trHeight w:val="300"/>
        </w:trPr>
        <w:tc>
          <w:tcPr>
            <w:tcW w:w="4000" w:type="dxa"/>
            <w:tcBorders>
              <w:top w:val="nil"/>
              <w:bottom w:val="nil"/>
              <w:right w:val="single" w:sz="4" w:space="0" w:color="1F497D" w:themeColor="text2"/>
            </w:tcBorders>
            <w:shd w:val="clear" w:color="auto" w:fill="auto"/>
            <w:vAlign w:val="center"/>
            <w:hideMark/>
          </w:tcPr>
          <w:p w:rsidR="00DA6B3F" w:rsidRDefault="00DA6B3F" w:rsidP="0016103D">
            <w:pPr>
              <w:rPr>
                <w:color w:val="000000"/>
                <w:sz w:val="20"/>
              </w:rPr>
            </w:pPr>
            <w:r>
              <w:rPr>
                <w:color w:val="000000"/>
                <w:sz w:val="20"/>
              </w:rPr>
              <w:t>Value of additional recycling (WTP)</w:t>
            </w:r>
          </w:p>
        </w:tc>
        <w:tc>
          <w:tcPr>
            <w:tcW w:w="794" w:type="dxa"/>
            <w:tcBorders>
              <w:top w:val="nil"/>
              <w:left w:val="single" w:sz="4" w:space="0" w:color="1F497D" w:themeColor="text2"/>
              <w:bottom w:val="nil"/>
            </w:tcBorders>
            <w:shd w:val="clear" w:color="auto" w:fill="auto"/>
            <w:vAlign w:val="center"/>
            <w:hideMark/>
          </w:tcPr>
          <w:p w:rsidR="00DA6B3F" w:rsidRDefault="00DA6B3F">
            <w:pPr>
              <w:jc w:val="right"/>
              <w:rPr>
                <w:color w:val="000000"/>
                <w:sz w:val="20"/>
              </w:rPr>
            </w:pPr>
            <w:r>
              <w:rPr>
                <w:color w:val="000000"/>
                <w:sz w:val="20"/>
              </w:rPr>
              <w:t>0.1</w:t>
            </w:r>
          </w:p>
        </w:tc>
        <w:tc>
          <w:tcPr>
            <w:tcW w:w="794" w:type="dxa"/>
            <w:tcBorders>
              <w:top w:val="nil"/>
              <w:bottom w:val="nil"/>
            </w:tcBorders>
            <w:shd w:val="clear" w:color="auto" w:fill="auto"/>
            <w:vAlign w:val="center"/>
            <w:hideMark/>
          </w:tcPr>
          <w:p w:rsidR="00DA6B3F" w:rsidRDefault="00DA6B3F">
            <w:pPr>
              <w:jc w:val="right"/>
              <w:rPr>
                <w:color w:val="000000"/>
                <w:sz w:val="20"/>
              </w:rPr>
            </w:pPr>
            <w:r>
              <w:rPr>
                <w:color w:val="000000"/>
                <w:sz w:val="20"/>
              </w:rPr>
              <w:t>0.0</w:t>
            </w:r>
          </w:p>
        </w:tc>
        <w:tc>
          <w:tcPr>
            <w:tcW w:w="794" w:type="dxa"/>
            <w:tcBorders>
              <w:top w:val="nil"/>
              <w:bottom w:val="nil"/>
            </w:tcBorders>
            <w:shd w:val="clear" w:color="auto" w:fill="auto"/>
            <w:vAlign w:val="center"/>
            <w:hideMark/>
          </w:tcPr>
          <w:p w:rsidR="00DA6B3F" w:rsidRDefault="00DA6B3F">
            <w:pPr>
              <w:jc w:val="right"/>
              <w:rPr>
                <w:color w:val="000000"/>
                <w:sz w:val="20"/>
              </w:rPr>
            </w:pPr>
            <w:r>
              <w:rPr>
                <w:color w:val="000000"/>
                <w:sz w:val="20"/>
              </w:rPr>
              <w:t>0.1</w:t>
            </w:r>
          </w:p>
        </w:tc>
        <w:tc>
          <w:tcPr>
            <w:tcW w:w="794" w:type="dxa"/>
            <w:tcBorders>
              <w:top w:val="nil"/>
              <w:bottom w:val="nil"/>
            </w:tcBorders>
            <w:shd w:val="clear" w:color="auto" w:fill="auto"/>
            <w:vAlign w:val="center"/>
            <w:hideMark/>
          </w:tcPr>
          <w:p w:rsidR="00DA6B3F" w:rsidRDefault="00DA6B3F">
            <w:pPr>
              <w:jc w:val="right"/>
              <w:rPr>
                <w:color w:val="000000"/>
                <w:sz w:val="20"/>
              </w:rPr>
            </w:pPr>
            <w:r>
              <w:rPr>
                <w:color w:val="000000"/>
                <w:sz w:val="20"/>
              </w:rPr>
              <w:t>0.1</w:t>
            </w:r>
          </w:p>
        </w:tc>
        <w:tc>
          <w:tcPr>
            <w:tcW w:w="794" w:type="dxa"/>
            <w:tcBorders>
              <w:top w:val="nil"/>
              <w:bottom w:val="nil"/>
            </w:tcBorders>
            <w:shd w:val="clear" w:color="auto" w:fill="auto"/>
            <w:vAlign w:val="center"/>
            <w:hideMark/>
          </w:tcPr>
          <w:p w:rsidR="00DA6B3F" w:rsidRDefault="00DA6B3F">
            <w:pPr>
              <w:jc w:val="right"/>
              <w:rPr>
                <w:color w:val="000000"/>
                <w:sz w:val="20"/>
              </w:rPr>
            </w:pPr>
            <w:r>
              <w:rPr>
                <w:color w:val="000000"/>
                <w:sz w:val="20"/>
              </w:rPr>
              <w:t>0.1</w:t>
            </w:r>
          </w:p>
        </w:tc>
        <w:tc>
          <w:tcPr>
            <w:tcW w:w="794" w:type="dxa"/>
            <w:tcBorders>
              <w:top w:val="nil"/>
              <w:bottom w:val="nil"/>
            </w:tcBorders>
            <w:shd w:val="clear" w:color="auto" w:fill="auto"/>
            <w:vAlign w:val="center"/>
            <w:hideMark/>
          </w:tcPr>
          <w:p w:rsidR="00DA6B3F" w:rsidRDefault="00DA6B3F">
            <w:pPr>
              <w:jc w:val="right"/>
              <w:rPr>
                <w:color w:val="000000"/>
                <w:sz w:val="20"/>
              </w:rPr>
            </w:pPr>
            <w:r>
              <w:rPr>
                <w:color w:val="000000"/>
                <w:sz w:val="20"/>
              </w:rPr>
              <w:t>0.1</w:t>
            </w:r>
          </w:p>
        </w:tc>
        <w:tc>
          <w:tcPr>
            <w:tcW w:w="794" w:type="dxa"/>
            <w:tcBorders>
              <w:top w:val="nil"/>
              <w:bottom w:val="nil"/>
            </w:tcBorders>
            <w:shd w:val="clear" w:color="auto" w:fill="auto"/>
            <w:vAlign w:val="center"/>
            <w:hideMark/>
          </w:tcPr>
          <w:p w:rsidR="00DA6B3F" w:rsidRDefault="00DA6B3F">
            <w:pPr>
              <w:jc w:val="right"/>
              <w:rPr>
                <w:color w:val="000000"/>
                <w:sz w:val="20"/>
              </w:rPr>
            </w:pPr>
            <w:r>
              <w:rPr>
                <w:color w:val="000000"/>
                <w:sz w:val="20"/>
              </w:rPr>
              <w:t>0.1</w:t>
            </w:r>
          </w:p>
        </w:tc>
        <w:tc>
          <w:tcPr>
            <w:tcW w:w="794" w:type="dxa"/>
            <w:tcBorders>
              <w:top w:val="nil"/>
              <w:bottom w:val="nil"/>
            </w:tcBorders>
            <w:shd w:val="clear" w:color="auto" w:fill="auto"/>
            <w:vAlign w:val="center"/>
            <w:hideMark/>
          </w:tcPr>
          <w:p w:rsidR="00DA6B3F" w:rsidRDefault="00DA6B3F">
            <w:pPr>
              <w:jc w:val="right"/>
              <w:rPr>
                <w:color w:val="000000"/>
                <w:sz w:val="20"/>
              </w:rPr>
            </w:pPr>
            <w:r>
              <w:rPr>
                <w:color w:val="000000"/>
                <w:sz w:val="20"/>
              </w:rPr>
              <w:t>0.1</w:t>
            </w:r>
          </w:p>
        </w:tc>
        <w:tc>
          <w:tcPr>
            <w:tcW w:w="794" w:type="dxa"/>
            <w:tcBorders>
              <w:top w:val="nil"/>
              <w:bottom w:val="nil"/>
            </w:tcBorders>
            <w:shd w:val="clear" w:color="auto" w:fill="auto"/>
            <w:vAlign w:val="center"/>
            <w:hideMark/>
          </w:tcPr>
          <w:p w:rsidR="00DA6B3F" w:rsidRDefault="00DA6B3F">
            <w:pPr>
              <w:jc w:val="right"/>
              <w:rPr>
                <w:color w:val="000000"/>
                <w:sz w:val="20"/>
              </w:rPr>
            </w:pPr>
            <w:r>
              <w:rPr>
                <w:color w:val="000000"/>
                <w:sz w:val="20"/>
              </w:rPr>
              <w:t>0.1</w:t>
            </w:r>
          </w:p>
        </w:tc>
        <w:tc>
          <w:tcPr>
            <w:tcW w:w="794" w:type="dxa"/>
            <w:tcBorders>
              <w:top w:val="nil"/>
              <w:bottom w:val="nil"/>
            </w:tcBorders>
            <w:shd w:val="clear" w:color="auto" w:fill="auto"/>
            <w:vAlign w:val="center"/>
            <w:hideMark/>
          </w:tcPr>
          <w:p w:rsidR="00DA6B3F" w:rsidRDefault="00DA6B3F">
            <w:pPr>
              <w:jc w:val="right"/>
              <w:rPr>
                <w:color w:val="000000"/>
                <w:sz w:val="20"/>
              </w:rPr>
            </w:pPr>
            <w:r>
              <w:rPr>
                <w:color w:val="000000"/>
                <w:sz w:val="20"/>
              </w:rPr>
              <w:t>0.1</w:t>
            </w:r>
          </w:p>
        </w:tc>
        <w:tc>
          <w:tcPr>
            <w:tcW w:w="794" w:type="dxa"/>
            <w:tcBorders>
              <w:top w:val="nil"/>
              <w:bottom w:val="nil"/>
            </w:tcBorders>
            <w:shd w:val="clear" w:color="auto" w:fill="auto"/>
            <w:vAlign w:val="center"/>
            <w:hideMark/>
          </w:tcPr>
          <w:p w:rsidR="00DA6B3F" w:rsidRDefault="00DA6B3F">
            <w:pPr>
              <w:jc w:val="right"/>
              <w:rPr>
                <w:color w:val="000000"/>
                <w:sz w:val="20"/>
              </w:rPr>
            </w:pPr>
            <w:r>
              <w:rPr>
                <w:color w:val="000000"/>
                <w:sz w:val="20"/>
              </w:rPr>
              <w:t>0.1</w:t>
            </w:r>
          </w:p>
        </w:tc>
      </w:tr>
      <w:tr w:rsidR="00DA6B3F" w:rsidRPr="002E0107" w:rsidTr="0016103D">
        <w:trPr>
          <w:trHeight w:val="300"/>
        </w:trPr>
        <w:tc>
          <w:tcPr>
            <w:tcW w:w="4000" w:type="dxa"/>
            <w:tcBorders>
              <w:top w:val="nil"/>
              <w:bottom w:val="single" w:sz="4" w:space="0" w:color="1F497D" w:themeColor="text2"/>
              <w:right w:val="single" w:sz="4" w:space="0" w:color="1F497D" w:themeColor="text2"/>
            </w:tcBorders>
            <w:shd w:val="clear" w:color="auto" w:fill="auto"/>
            <w:vAlign w:val="center"/>
            <w:hideMark/>
          </w:tcPr>
          <w:p w:rsidR="00DA6B3F" w:rsidRDefault="00DA6B3F" w:rsidP="0016103D">
            <w:pPr>
              <w:rPr>
                <w:b/>
                <w:bCs/>
                <w:color w:val="000000"/>
                <w:sz w:val="20"/>
              </w:rPr>
            </w:pPr>
            <w:r>
              <w:rPr>
                <w:b/>
                <w:bCs/>
                <w:color w:val="000000"/>
                <w:sz w:val="20"/>
              </w:rPr>
              <w:t>Total Benefits</w:t>
            </w:r>
          </w:p>
        </w:tc>
        <w:tc>
          <w:tcPr>
            <w:tcW w:w="794" w:type="dxa"/>
            <w:tcBorders>
              <w:top w:val="nil"/>
              <w:left w:val="single" w:sz="4" w:space="0" w:color="1F497D" w:themeColor="text2"/>
              <w:bottom w:val="single" w:sz="4" w:space="0" w:color="1F497D" w:themeColor="text2"/>
            </w:tcBorders>
            <w:shd w:val="clear" w:color="auto" w:fill="auto"/>
            <w:vAlign w:val="center"/>
            <w:hideMark/>
          </w:tcPr>
          <w:p w:rsidR="00DA6B3F" w:rsidRDefault="00DA6B3F">
            <w:pPr>
              <w:jc w:val="right"/>
              <w:rPr>
                <w:b/>
                <w:bCs/>
                <w:color w:val="000000"/>
                <w:sz w:val="20"/>
              </w:rPr>
            </w:pPr>
            <w:r>
              <w:rPr>
                <w:b/>
                <w:bCs/>
                <w:color w:val="000000"/>
                <w:sz w:val="20"/>
              </w:rPr>
              <w:t>1.1</w:t>
            </w:r>
          </w:p>
        </w:tc>
        <w:tc>
          <w:tcPr>
            <w:tcW w:w="794" w:type="dxa"/>
            <w:tcBorders>
              <w:top w:val="nil"/>
              <w:bottom w:val="single" w:sz="4" w:space="0" w:color="1F497D" w:themeColor="text2"/>
            </w:tcBorders>
            <w:shd w:val="clear" w:color="auto" w:fill="auto"/>
            <w:vAlign w:val="center"/>
            <w:hideMark/>
          </w:tcPr>
          <w:p w:rsidR="00DA6B3F" w:rsidRDefault="00DA6B3F">
            <w:pPr>
              <w:jc w:val="right"/>
              <w:rPr>
                <w:b/>
                <w:bCs/>
                <w:color w:val="000000"/>
                <w:sz w:val="20"/>
              </w:rPr>
            </w:pPr>
            <w:r>
              <w:rPr>
                <w:b/>
                <w:bCs/>
                <w:color w:val="000000"/>
                <w:sz w:val="20"/>
              </w:rPr>
              <w:t>1.2</w:t>
            </w:r>
          </w:p>
        </w:tc>
        <w:tc>
          <w:tcPr>
            <w:tcW w:w="794" w:type="dxa"/>
            <w:tcBorders>
              <w:top w:val="nil"/>
              <w:bottom w:val="single" w:sz="4" w:space="0" w:color="1F497D" w:themeColor="text2"/>
            </w:tcBorders>
            <w:shd w:val="clear" w:color="auto" w:fill="auto"/>
            <w:vAlign w:val="center"/>
            <w:hideMark/>
          </w:tcPr>
          <w:p w:rsidR="00DA6B3F" w:rsidRDefault="00DA6B3F">
            <w:pPr>
              <w:jc w:val="right"/>
              <w:rPr>
                <w:b/>
                <w:bCs/>
                <w:color w:val="000000"/>
                <w:sz w:val="20"/>
              </w:rPr>
            </w:pPr>
            <w:r>
              <w:rPr>
                <w:b/>
                <w:bCs/>
                <w:color w:val="000000"/>
                <w:sz w:val="20"/>
              </w:rPr>
              <w:t>1.3</w:t>
            </w:r>
          </w:p>
        </w:tc>
        <w:tc>
          <w:tcPr>
            <w:tcW w:w="794" w:type="dxa"/>
            <w:tcBorders>
              <w:top w:val="nil"/>
              <w:bottom w:val="single" w:sz="4" w:space="0" w:color="1F497D" w:themeColor="text2"/>
            </w:tcBorders>
            <w:shd w:val="clear" w:color="auto" w:fill="auto"/>
            <w:vAlign w:val="center"/>
            <w:hideMark/>
          </w:tcPr>
          <w:p w:rsidR="00DA6B3F" w:rsidRDefault="00DA6B3F">
            <w:pPr>
              <w:jc w:val="right"/>
              <w:rPr>
                <w:b/>
                <w:bCs/>
                <w:color w:val="000000"/>
                <w:sz w:val="20"/>
              </w:rPr>
            </w:pPr>
            <w:r>
              <w:rPr>
                <w:b/>
                <w:bCs/>
                <w:color w:val="000000"/>
                <w:sz w:val="20"/>
              </w:rPr>
              <w:t>1.4</w:t>
            </w:r>
          </w:p>
        </w:tc>
        <w:tc>
          <w:tcPr>
            <w:tcW w:w="794" w:type="dxa"/>
            <w:tcBorders>
              <w:top w:val="nil"/>
              <w:bottom w:val="single" w:sz="4" w:space="0" w:color="1F497D" w:themeColor="text2"/>
            </w:tcBorders>
            <w:shd w:val="clear" w:color="auto" w:fill="auto"/>
            <w:vAlign w:val="center"/>
            <w:hideMark/>
          </w:tcPr>
          <w:p w:rsidR="00DA6B3F" w:rsidRDefault="00DA6B3F">
            <w:pPr>
              <w:jc w:val="right"/>
              <w:rPr>
                <w:b/>
                <w:bCs/>
                <w:color w:val="000000"/>
                <w:sz w:val="20"/>
              </w:rPr>
            </w:pPr>
            <w:r>
              <w:rPr>
                <w:b/>
                <w:bCs/>
                <w:color w:val="000000"/>
                <w:sz w:val="20"/>
              </w:rPr>
              <w:t>1.5</w:t>
            </w:r>
          </w:p>
        </w:tc>
        <w:tc>
          <w:tcPr>
            <w:tcW w:w="794" w:type="dxa"/>
            <w:tcBorders>
              <w:top w:val="nil"/>
              <w:bottom w:val="single" w:sz="4" w:space="0" w:color="1F497D" w:themeColor="text2"/>
            </w:tcBorders>
            <w:shd w:val="clear" w:color="auto" w:fill="auto"/>
            <w:vAlign w:val="center"/>
            <w:hideMark/>
          </w:tcPr>
          <w:p w:rsidR="00DA6B3F" w:rsidRDefault="00DA6B3F">
            <w:pPr>
              <w:jc w:val="right"/>
              <w:rPr>
                <w:b/>
                <w:bCs/>
                <w:color w:val="000000"/>
                <w:sz w:val="20"/>
              </w:rPr>
            </w:pPr>
            <w:r>
              <w:rPr>
                <w:b/>
                <w:bCs/>
                <w:color w:val="000000"/>
                <w:sz w:val="20"/>
              </w:rPr>
              <w:t>1.5</w:t>
            </w:r>
          </w:p>
        </w:tc>
        <w:tc>
          <w:tcPr>
            <w:tcW w:w="794" w:type="dxa"/>
            <w:tcBorders>
              <w:top w:val="nil"/>
              <w:bottom w:val="single" w:sz="4" w:space="0" w:color="1F497D" w:themeColor="text2"/>
            </w:tcBorders>
            <w:shd w:val="clear" w:color="auto" w:fill="auto"/>
            <w:vAlign w:val="center"/>
            <w:hideMark/>
          </w:tcPr>
          <w:p w:rsidR="00DA6B3F" w:rsidRDefault="00DA6B3F">
            <w:pPr>
              <w:jc w:val="right"/>
              <w:rPr>
                <w:b/>
                <w:bCs/>
                <w:color w:val="000000"/>
                <w:sz w:val="20"/>
              </w:rPr>
            </w:pPr>
            <w:r>
              <w:rPr>
                <w:b/>
                <w:bCs/>
                <w:color w:val="000000"/>
                <w:sz w:val="20"/>
              </w:rPr>
              <w:t>1.6</w:t>
            </w:r>
          </w:p>
        </w:tc>
        <w:tc>
          <w:tcPr>
            <w:tcW w:w="794" w:type="dxa"/>
            <w:tcBorders>
              <w:top w:val="nil"/>
              <w:bottom w:val="single" w:sz="4" w:space="0" w:color="1F497D" w:themeColor="text2"/>
            </w:tcBorders>
            <w:shd w:val="clear" w:color="auto" w:fill="auto"/>
            <w:vAlign w:val="center"/>
            <w:hideMark/>
          </w:tcPr>
          <w:p w:rsidR="00DA6B3F" w:rsidRDefault="00DA6B3F">
            <w:pPr>
              <w:jc w:val="right"/>
              <w:rPr>
                <w:b/>
                <w:bCs/>
                <w:color w:val="000000"/>
                <w:sz w:val="20"/>
              </w:rPr>
            </w:pPr>
            <w:r>
              <w:rPr>
                <w:b/>
                <w:bCs/>
                <w:color w:val="000000"/>
                <w:sz w:val="20"/>
              </w:rPr>
              <w:t>1.6</w:t>
            </w:r>
          </w:p>
        </w:tc>
        <w:tc>
          <w:tcPr>
            <w:tcW w:w="794" w:type="dxa"/>
            <w:tcBorders>
              <w:top w:val="nil"/>
              <w:bottom w:val="single" w:sz="4" w:space="0" w:color="1F497D" w:themeColor="text2"/>
            </w:tcBorders>
            <w:shd w:val="clear" w:color="auto" w:fill="auto"/>
            <w:vAlign w:val="center"/>
            <w:hideMark/>
          </w:tcPr>
          <w:p w:rsidR="00DA6B3F" w:rsidRDefault="00DA6B3F">
            <w:pPr>
              <w:jc w:val="right"/>
              <w:rPr>
                <w:b/>
                <w:bCs/>
                <w:color w:val="000000"/>
                <w:sz w:val="20"/>
              </w:rPr>
            </w:pPr>
            <w:r>
              <w:rPr>
                <w:b/>
                <w:bCs/>
                <w:color w:val="000000"/>
                <w:sz w:val="20"/>
              </w:rPr>
              <w:t>1.7</w:t>
            </w:r>
          </w:p>
        </w:tc>
        <w:tc>
          <w:tcPr>
            <w:tcW w:w="794" w:type="dxa"/>
            <w:tcBorders>
              <w:top w:val="nil"/>
              <w:bottom w:val="single" w:sz="4" w:space="0" w:color="1F497D" w:themeColor="text2"/>
            </w:tcBorders>
            <w:shd w:val="clear" w:color="auto" w:fill="auto"/>
            <w:vAlign w:val="center"/>
            <w:hideMark/>
          </w:tcPr>
          <w:p w:rsidR="00DA6B3F" w:rsidRDefault="00DA6B3F">
            <w:pPr>
              <w:jc w:val="right"/>
              <w:rPr>
                <w:b/>
                <w:bCs/>
                <w:color w:val="000000"/>
                <w:sz w:val="20"/>
              </w:rPr>
            </w:pPr>
            <w:r>
              <w:rPr>
                <w:b/>
                <w:bCs/>
                <w:color w:val="000000"/>
                <w:sz w:val="20"/>
              </w:rPr>
              <w:t>1.7</w:t>
            </w:r>
          </w:p>
        </w:tc>
        <w:tc>
          <w:tcPr>
            <w:tcW w:w="794" w:type="dxa"/>
            <w:tcBorders>
              <w:top w:val="nil"/>
              <w:bottom w:val="single" w:sz="4" w:space="0" w:color="1F497D" w:themeColor="text2"/>
            </w:tcBorders>
            <w:shd w:val="clear" w:color="auto" w:fill="auto"/>
            <w:vAlign w:val="center"/>
            <w:hideMark/>
          </w:tcPr>
          <w:p w:rsidR="00DA6B3F" w:rsidRDefault="00DA6B3F">
            <w:pPr>
              <w:jc w:val="right"/>
              <w:rPr>
                <w:b/>
                <w:bCs/>
                <w:color w:val="000000"/>
                <w:sz w:val="20"/>
              </w:rPr>
            </w:pPr>
            <w:r>
              <w:rPr>
                <w:b/>
                <w:bCs/>
                <w:color w:val="000000"/>
                <w:sz w:val="20"/>
              </w:rPr>
              <w:t>1.7</w:t>
            </w:r>
          </w:p>
        </w:tc>
      </w:tr>
    </w:tbl>
    <w:p w:rsidR="002E0107" w:rsidRDefault="002E0107" w:rsidP="002E0107">
      <w:pPr>
        <w:pStyle w:val="Source"/>
      </w:pPr>
      <w:r>
        <w:t>Source: KPMG analysis</w:t>
      </w:r>
    </w:p>
    <w:p w:rsidR="000E1FD9" w:rsidRDefault="000E1FD9" w:rsidP="000E1FD9">
      <w:pPr>
        <w:pStyle w:val="BodyText"/>
      </w:pPr>
    </w:p>
    <w:p w:rsidR="002E0107" w:rsidRDefault="002E0107">
      <w:pPr>
        <w:rPr>
          <w:bCs/>
          <w:i/>
          <w:sz w:val="20"/>
        </w:rPr>
      </w:pPr>
      <w:r>
        <w:br w:type="page"/>
      </w:r>
    </w:p>
    <w:p w:rsidR="002E0107" w:rsidRDefault="002E0107" w:rsidP="002E0107">
      <w:pPr>
        <w:pStyle w:val="Caption"/>
      </w:pPr>
      <w:r>
        <w:lastRenderedPageBreak/>
        <w:t xml:space="preserve">Appendix Table D </w:t>
      </w:r>
      <w:r w:rsidR="00586F30">
        <w:fldChar w:fldCharType="begin"/>
      </w:r>
      <w:r>
        <w:instrText xml:space="preserve"> SEQ Appendix_Table_D \* ARABIC </w:instrText>
      </w:r>
      <w:r w:rsidR="00586F30">
        <w:fldChar w:fldCharType="separate"/>
      </w:r>
      <w:r w:rsidR="001E5D7A">
        <w:rPr>
          <w:noProof/>
        </w:rPr>
        <w:t>2</w:t>
      </w:r>
      <w:r w:rsidR="00586F30">
        <w:fldChar w:fldCharType="end"/>
      </w:r>
      <w:r>
        <w:t>: Costs and benefits, Option 2 ($ million 2014)</w:t>
      </w:r>
    </w:p>
    <w:tbl>
      <w:tblPr>
        <w:tblW w:w="13835" w:type="dxa"/>
        <w:tblInd w:w="108" w:type="dxa"/>
        <w:tblBorders>
          <w:top w:val="single" w:sz="4" w:space="0" w:color="1F497D" w:themeColor="text2"/>
          <w:left w:val="single" w:sz="4" w:space="0" w:color="1F497D" w:themeColor="text2"/>
          <w:bottom w:val="single" w:sz="4" w:space="0" w:color="1F497D" w:themeColor="text2"/>
          <w:right w:val="single" w:sz="4" w:space="0" w:color="1F497D" w:themeColor="text2"/>
        </w:tblBorders>
        <w:tblLayout w:type="fixed"/>
        <w:tblLook w:val="04A0"/>
      </w:tblPr>
      <w:tblGrid>
        <w:gridCol w:w="4111"/>
        <w:gridCol w:w="884"/>
        <w:gridCol w:w="884"/>
        <w:gridCol w:w="884"/>
        <w:gridCol w:w="884"/>
        <w:gridCol w:w="884"/>
        <w:gridCol w:w="884"/>
        <w:gridCol w:w="884"/>
        <w:gridCol w:w="884"/>
        <w:gridCol w:w="884"/>
        <w:gridCol w:w="884"/>
        <w:gridCol w:w="884"/>
      </w:tblGrid>
      <w:tr w:rsidR="0016103D" w:rsidRPr="002E0107" w:rsidTr="0016103D">
        <w:trPr>
          <w:trHeight w:val="300"/>
        </w:trPr>
        <w:tc>
          <w:tcPr>
            <w:tcW w:w="4111" w:type="dxa"/>
            <w:tcBorders>
              <w:top w:val="single" w:sz="4" w:space="0" w:color="1F497D" w:themeColor="text2"/>
              <w:bottom w:val="nil"/>
              <w:right w:val="single" w:sz="4" w:space="0" w:color="1F497D" w:themeColor="text2"/>
            </w:tcBorders>
            <w:shd w:val="clear" w:color="auto" w:fill="1F497D" w:themeFill="text2"/>
            <w:vAlign w:val="center"/>
            <w:hideMark/>
          </w:tcPr>
          <w:p w:rsidR="002E0107" w:rsidRPr="002E0107" w:rsidRDefault="002E0107" w:rsidP="00F75AA6">
            <w:pPr>
              <w:jc w:val="right"/>
              <w:rPr>
                <w:b/>
                <w:color w:val="FFFFFF" w:themeColor="background1"/>
                <w:sz w:val="20"/>
                <w:lang w:eastAsia="en-AU"/>
              </w:rPr>
            </w:pPr>
          </w:p>
        </w:tc>
        <w:tc>
          <w:tcPr>
            <w:tcW w:w="884" w:type="dxa"/>
            <w:tcBorders>
              <w:left w:val="single" w:sz="4" w:space="0" w:color="1F497D" w:themeColor="text2"/>
            </w:tcBorders>
            <w:shd w:val="clear" w:color="auto" w:fill="1F497D" w:themeFill="text2"/>
            <w:vAlign w:val="center"/>
            <w:hideMark/>
          </w:tcPr>
          <w:p w:rsidR="002E0107" w:rsidRPr="002E0107" w:rsidRDefault="002E0107" w:rsidP="00F75AA6">
            <w:pPr>
              <w:jc w:val="right"/>
              <w:rPr>
                <w:b/>
                <w:color w:val="FFFFFF" w:themeColor="background1"/>
                <w:sz w:val="20"/>
                <w:lang w:eastAsia="en-AU"/>
              </w:rPr>
            </w:pPr>
            <w:r w:rsidRPr="002E0107">
              <w:rPr>
                <w:b/>
                <w:color w:val="FFFFFF" w:themeColor="background1"/>
                <w:sz w:val="20"/>
                <w:lang w:eastAsia="en-AU"/>
              </w:rPr>
              <w:t>2014</w:t>
            </w:r>
          </w:p>
        </w:tc>
        <w:tc>
          <w:tcPr>
            <w:tcW w:w="884" w:type="dxa"/>
            <w:shd w:val="clear" w:color="auto" w:fill="1F497D" w:themeFill="text2"/>
            <w:vAlign w:val="center"/>
            <w:hideMark/>
          </w:tcPr>
          <w:p w:rsidR="002E0107" w:rsidRPr="002E0107" w:rsidRDefault="002E0107" w:rsidP="00F75AA6">
            <w:pPr>
              <w:jc w:val="right"/>
              <w:rPr>
                <w:b/>
                <w:color w:val="FFFFFF" w:themeColor="background1"/>
                <w:sz w:val="20"/>
                <w:lang w:eastAsia="en-AU"/>
              </w:rPr>
            </w:pPr>
            <w:r w:rsidRPr="002E0107">
              <w:rPr>
                <w:b/>
                <w:color w:val="FFFFFF" w:themeColor="background1"/>
                <w:sz w:val="20"/>
                <w:lang w:eastAsia="en-AU"/>
              </w:rPr>
              <w:t>2015</w:t>
            </w:r>
          </w:p>
        </w:tc>
        <w:tc>
          <w:tcPr>
            <w:tcW w:w="884" w:type="dxa"/>
            <w:shd w:val="clear" w:color="auto" w:fill="1F497D" w:themeFill="text2"/>
            <w:vAlign w:val="center"/>
            <w:hideMark/>
          </w:tcPr>
          <w:p w:rsidR="002E0107" w:rsidRPr="002E0107" w:rsidRDefault="002E0107" w:rsidP="00F75AA6">
            <w:pPr>
              <w:jc w:val="right"/>
              <w:rPr>
                <w:b/>
                <w:color w:val="FFFFFF" w:themeColor="background1"/>
                <w:sz w:val="20"/>
                <w:lang w:eastAsia="en-AU"/>
              </w:rPr>
            </w:pPr>
            <w:r w:rsidRPr="002E0107">
              <w:rPr>
                <w:b/>
                <w:color w:val="FFFFFF" w:themeColor="background1"/>
                <w:sz w:val="20"/>
                <w:lang w:eastAsia="en-AU"/>
              </w:rPr>
              <w:t>2016</w:t>
            </w:r>
          </w:p>
        </w:tc>
        <w:tc>
          <w:tcPr>
            <w:tcW w:w="884" w:type="dxa"/>
            <w:shd w:val="clear" w:color="auto" w:fill="1F497D" w:themeFill="text2"/>
            <w:vAlign w:val="center"/>
            <w:hideMark/>
          </w:tcPr>
          <w:p w:rsidR="002E0107" w:rsidRPr="002E0107" w:rsidRDefault="002E0107" w:rsidP="00F75AA6">
            <w:pPr>
              <w:jc w:val="right"/>
              <w:rPr>
                <w:b/>
                <w:color w:val="FFFFFF" w:themeColor="background1"/>
                <w:sz w:val="20"/>
                <w:lang w:eastAsia="en-AU"/>
              </w:rPr>
            </w:pPr>
            <w:r w:rsidRPr="002E0107">
              <w:rPr>
                <w:b/>
                <w:color w:val="FFFFFF" w:themeColor="background1"/>
                <w:sz w:val="20"/>
                <w:lang w:eastAsia="en-AU"/>
              </w:rPr>
              <w:t>2017</w:t>
            </w:r>
          </w:p>
        </w:tc>
        <w:tc>
          <w:tcPr>
            <w:tcW w:w="884" w:type="dxa"/>
            <w:shd w:val="clear" w:color="auto" w:fill="1F497D" w:themeFill="text2"/>
            <w:vAlign w:val="center"/>
            <w:hideMark/>
          </w:tcPr>
          <w:p w:rsidR="002E0107" w:rsidRPr="002E0107" w:rsidRDefault="002E0107" w:rsidP="00F75AA6">
            <w:pPr>
              <w:jc w:val="right"/>
              <w:rPr>
                <w:b/>
                <w:color w:val="FFFFFF" w:themeColor="background1"/>
                <w:sz w:val="20"/>
                <w:lang w:eastAsia="en-AU"/>
              </w:rPr>
            </w:pPr>
            <w:r w:rsidRPr="002E0107">
              <w:rPr>
                <w:b/>
                <w:color w:val="FFFFFF" w:themeColor="background1"/>
                <w:sz w:val="20"/>
                <w:lang w:eastAsia="en-AU"/>
              </w:rPr>
              <w:t>2018</w:t>
            </w:r>
          </w:p>
        </w:tc>
        <w:tc>
          <w:tcPr>
            <w:tcW w:w="884" w:type="dxa"/>
            <w:shd w:val="clear" w:color="auto" w:fill="1F497D" w:themeFill="text2"/>
            <w:vAlign w:val="center"/>
            <w:hideMark/>
          </w:tcPr>
          <w:p w:rsidR="002E0107" w:rsidRPr="002E0107" w:rsidRDefault="002E0107" w:rsidP="00F75AA6">
            <w:pPr>
              <w:jc w:val="right"/>
              <w:rPr>
                <w:b/>
                <w:color w:val="FFFFFF" w:themeColor="background1"/>
                <w:sz w:val="20"/>
                <w:lang w:eastAsia="en-AU"/>
              </w:rPr>
            </w:pPr>
            <w:r w:rsidRPr="002E0107">
              <w:rPr>
                <w:b/>
                <w:color w:val="FFFFFF" w:themeColor="background1"/>
                <w:sz w:val="20"/>
                <w:lang w:eastAsia="en-AU"/>
              </w:rPr>
              <w:t>2019</w:t>
            </w:r>
          </w:p>
        </w:tc>
        <w:tc>
          <w:tcPr>
            <w:tcW w:w="884" w:type="dxa"/>
            <w:shd w:val="clear" w:color="auto" w:fill="1F497D" w:themeFill="text2"/>
            <w:vAlign w:val="center"/>
            <w:hideMark/>
          </w:tcPr>
          <w:p w:rsidR="002E0107" w:rsidRPr="002E0107" w:rsidRDefault="002E0107" w:rsidP="00F75AA6">
            <w:pPr>
              <w:jc w:val="right"/>
              <w:rPr>
                <w:b/>
                <w:color w:val="FFFFFF" w:themeColor="background1"/>
                <w:sz w:val="20"/>
                <w:lang w:eastAsia="en-AU"/>
              </w:rPr>
            </w:pPr>
            <w:r w:rsidRPr="002E0107">
              <w:rPr>
                <w:b/>
                <w:color w:val="FFFFFF" w:themeColor="background1"/>
                <w:sz w:val="20"/>
                <w:lang w:eastAsia="en-AU"/>
              </w:rPr>
              <w:t>2020</w:t>
            </w:r>
          </w:p>
        </w:tc>
        <w:tc>
          <w:tcPr>
            <w:tcW w:w="884" w:type="dxa"/>
            <w:shd w:val="clear" w:color="auto" w:fill="1F497D" w:themeFill="text2"/>
            <w:vAlign w:val="center"/>
            <w:hideMark/>
          </w:tcPr>
          <w:p w:rsidR="002E0107" w:rsidRPr="002E0107" w:rsidRDefault="002E0107" w:rsidP="00F75AA6">
            <w:pPr>
              <w:jc w:val="right"/>
              <w:rPr>
                <w:b/>
                <w:color w:val="FFFFFF" w:themeColor="background1"/>
                <w:sz w:val="20"/>
                <w:lang w:eastAsia="en-AU"/>
              </w:rPr>
            </w:pPr>
            <w:r w:rsidRPr="002E0107">
              <w:rPr>
                <w:b/>
                <w:color w:val="FFFFFF" w:themeColor="background1"/>
                <w:sz w:val="20"/>
                <w:lang w:eastAsia="en-AU"/>
              </w:rPr>
              <w:t>2021</w:t>
            </w:r>
          </w:p>
        </w:tc>
        <w:tc>
          <w:tcPr>
            <w:tcW w:w="884" w:type="dxa"/>
            <w:shd w:val="clear" w:color="auto" w:fill="1F497D" w:themeFill="text2"/>
            <w:vAlign w:val="center"/>
            <w:hideMark/>
          </w:tcPr>
          <w:p w:rsidR="002E0107" w:rsidRPr="002E0107" w:rsidRDefault="002E0107" w:rsidP="00F75AA6">
            <w:pPr>
              <w:jc w:val="right"/>
              <w:rPr>
                <w:b/>
                <w:color w:val="FFFFFF" w:themeColor="background1"/>
                <w:sz w:val="20"/>
                <w:lang w:eastAsia="en-AU"/>
              </w:rPr>
            </w:pPr>
            <w:r w:rsidRPr="002E0107">
              <w:rPr>
                <w:b/>
                <w:color w:val="FFFFFF" w:themeColor="background1"/>
                <w:sz w:val="20"/>
                <w:lang w:eastAsia="en-AU"/>
              </w:rPr>
              <w:t>2022</w:t>
            </w:r>
          </w:p>
        </w:tc>
        <w:tc>
          <w:tcPr>
            <w:tcW w:w="884" w:type="dxa"/>
            <w:shd w:val="clear" w:color="auto" w:fill="1F497D" w:themeFill="text2"/>
            <w:vAlign w:val="center"/>
            <w:hideMark/>
          </w:tcPr>
          <w:p w:rsidR="002E0107" w:rsidRPr="002E0107" w:rsidRDefault="002E0107" w:rsidP="00F75AA6">
            <w:pPr>
              <w:jc w:val="right"/>
              <w:rPr>
                <w:b/>
                <w:color w:val="FFFFFF" w:themeColor="background1"/>
                <w:sz w:val="20"/>
                <w:lang w:eastAsia="en-AU"/>
              </w:rPr>
            </w:pPr>
            <w:r w:rsidRPr="002E0107">
              <w:rPr>
                <w:b/>
                <w:color w:val="FFFFFF" w:themeColor="background1"/>
                <w:sz w:val="20"/>
                <w:lang w:eastAsia="en-AU"/>
              </w:rPr>
              <w:t>2023</w:t>
            </w:r>
          </w:p>
        </w:tc>
        <w:tc>
          <w:tcPr>
            <w:tcW w:w="884" w:type="dxa"/>
            <w:shd w:val="clear" w:color="auto" w:fill="1F497D" w:themeFill="text2"/>
            <w:vAlign w:val="center"/>
            <w:hideMark/>
          </w:tcPr>
          <w:p w:rsidR="002E0107" w:rsidRPr="002E0107" w:rsidRDefault="002E0107" w:rsidP="00F75AA6">
            <w:pPr>
              <w:jc w:val="right"/>
              <w:rPr>
                <w:b/>
                <w:color w:val="FFFFFF" w:themeColor="background1"/>
                <w:sz w:val="20"/>
                <w:lang w:eastAsia="en-AU"/>
              </w:rPr>
            </w:pPr>
            <w:r w:rsidRPr="002E0107">
              <w:rPr>
                <w:b/>
                <w:color w:val="FFFFFF" w:themeColor="background1"/>
                <w:sz w:val="20"/>
                <w:lang w:eastAsia="en-AU"/>
              </w:rPr>
              <w:t>2024</w:t>
            </w:r>
          </w:p>
        </w:tc>
      </w:tr>
      <w:tr w:rsidR="0016103D" w:rsidRPr="002E0107" w:rsidTr="0016103D">
        <w:trPr>
          <w:trHeight w:val="300"/>
        </w:trPr>
        <w:tc>
          <w:tcPr>
            <w:tcW w:w="4111" w:type="dxa"/>
            <w:tcBorders>
              <w:top w:val="nil"/>
              <w:bottom w:val="nil"/>
              <w:right w:val="single" w:sz="4" w:space="0" w:color="1F497D" w:themeColor="text2"/>
            </w:tcBorders>
            <w:shd w:val="clear" w:color="auto" w:fill="C6D9F1" w:themeFill="text2" w:themeFillTint="33"/>
            <w:vAlign w:val="center"/>
            <w:hideMark/>
          </w:tcPr>
          <w:p w:rsidR="002E0107" w:rsidRPr="002E0107" w:rsidRDefault="002E0107" w:rsidP="00F75AA6">
            <w:pPr>
              <w:rPr>
                <w:b/>
                <w:bCs/>
                <w:color w:val="000000"/>
                <w:sz w:val="20"/>
                <w:lang w:eastAsia="en-AU"/>
              </w:rPr>
            </w:pPr>
            <w:r w:rsidRPr="002E0107">
              <w:rPr>
                <w:b/>
                <w:bCs/>
                <w:color w:val="000000"/>
                <w:sz w:val="20"/>
                <w:lang w:eastAsia="en-AU"/>
              </w:rPr>
              <w:t>Costs</w:t>
            </w:r>
          </w:p>
        </w:tc>
        <w:tc>
          <w:tcPr>
            <w:tcW w:w="884" w:type="dxa"/>
            <w:tcBorders>
              <w:left w:val="single" w:sz="4" w:space="0" w:color="1F497D" w:themeColor="text2"/>
            </w:tcBorders>
            <w:shd w:val="clear" w:color="auto" w:fill="C6D9F1" w:themeFill="text2" w:themeFillTint="33"/>
            <w:hideMark/>
          </w:tcPr>
          <w:p w:rsidR="002E0107" w:rsidRPr="002E0107" w:rsidRDefault="002E0107" w:rsidP="00F75AA6">
            <w:pPr>
              <w:rPr>
                <w:color w:val="000000"/>
                <w:sz w:val="20"/>
                <w:lang w:eastAsia="en-AU"/>
              </w:rPr>
            </w:pPr>
          </w:p>
        </w:tc>
        <w:tc>
          <w:tcPr>
            <w:tcW w:w="884" w:type="dxa"/>
            <w:shd w:val="clear" w:color="auto" w:fill="C6D9F1" w:themeFill="text2" w:themeFillTint="33"/>
            <w:hideMark/>
          </w:tcPr>
          <w:p w:rsidR="002E0107" w:rsidRPr="002E0107" w:rsidRDefault="002E0107" w:rsidP="00F75AA6">
            <w:pPr>
              <w:rPr>
                <w:color w:val="000000"/>
                <w:sz w:val="20"/>
                <w:lang w:eastAsia="en-AU"/>
              </w:rPr>
            </w:pPr>
          </w:p>
        </w:tc>
        <w:tc>
          <w:tcPr>
            <w:tcW w:w="884" w:type="dxa"/>
            <w:shd w:val="clear" w:color="auto" w:fill="C6D9F1" w:themeFill="text2" w:themeFillTint="33"/>
            <w:hideMark/>
          </w:tcPr>
          <w:p w:rsidR="002E0107" w:rsidRPr="002E0107" w:rsidRDefault="002E0107" w:rsidP="00F75AA6">
            <w:pPr>
              <w:rPr>
                <w:color w:val="000000"/>
                <w:sz w:val="20"/>
                <w:lang w:eastAsia="en-AU"/>
              </w:rPr>
            </w:pPr>
          </w:p>
        </w:tc>
        <w:tc>
          <w:tcPr>
            <w:tcW w:w="884" w:type="dxa"/>
            <w:shd w:val="clear" w:color="auto" w:fill="C6D9F1" w:themeFill="text2" w:themeFillTint="33"/>
            <w:hideMark/>
          </w:tcPr>
          <w:p w:rsidR="002E0107" w:rsidRPr="002E0107" w:rsidRDefault="002E0107" w:rsidP="00F75AA6">
            <w:pPr>
              <w:rPr>
                <w:color w:val="000000"/>
                <w:sz w:val="20"/>
                <w:lang w:eastAsia="en-AU"/>
              </w:rPr>
            </w:pPr>
          </w:p>
        </w:tc>
        <w:tc>
          <w:tcPr>
            <w:tcW w:w="884" w:type="dxa"/>
            <w:shd w:val="clear" w:color="auto" w:fill="C6D9F1" w:themeFill="text2" w:themeFillTint="33"/>
            <w:hideMark/>
          </w:tcPr>
          <w:p w:rsidR="002E0107" w:rsidRPr="002E0107" w:rsidRDefault="002E0107" w:rsidP="00F75AA6">
            <w:pPr>
              <w:rPr>
                <w:color w:val="000000"/>
                <w:sz w:val="20"/>
                <w:lang w:eastAsia="en-AU"/>
              </w:rPr>
            </w:pPr>
          </w:p>
        </w:tc>
        <w:tc>
          <w:tcPr>
            <w:tcW w:w="884" w:type="dxa"/>
            <w:shd w:val="clear" w:color="auto" w:fill="C6D9F1" w:themeFill="text2" w:themeFillTint="33"/>
            <w:hideMark/>
          </w:tcPr>
          <w:p w:rsidR="002E0107" w:rsidRPr="002E0107" w:rsidRDefault="002E0107" w:rsidP="00F75AA6">
            <w:pPr>
              <w:rPr>
                <w:color w:val="000000"/>
                <w:sz w:val="20"/>
                <w:lang w:eastAsia="en-AU"/>
              </w:rPr>
            </w:pPr>
          </w:p>
        </w:tc>
        <w:tc>
          <w:tcPr>
            <w:tcW w:w="884" w:type="dxa"/>
            <w:shd w:val="clear" w:color="auto" w:fill="C6D9F1" w:themeFill="text2" w:themeFillTint="33"/>
            <w:hideMark/>
          </w:tcPr>
          <w:p w:rsidR="002E0107" w:rsidRPr="002E0107" w:rsidRDefault="002E0107" w:rsidP="00F75AA6">
            <w:pPr>
              <w:rPr>
                <w:color w:val="000000"/>
                <w:sz w:val="20"/>
                <w:lang w:eastAsia="en-AU"/>
              </w:rPr>
            </w:pPr>
          </w:p>
        </w:tc>
        <w:tc>
          <w:tcPr>
            <w:tcW w:w="884" w:type="dxa"/>
            <w:shd w:val="clear" w:color="auto" w:fill="C6D9F1" w:themeFill="text2" w:themeFillTint="33"/>
            <w:hideMark/>
          </w:tcPr>
          <w:p w:rsidR="002E0107" w:rsidRPr="002E0107" w:rsidRDefault="002E0107" w:rsidP="00F75AA6">
            <w:pPr>
              <w:rPr>
                <w:color w:val="000000"/>
                <w:sz w:val="20"/>
                <w:lang w:eastAsia="en-AU"/>
              </w:rPr>
            </w:pPr>
          </w:p>
        </w:tc>
        <w:tc>
          <w:tcPr>
            <w:tcW w:w="884" w:type="dxa"/>
            <w:shd w:val="clear" w:color="auto" w:fill="C6D9F1" w:themeFill="text2" w:themeFillTint="33"/>
            <w:hideMark/>
          </w:tcPr>
          <w:p w:rsidR="002E0107" w:rsidRPr="002E0107" w:rsidRDefault="002E0107" w:rsidP="00F75AA6">
            <w:pPr>
              <w:rPr>
                <w:color w:val="000000"/>
                <w:sz w:val="20"/>
                <w:lang w:eastAsia="en-AU"/>
              </w:rPr>
            </w:pPr>
          </w:p>
        </w:tc>
        <w:tc>
          <w:tcPr>
            <w:tcW w:w="884" w:type="dxa"/>
            <w:shd w:val="clear" w:color="auto" w:fill="C6D9F1" w:themeFill="text2" w:themeFillTint="33"/>
            <w:hideMark/>
          </w:tcPr>
          <w:p w:rsidR="002E0107" w:rsidRPr="002E0107" w:rsidRDefault="002E0107" w:rsidP="00F75AA6">
            <w:pPr>
              <w:rPr>
                <w:color w:val="000000"/>
                <w:sz w:val="20"/>
                <w:lang w:eastAsia="en-AU"/>
              </w:rPr>
            </w:pPr>
          </w:p>
        </w:tc>
        <w:tc>
          <w:tcPr>
            <w:tcW w:w="884" w:type="dxa"/>
            <w:shd w:val="clear" w:color="auto" w:fill="C6D9F1" w:themeFill="text2" w:themeFillTint="33"/>
            <w:hideMark/>
          </w:tcPr>
          <w:p w:rsidR="002E0107" w:rsidRPr="002E0107" w:rsidRDefault="002E0107" w:rsidP="00F75AA6">
            <w:pPr>
              <w:rPr>
                <w:color w:val="000000"/>
                <w:sz w:val="20"/>
                <w:lang w:eastAsia="en-AU"/>
              </w:rPr>
            </w:pPr>
          </w:p>
        </w:tc>
      </w:tr>
      <w:tr w:rsidR="00DA6B3F" w:rsidRPr="002E0107" w:rsidTr="0016103D">
        <w:trPr>
          <w:trHeight w:val="300"/>
        </w:trPr>
        <w:tc>
          <w:tcPr>
            <w:tcW w:w="4111" w:type="dxa"/>
            <w:tcBorders>
              <w:top w:val="nil"/>
              <w:bottom w:val="nil"/>
              <w:right w:val="single" w:sz="4" w:space="0" w:color="1F497D" w:themeColor="text2"/>
            </w:tcBorders>
            <w:shd w:val="clear" w:color="auto" w:fill="auto"/>
            <w:vAlign w:val="center"/>
            <w:hideMark/>
          </w:tcPr>
          <w:p w:rsidR="00DA6B3F" w:rsidRPr="0016103D" w:rsidRDefault="00DA6B3F" w:rsidP="0016103D">
            <w:pPr>
              <w:rPr>
                <w:color w:val="000000"/>
                <w:sz w:val="20"/>
              </w:rPr>
            </w:pPr>
            <w:r w:rsidRPr="0016103D">
              <w:rPr>
                <w:color w:val="000000"/>
                <w:sz w:val="20"/>
              </w:rPr>
              <w:t>Cost of regulatory compliance – government</w:t>
            </w:r>
          </w:p>
        </w:tc>
        <w:tc>
          <w:tcPr>
            <w:tcW w:w="884" w:type="dxa"/>
            <w:tcBorders>
              <w:left w:val="single" w:sz="4" w:space="0" w:color="1F497D" w:themeColor="text2"/>
            </w:tcBorders>
            <w:shd w:val="clear" w:color="auto" w:fill="auto"/>
            <w:vAlign w:val="center"/>
            <w:hideMark/>
          </w:tcPr>
          <w:p w:rsidR="00DA6B3F" w:rsidRDefault="00DA6B3F">
            <w:pPr>
              <w:jc w:val="right"/>
              <w:rPr>
                <w:color w:val="000000"/>
                <w:sz w:val="20"/>
              </w:rPr>
            </w:pPr>
            <w:r>
              <w:rPr>
                <w:color w:val="000000"/>
                <w:sz w:val="20"/>
              </w:rPr>
              <w:t>3.4</w:t>
            </w:r>
          </w:p>
        </w:tc>
        <w:tc>
          <w:tcPr>
            <w:tcW w:w="884" w:type="dxa"/>
            <w:shd w:val="clear" w:color="auto" w:fill="auto"/>
            <w:vAlign w:val="center"/>
            <w:hideMark/>
          </w:tcPr>
          <w:p w:rsidR="00DA6B3F" w:rsidRDefault="00DA6B3F">
            <w:pPr>
              <w:jc w:val="right"/>
              <w:rPr>
                <w:color w:val="000000"/>
                <w:sz w:val="20"/>
              </w:rPr>
            </w:pPr>
            <w:r>
              <w:rPr>
                <w:color w:val="000000"/>
                <w:sz w:val="20"/>
              </w:rPr>
              <w:t>2.5</w:t>
            </w:r>
          </w:p>
        </w:tc>
        <w:tc>
          <w:tcPr>
            <w:tcW w:w="884" w:type="dxa"/>
            <w:shd w:val="clear" w:color="auto" w:fill="auto"/>
            <w:vAlign w:val="center"/>
            <w:hideMark/>
          </w:tcPr>
          <w:p w:rsidR="00DA6B3F" w:rsidRDefault="00DA6B3F">
            <w:pPr>
              <w:jc w:val="right"/>
              <w:rPr>
                <w:color w:val="000000"/>
                <w:sz w:val="20"/>
              </w:rPr>
            </w:pPr>
            <w:r>
              <w:rPr>
                <w:color w:val="000000"/>
                <w:sz w:val="20"/>
              </w:rPr>
              <w:t>2.5</w:t>
            </w:r>
          </w:p>
        </w:tc>
        <w:tc>
          <w:tcPr>
            <w:tcW w:w="884" w:type="dxa"/>
            <w:shd w:val="clear" w:color="auto" w:fill="auto"/>
            <w:vAlign w:val="center"/>
            <w:hideMark/>
          </w:tcPr>
          <w:p w:rsidR="00DA6B3F" w:rsidRDefault="00DA6B3F">
            <w:pPr>
              <w:jc w:val="right"/>
              <w:rPr>
                <w:color w:val="000000"/>
                <w:sz w:val="20"/>
              </w:rPr>
            </w:pPr>
            <w:r>
              <w:rPr>
                <w:color w:val="000000"/>
                <w:sz w:val="20"/>
              </w:rPr>
              <w:t>1.3</w:t>
            </w:r>
          </w:p>
        </w:tc>
        <w:tc>
          <w:tcPr>
            <w:tcW w:w="884" w:type="dxa"/>
            <w:shd w:val="clear" w:color="auto" w:fill="auto"/>
            <w:vAlign w:val="center"/>
            <w:hideMark/>
          </w:tcPr>
          <w:p w:rsidR="00DA6B3F" w:rsidRDefault="00DA6B3F">
            <w:pPr>
              <w:jc w:val="right"/>
              <w:rPr>
                <w:color w:val="000000"/>
                <w:sz w:val="20"/>
              </w:rPr>
            </w:pPr>
            <w:r>
              <w:rPr>
                <w:color w:val="000000"/>
                <w:sz w:val="20"/>
              </w:rPr>
              <w:t>1.3</w:t>
            </w:r>
          </w:p>
        </w:tc>
        <w:tc>
          <w:tcPr>
            <w:tcW w:w="884" w:type="dxa"/>
            <w:shd w:val="clear" w:color="auto" w:fill="auto"/>
            <w:vAlign w:val="center"/>
            <w:hideMark/>
          </w:tcPr>
          <w:p w:rsidR="00DA6B3F" w:rsidRDefault="00DA6B3F">
            <w:pPr>
              <w:jc w:val="right"/>
              <w:rPr>
                <w:color w:val="000000"/>
                <w:sz w:val="20"/>
              </w:rPr>
            </w:pPr>
            <w:r>
              <w:rPr>
                <w:color w:val="000000"/>
                <w:sz w:val="20"/>
              </w:rPr>
              <w:t>1.3</w:t>
            </w:r>
          </w:p>
        </w:tc>
        <w:tc>
          <w:tcPr>
            <w:tcW w:w="884" w:type="dxa"/>
            <w:shd w:val="clear" w:color="auto" w:fill="auto"/>
            <w:vAlign w:val="center"/>
            <w:hideMark/>
          </w:tcPr>
          <w:p w:rsidR="00DA6B3F" w:rsidRDefault="00DA6B3F">
            <w:pPr>
              <w:jc w:val="right"/>
              <w:rPr>
                <w:color w:val="000000"/>
                <w:sz w:val="20"/>
              </w:rPr>
            </w:pPr>
            <w:r>
              <w:rPr>
                <w:color w:val="000000"/>
                <w:sz w:val="20"/>
              </w:rPr>
              <w:t>1.3</w:t>
            </w:r>
          </w:p>
        </w:tc>
        <w:tc>
          <w:tcPr>
            <w:tcW w:w="884" w:type="dxa"/>
            <w:shd w:val="clear" w:color="auto" w:fill="auto"/>
            <w:vAlign w:val="center"/>
            <w:hideMark/>
          </w:tcPr>
          <w:p w:rsidR="00DA6B3F" w:rsidRDefault="00DA6B3F">
            <w:pPr>
              <w:jc w:val="right"/>
              <w:rPr>
                <w:color w:val="000000"/>
                <w:sz w:val="20"/>
              </w:rPr>
            </w:pPr>
            <w:r>
              <w:rPr>
                <w:color w:val="000000"/>
                <w:sz w:val="20"/>
              </w:rPr>
              <w:t>1.3</w:t>
            </w:r>
          </w:p>
        </w:tc>
        <w:tc>
          <w:tcPr>
            <w:tcW w:w="884" w:type="dxa"/>
            <w:shd w:val="clear" w:color="auto" w:fill="auto"/>
            <w:vAlign w:val="center"/>
            <w:hideMark/>
          </w:tcPr>
          <w:p w:rsidR="00DA6B3F" w:rsidRDefault="00DA6B3F">
            <w:pPr>
              <w:jc w:val="right"/>
              <w:rPr>
                <w:color w:val="000000"/>
                <w:sz w:val="20"/>
              </w:rPr>
            </w:pPr>
            <w:r>
              <w:rPr>
                <w:color w:val="000000"/>
                <w:sz w:val="20"/>
              </w:rPr>
              <w:t>1.3</w:t>
            </w:r>
          </w:p>
        </w:tc>
        <w:tc>
          <w:tcPr>
            <w:tcW w:w="884" w:type="dxa"/>
            <w:shd w:val="clear" w:color="auto" w:fill="auto"/>
            <w:vAlign w:val="center"/>
            <w:hideMark/>
          </w:tcPr>
          <w:p w:rsidR="00DA6B3F" w:rsidRDefault="00DA6B3F">
            <w:pPr>
              <w:jc w:val="right"/>
              <w:rPr>
                <w:color w:val="000000"/>
                <w:sz w:val="20"/>
              </w:rPr>
            </w:pPr>
            <w:r>
              <w:rPr>
                <w:color w:val="000000"/>
                <w:sz w:val="20"/>
              </w:rPr>
              <w:t>1.3</w:t>
            </w:r>
          </w:p>
        </w:tc>
        <w:tc>
          <w:tcPr>
            <w:tcW w:w="884" w:type="dxa"/>
            <w:shd w:val="clear" w:color="auto" w:fill="auto"/>
            <w:vAlign w:val="center"/>
            <w:hideMark/>
          </w:tcPr>
          <w:p w:rsidR="00DA6B3F" w:rsidRDefault="00DA6B3F">
            <w:pPr>
              <w:jc w:val="right"/>
              <w:rPr>
                <w:color w:val="000000"/>
                <w:sz w:val="20"/>
              </w:rPr>
            </w:pPr>
            <w:r>
              <w:rPr>
                <w:color w:val="000000"/>
                <w:sz w:val="20"/>
              </w:rPr>
              <w:t>1.3</w:t>
            </w:r>
          </w:p>
        </w:tc>
      </w:tr>
      <w:tr w:rsidR="00DA6B3F" w:rsidRPr="002E0107" w:rsidTr="0016103D">
        <w:trPr>
          <w:trHeight w:val="300"/>
        </w:trPr>
        <w:tc>
          <w:tcPr>
            <w:tcW w:w="4111" w:type="dxa"/>
            <w:tcBorders>
              <w:top w:val="nil"/>
              <w:bottom w:val="nil"/>
              <w:right w:val="single" w:sz="4" w:space="0" w:color="1F497D" w:themeColor="text2"/>
            </w:tcBorders>
            <w:shd w:val="clear" w:color="auto" w:fill="auto"/>
            <w:vAlign w:val="center"/>
            <w:hideMark/>
          </w:tcPr>
          <w:p w:rsidR="00DA6B3F" w:rsidRPr="0016103D" w:rsidRDefault="00DA6B3F" w:rsidP="0016103D">
            <w:pPr>
              <w:rPr>
                <w:color w:val="000000"/>
                <w:sz w:val="20"/>
              </w:rPr>
            </w:pPr>
            <w:r w:rsidRPr="0016103D">
              <w:rPr>
                <w:color w:val="000000"/>
                <w:sz w:val="20"/>
              </w:rPr>
              <w:t>Cost of regulatory compliance – industry</w:t>
            </w:r>
          </w:p>
        </w:tc>
        <w:tc>
          <w:tcPr>
            <w:tcW w:w="884" w:type="dxa"/>
            <w:tcBorders>
              <w:left w:val="single" w:sz="4" w:space="0" w:color="1F497D" w:themeColor="text2"/>
            </w:tcBorders>
            <w:shd w:val="clear" w:color="auto" w:fill="auto"/>
            <w:vAlign w:val="center"/>
            <w:hideMark/>
          </w:tcPr>
          <w:p w:rsidR="00DA6B3F" w:rsidRDefault="00DA6B3F">
            <w:pPr>
              <w:jc w:val="right"/>
              <w:rPr>
                <w:color w:val="000000"/>
                <w:sz w:val="20"/>
              </w:rPr>
            </w:pPr>
            <w:r>
              <w:rPr>
                <w:color w:val="000000"/>
                <w:sz w:val="20"/>
              </w:rPr>
              <w:t>0.6</w:t>
            </w:r>
          </w:p>
        </w:tc>
        <w:tc>
          <w:tcPr>
            <w:tcW w:w="884" w:type="dxa"/>
            <w:shd w:val="clear" w:color="auto" w:fill="auto"/>
            <w:vAlign w:val="center"/>
            <w:hideMark/>
          </w:tcPr>
          <w:p w:rsidR="00DA6B3F" w:rsidRDefault="00DA6B3F">
            <w:pPr>
              <w:jc w:val="right"/>
              <w:rPr>
                <w:color w:val="000000"/>
                <w:sz w:val="20"/>
              </w:rPr>
            </w:pPr>
            <w:r>
              <w:rPr>
                <w:color w:val="000000"/>
                <w:sz w:val="20"/>
              </w:rPr>
              <w:t>0.5</w:t>
            </w:r>
          </w:p>
        </w:tc>
        <w:tc>
          <w:tcPr>
            <w:tcW w:w="884" w:type="dxa"/>
            <w:shd w:val="clear" w:color="auto" w:fill="auto"/>
            <w:vAlign w:val="center"/>
            <w:hideMark/>
          </w:tcPr>
          <w:p w:rsidR="00DA6B3F" w:rsidRDefault="00DA6B3F">
            <w:pPr>
              <w:jc w:val="right"/>
              <w:rPr>
                <w:color w:val="000000"/>
                <w:sz w:val="20"/>
              </w:rPr>
            </w:pPr>
            <w:r>
              <w:rPr>
                <w:color w:val="000000"/>
                <w:sz w:val="20"/>
              </w:rPr>
              <w:t>0.5</w:t>
            </w:r>
          </w:p>
        </w:tc>
        <w:tc>
          <w:tcPr>
            <w:tcW w:w="884" w:type="dxa"/>
            <w:shd w:val="clear" w:color="auto" w:fill="auto"/>
            <w:vAlign w:val="center"/>
            <w:hideMark/>
          </w:tcPr>
          <w:p w:rsidR="00DA6B3F" w:rsidRDefault="00DA6B3F">
            <w:pPr>
              <w:jc w:val="right"/>
              <w:rPr>
                <w:color w:val="000000"/>
                <w:sz w:val="20"/>
              </w:rPr>
            </w:pPr>
            <w:r>
              <w:rPr>
                <w:color w:val="000000"/>
                <w:sz w:val="20"/>
              </w:rPr>
              <w:t>0.5</w:t>
            </w:r>
          </w:p>
        </w:tc>
        <w:tc>
          <w:tcPr>
            <w:tcW w:w="884" w:type="dxa"/>
            <w:shd w:val="clear" w:color="auto" w:fill="auto"/>
            <w:vAlign w:val="center"/>
            <w:hideMark/>
          </w:tcPr>
          <w:p w:rsidR="00DA6B3F" w:rsidRDefault="00DA6B3F">
            <w:pPr>
              <w:jc w:val="right"/>
              <w:rPr>
                <w:color w:val="000000"/>
                <w:sz w:val="20"/>
              </w:rPr>
            </w:pPr>
            <w:r>
              <w:rPr>
                <w:color w:val="000000"/>
                <w:sz w:val="20"/>
              </w:rPr>
              <w:t>0.5</w:t>
            </w:r>
          </w:p>
        </w:tc>
        <w:tc>
          <w:tcPr>
            <w:tcW w:w="884" w:type="dxa"/>
            <w:shd w:val="clear" w:color="auto" w:fill="auto"/>
            <w:vAlign w:val="center"/>
            <w:hideMark/>
          </w:tcPr>
          <w:p w:rsidR="00DA6B3F" w:rsidRDefault="00DA6B3F">
            <w:pPr>
              <w:jc w:val="right"/>
              <w:rPr>
                <w:color w:val="000000"/>
                <w:sz w:val="20"/>
              </w:rPr>
            </w:pPr>
            <w:r>
              <w:rPr>
                <w:color w:val="000000"/>
                <w:sz w:val="20"/>
              </w:rPr>
              <w:t>0.5</w:t>
            </w:r>
          </w:p>
        </w:tc>
        <w:tc>
          <w:tcPr>
            <w:tcW w:w="884" w:type="dxa"/>
            <w:shd w:val="clear" w:color="auto" w:fill="auto"/>
            <w:vAlign w:val="center"/>
            <w:hideMark/>
          </w:tcPr>
          <w:p w:rsidR="00DA6B3F" w:rsidRDefault="00DA6B3F">
            <w:pPr>
              <w:jc w:val="right"/>
              <w:rPr>
                <w:color w:val="000000"/>
                <w:sz w:val="20"/>
              </w:rPr>
            </w:pPr>
            <w:r>
              <w:rPr>
                <w:color w:val="000000"/>
                <w:sz w:val="20"/>
              </w:rPr>
              <w:t>0.5</w:t>
            </w:r>
          </w:p>
        </w:tc>
        <w:tc>
          <w:tcPr>
            <w:tcW w:w="884" w:type="dxa"/>
            <w:shd w:val="clear" w:color="auto" w:fill="auto"/>
            <w:vAlign w:val="center"/>
            <w:hideMark/>
          </w:tcPr>
          <w:p w:rsidR="00DA6B3F" w:rsidRDefault="00DA6B3F">
            <w:pPr>
              <w:jc w:val="right"/>
              <w:rPr>
                <w:color w:val="000000"/>
                <w:sz w:val="20"/>
              </w:rPr>
            </w:pPr>
            <w:r>
              <w:rPr>
                <w:color w:val="000000"/>
                <w:sz w:val="20"/>
              </w:rPr>
              <w:t>0.5</w:t>
            </w:r>
          </w:p>
        </w:tc>
        <w:tc>
          <w:tcPr>
            <w:tcW w:w="884" w:type="dxa"/>
            <w:shd w:val="clear" w:color="auto" w:fill="auto"/>
            <w:vAlign w:val="center"/>
            <w:hideMark/>
          </w:tcPr>
          <w:p w:rsidR="00DA6B3F" w:rsidRDefault="00DA6B3F">
            <w:pPr>
              <w:jc w:val="right"/>
              <w:rPr>
                <w:color w:val="000000"/>
                <w:sz w:val="20"/>
              </w:rPr>
            </w:pPr>
            <w:r>
              <w:rPr>
                <w:color w:val="000000"/>
                <w:sz w:val="20"/>
              </w:rPr>
              <w:t>0.5</w:t>
            </w:r>
          </w:p>
        </w:tc>
        <w:tc>
          <w:tcPr>
            <w:tcW w:w="884" w:type="dxa"/>
            <w:shd w:val="clear" w:color="auto" w:fill="auto"/>
            <w:vAlign w:val="center"/>
            <w:hideMark/>
          </w:tcPr>
          <w:p w:rsidR="00DA6B3F" w:rsidRDefault="00DA6B3F">
            <w:pPr>
              <w:jc w:val="right"/>
              <w:rPr>
                <w:color w:val="000000"/>
                <w:sz w:val="20"/>
              </w:rPr>
            </w:pPr>
            <w:r>
              <w:rPr>
                <w:color w:val="000000"/>
                <w:sz w:val="20"/>
              </w:rPr>
              <w:t>0.5</w:t>
            </w:r>
          </w:p>
        </w:tc>
        <w:tc>
          <w:tcPr>
            <w:tcW w:w="884" w:type="dxa"/>
            <w:shd w:val="clear" w:color="auto" w:fill="auto"/>
            <w:vAlign w:val="center"/>
            <w:hideMark/>
          </w:tcPr>
          <w:p w:rsidR="00DA6B3F" w:rsidRDefault="00DA6B3F">
            <w:pPr>
              <w:jc w:val="right"/>
              <w:rPr>
                <w:color w:val="000000"/>
                <w:sz w:val="20"/>
              </w:rPr>
            </w:pPr>
            <w:r>
              <w:rPr>
                <w:color w:val="000000"/>
                <w:sz w:val="20"/>
              </w:rPr>
              <w:t>0.5</w:t>
            </w:r>
          </w:p>
        </w:tc>
      </w:tr>
      <w:tr w:rsidR="00DA6B3F" w:rsidRPr="002E0107" w:rsidTr="0016103D">
        <w:trPr>
          <w:trHeight w:val="300"/>
        </w:trPr>
        <w:tc>
          <w:tcPr>
            <w:tcW w:w="4111" w:type="dxa"/>
            <w:tcBorders>
              <w:top w:val="nil"/>
              <w:bottom w:val="nil"/>
              <w:right w:val="single" w:sz="4" w:space="0" w:color="1F497D" w:themeColor="text2"/>
            </w:tcBorders>
            <w:shd w:val="clear" w:color="auto" w:fill="auto"/>
            <w:vAlign w:val="center"/>
            <w:hideMark/>
          </w:tcPr>
          <w:p w:rsidR="00DA6B3F" w:rsidRPr="0016103D" w:rsidRDefault="00DA6B3F" w:rsidP="0016103D">
            <w:pPr>
              <w:rPr>
                <w:color w:val="000000"/>
                <w:sz w:val="20"/>
              </w:rPr>
            </w:pPr>
            <w:r w:rsidRPr="0016103D">
              <w:rPr>
                <w:color w:val="000000"/>
                <w:sz w:val="20"/>
              </w:rPr>
              <w:t>Retailer take back scheme</w:t>
            </w:r>
          </w:p>
        </w:tc>
        <w:tc>
          <w:tcPr>
            <w:tcW w:w="884" w:type="dxa"/>
            <w:tcBorders>
              <w:left w:val="single" w:sz="4" w:space="0" w:color="1F497D" w:themeColor="text2"/>
            </w:tcBorders>
            <w:shd w:val="clear" w:color="auto" w:fill="auto"/>
            <w:vAlign w:val="center"/>
            <w:hideMark/>
          </w:tcPr>
          <w:p w:rsidR="00DA6B3F" w:rsidRDefault="00DA6B3F">
            <w:pPr>
              <w:jc w:val="right"/>
              <w:rPr>
                <w:color w:val="000000"/>
                <w:sz w:val="20"/>
              </w:rPr>
            </w:pPr>
            <w:r>
              <w:rPr>
                <w:color w:val="000000"/>
                <w:sz w:val="20"/>
              </w:rPr>
              <w:t>1.5</w:t>
            </w:r>
          </w:p>
        </w:tc>
        <w:tc>
          <w:tcPr>
            <w:tcW w:w="884" w:type="dxa"/>
            <w:shd w:val="clear" w:color="auto" w:fill="auto"/>
            <w:vAlign w:val="center"/>
            <w:hideMark/>
          </w:tcPr>
          <w:p w:rsidR="00DA6B3F" w:rsidRDefault="00DA6B3F">
            <w:pPr>
              <w:jc w:val="right"/>
              <w:rPr>
                <w:color w:val="000000"/>
                <w:sz w:val="20"/>
              </w:rPr>
            </w:pPr>
            <w:r>
              <w:rPr>
                <w:color w:val="000000"/>
                <w:sz w:val="20"/>
              </w:rPr>
              <w:t>1.6</w:t>
            </w:r>
          </w:p>
        </w:tc>
        <w:tc>
          <w:tcPr>
            <w:tcW w:w="884" w:type="dxa"/>
            <w:shd w:val="clear" w:color="auto" w:fill="auto"/>
            <w:vAlign w:val="center"/>
            <w:hideMark/>
          </w:tcPr>
          <w:p w:rsidR="00DA6B3F" w:rsidRDefault="00DA6B3F">
            <w:pPr>
              <w:jc w:val="right"/>
              <w:rPr>
                <w:color w:val="000000"/>
                <w:sz w:val="20"/>
              </w:rPr>
            </w:pPr>
            <w:r>
              <w:rPr>
                <w:color w:val="000000"/>
                <w:sz w:val="20"/>
              </w:rPr>
              <w:t>1.6</w:t>
            </w:r>
          </w:p>
        </w:tc>
        <w:tc>
          <w:tcPr>
            <w:tcW w:w="884" w:type="dxa"/>
            <w:shd w:val="clear" w:color="auto" w:fill="auto"/>
            <w:vAlign w:val="center"/>
            <w:hideMark/>
          </w:tcPr>
          <w:p w:rsidR="00DA6B3F" w:rsidRDefault="00DA6B3F">
            <w:pPr>
              <w:jc w:val="right"/>
              <w:rPr>
                <w:color w:val="000000"/>
                <w:sz w:val="20"/>
              </w:rPr>
            </w:pPr>
            <w:r>
              <w:rPr>
                <w:color w:val="000000"/>
                <w:sz w:val="20"/>
              </w:rPr>
              <w:t>1.7</w:t>
            </w:r>
          </w:p>
        </w:tc>
        <w:tc>
          <w:tcPr>
            <w:tcW w:w="884" w:type="dxa"/>
            <w:shd w:val="clear" w:color="auto" w:fill="auto"/>
            <w:vAlign w:val="center"/>
            <w:hideMark/>
          </w:tcPr>
          <w:p w:rsidR="00DA6B3F" w:rsidRDefault="00DA6B3F">
            <w:pPr>
              <w:jc w:val="right"/>
              <w:rPr>
                <w:color w:val="000000"/>
                <w:sz w:val="20"/>
              </w:rPr>
            </w:pPr>
            <w:r>
              <w:rPr>
                <w:color w:val="000000"/>
                <w:sz w:val="20"/>
              </w:rPr>
              <w:t>1.8</w:t>
            </w:r>
          </w:p>
        </w:tc>
        <w:tc>
          <w:tcPr>
            <w:tcW w:w="884" w:type="dxa"/>
            <w:shd w:val="clear" w:color="auto" w:fill="auto"/>
            <w:vAlign w:val="center"/>
            <w:hideMark/>
          </w:tcPr>
          <w:p w:rsidR="00DA6B3F" w:rsidRDefault="00DA6B3F">
            <w:pPr>
              <w:jc w:val="right"/>
              <w:rPr>
                <w:color w:val="000000"/>
                <w:sz w:val="20"/>
              </w:rPr>
            </w:pPr>
            <w:r>
              <w:rPr>
                <w:color w:val="000000"/>
                <w:sz w:val="20"/>
              </w:rPr>
              <w:t>1.9</w:t>
            </w:r>
          </w:p>
        </w:tc>
        <w:tc>
          <w:tcPr>
            <w:tcW w:w="884" w:type="dxa"/>
            <w:shd w:val="clear" w:color="auto" w:fill="auto"/>
            <w:vAlign w:val="center"/>
            <w:hideMark/>
          </w:tcPr>
          <w:p w:rsidR="00DA6B3F" w:rsidRDefault="00DA6B3F">
            <w:pPr>
              <w:jc w:val="right"/>
              <w:rPr>
                <w:color w:val="000000"/>
                <w:sz w:val="20"/>
              </w:rPr>
            </w:pPr>
            <w:r>
              <w:rPr>
                <w:color w:val="000000"/>
                <w:sz w:val="20"/>
              </w:rPr>
              <w:t>2.0</w:t>
            </w:r>
          </w:p>
        </w:tc>
        <w:tc>
          <w:tcPr>
            <w:tcW w:w="884" w:type="dxa"/>
            <w:shd w:val="clear" w:color="auto" w:fill="auto"/>
            <w:vAlign w:val="center"/>
            <w:hideMark/>
          </w:tcPr>
          <w:p w:rsidR="00DA6B3F" w:rsidRDefault="00DA6B3F">
            <w:pPr>
              <w:jc w:val="right"/>
              <w:rPr>
                <w:color w:val="000000"/>
                <w:sz w:val="20"/>
              </w:rPr>
            </w:pPr>
            <w:r>
              <w:rPr>
                <w:color w:val="000000"/>
                <w:sz w:val="20"/>
              </w:rPr>
              <w:t>2.1</w:t>
            </w:r>
          </w:p>
        </w:tc>
        <w:tc>
          <w:tcPr>
            <w:tcW w:w="884" w:type="dxa"/>
            <w:shd w:val="clear" w:color="auto" w:fill="auto"/>
            <w:vAlign w:val="center"/>
            <w:hideMark/>
          </w:tcPr>
          <w:p w:rsidR="00DA6B3F" w:rsidRDefault="00DA6B3F">
            <w:pPr>
              <w:jc w:val="right"/>
              <w:rPr>
                <w:color w:val="000000"/>
                <w:sz w:val="20"/>
              </w:rPr>
            </w:pPr>
            <w:r>
              <w:rPr>
                <w:color w:val="000000"/>
                <w:sz w:val="20"/>
              </w:rPr>
              <w:t>2.2</w:t>
            </w:r>
          </w:p>
        </w:tc>
        <w:tc>
          <w:tcPr>
            <w:tcW w:w="884" w:type="dxa"/>
            <w:shd w:val="clear" w:color="auto" w:fill="auto"/>
            <w:vAlign w:val="center"/>
            <w:hideMark/>
          </w:tcPr>
          <w:p w:rsidR="00DA6B3F" w:rsidRDefault="00DA6B3F">
            <w:pPr>
              <w:jc w:val="right"/>
              <w:rPr>
                <w:color w:val="000000"/>
                <w:sz w:val="20"/>
              </w:rPr>
            </w:pPr>
            <w:r>
              <w:rPr>
                <w:color w:val="000000"/>
                <w:sz w:val="20"/>
              </w:rPr>
              <w:t>2.2</w:t>
            </w:r>
          </w:p>
        </w:tc>
        <w:tc>
          <w:tcPr>
            <w:tcW w:w="884" w:type="dxa"/>
            <w:shd w:val="clear" w:color="auto" w:fill="auto"/>
            <w:vAlign w:val="center"/>
            <w:hideMark/>
          </w:tcPr>
          <w:p w:rsidR="00DA6B3F" w:rsidRDefault="00DA6B3F">
            <w:pPr>
              <w:jc w:val="right"/>
              <w:rPr>
                <w:color w:val="000000"/>
                <w:sz w:val="20"/>
              </w:rPr>
            </w:pPr>
            <w:r>
              <w:rPr>
                <w:color w:val="000000"/>
                <w:sz w:val="20"/>
              </w:rPr>
              <w:t>2.3</w:t>
            </w:r>
          </w:p>
        </w:tc>
      </w:tr>
      <w:tr w:rsidR="00DA6B3F" w:rsidRPr="002E0107" w:rsidTr="0016103D">
        <w:trPr>
          <w:trHeight w:val="300"/>
        </w:trPr>
        <w:tc>
          <w:tcPr>
            <w:tcW w:w="4111" w:type="dxa"/>
            <w:tcBorders>
              <w:top w:val="nil"/>
              <w:bottom w:val="nil"/>
              <w:right w:val="single" w:sz="4" w:space="0" w:color="1F497D" w:themeColor="text2"/>
            </w:tcBorders>
            <w:shd w:val="clear" w:color="auto" w:fill="auto"/>
            <w:vAlign w:val="center"/>
            <w:hideMark/>
          </w:tcPr>
          <w:p w:rsidR="00DA6B3F" w:rsidRPr="0016103D" w:rsidRDefault="00DA6B3F" w:rsidP="0016103D">
            <w:pPr>
              <w:rPr>
                <w:color w:val="000000"/>
                <w:sz w:val="20"/>
              </w:rPr>
            </w:pPr>
            <w:r w:rsidRPr="0016103D">
              <w:rPr>
                <w:color w:val="000000"/>
                <w:sz w:val="20"/>
              </w:rPr>
              <w:t>Cost of disassembly</w:t>
            </w:r>
          </w:p>
        </w:tc>
        <w:tc>
          <w:tcPr>
            <w:tcW w:w="884" w:type="dxa"/>
            <w:tcBorders>
              <w:left w:val="single" w:sz="4" w:space="0" w:color="1F497D" w:themeColor="text2"/>
            </w:tcBorders>
            <w:shd w:val="clear" w:color="auto" w:fill="auto"/>
            <w:vAlign w:val="center"/>
            <w:hideMark/>
          </w:tcPr>
          <w:p w:rsidR="00DA6B3F" w:rsidRDefault="00DA6B3F">
            <w:pPr>
              <w:jc w:val="right"/>
              <w:rPr>
                <w:color w:val="000000"/>
                <w:sz w:val="20"/>
              </w:rPr>
            </w:pPr>
            <w:r>
              <w:rPr>
                <w:color w:val="000000"/>
                <w:sz w:val="20"/>
              </w:rPr>
              <w:t>6.0</w:t>
            </w:r>
          </w:p>
        </w:tc>
        <w:tc>
          <w:tcPr>
            <w:tcW w:w="884" w:type="dxa"/>
            <w:shd w:val="clear" w:color="auto" w:fill="auto"/>
            <w:vAlign w:val="center"/>
            <w:hideMark/>
          </w:tcPr>
          <w:p w:rsidR="00DA6B3F" w:rsidRDefault="00DA6B3F">
            <w:pPr>
              <w:jc w:val="right"/>
              <w:rPr>
                <w:color w:val="000000"/>
                <w:sz w:val="20"/>
              </w:rPr>
            </w:pPr>
            <w:r>
              <w:rPr>
                <w:color w:val="000000"/>
                <w:sz w:val="20"/>
              </w:rPr>
              <w:t>6.6</w:t>
            </w:r>
          </w:p>
        </w:tc>
        <w:tc>
          <w:tcPr>
            <w:tcW w:w="884" w:type="dxa"/>
            <w:shd w:val="clear" w:color="auto" w:fill="auto"/>
            <w:vAlign w:val="center"/>
            <w:hideMark/>
          </w:tcPr>
          <w:p w:rsidR="00DA6B3F" w:rsidRDefault="00DA6B3F">
            <w:pPr>
              <w:jc w:val="right"/>
              <w:rPr>
                <w:color w:val="000000"/>
                <w:sz w:val="20"/>
              </w:rPr>
            </w:pPr>
            <w:r>
              <w:rPr>
                <w:color w:val="000000"/>
                <w:sz w:val="20"/>
              </w:rPr>
              <w:t>7.1</w:t>
            </w:r>
          </w:p>
        </w:tc>
        <w:tc>
          <w:tcPr>
            <w:tcW w:w="884" w:type="dxa"/>
            <w:shd w:val="clear" w:color="auto" w:fill="auto"/>
            <w:vAlign w:val="center"/>
            <w:hideMark/>
          </w:tcPr>
          <w:p w:rsidR="00DA6B3F" w:rsidRDefault="00DA6B3F">
            <w:pPr>
              <w:jc w:val="right"/>
              <w:rPr>
                <w:color w:val="000000"/>
                <w:sz w:val="20"/>
              </w:rPr>
            </w:pPr>
            <w:r>
              <w:rPr>
                <w:color w:val="000000"/>
                <w:sz w:val="20"/>
              </w:rPr>
              <w:t>7.7</w:t>
            </w:r>
          </w:p>
        </w:tc>
        <w:tc>
          <w:tcPr>
            <w:tcW w:w="884" w:type="dxa"/>
            <w:shd w:val="clear" w:color="auto" w:fill="auto"/>
            <w:vAlign w:val="center"/>
            <w:hideMark/>
          </w:tcPr>
          <w:p w:rsidR="00DA6B3F" w:rsidRDefault="00DA6B3F">
            <w:pPr>
              <w:jc w:val="right"/>
              <w:rPr>
                <w:color w:val="000000"/>
                <w:sz w:val="20"/>
              </w:rPr>
            </w:pPr>
            <w:r>
              <w:rPr>
                <w:color w:val="000000"/>
                <w:sz w:val="20"/>
              </w:rPr>
              <w:t>8.1</w:t>
            </w:r>
          </w:p>
        </w:tc>
        <w:tc>
          <w:tcPr>
            <w:tcW w:w="884" w:type="dxa"/>
            <w:shd w:val="clear" w:color="auto" w:fill="auto"/>
            <w:vAlign w:val="center"/>
            <w:hideMark/>
          </w:tcPr>
          <w:p w:rsidR="00DA6B3F" w:rsidRDefault="00DA6B3F">
            <w:pPr>
              <w:jc w:val="right"/>
              <w:rPr>
                <w:color w:val="000000"/>
                <w:sz w:val="20"/>
              </w:rPr>
            </w:pPr>
            <w:r>
              <w:rPr>
                <w:color w:val="000000"/>
                <w:sz w:val="20"/>
              </w:rPr>
              <w:t>8.5</w:t>
            </w:r>
          </w:p>
        </w:tc>
        <w:tc>
          <w:tcPr>
            <w:tcW w:w="884" w:type="dxa"/>
            <w:shd w:val="clear" w:color="auto" w:fill="auto"/>
            <w:vAlign w:val="center"/>
            <w:hideMark/>
          </w:tcPr>
          <w:p w:rsidR="00DA6B3F" w:rsidRDefault="00DA6B3F">
            <w:pPr>
              <w:jc w:val="right"/>
              <w:rPr>
                <w:color w:val="000000"/>
                <w:sz w:val="20"/>
              </w:rPr>
            </w:pPr>
            <w:r>
              <w:rPr>
                <w:color w:val="000000"/>
                <w:sz w:val="20"/>
              </w:rPr>
              <w:t>8.9</w:t>
            </w:r>
          </w:p>
        </w:tc>
        <w:tc>
          <w:tcPr>
            <w:tcW w:w="884" w:type="dxa"/>
            <w:shd w:val="clear" w:color="auto" w:fill="auto"/>
            <w:vAlign w:val="center"/>
            <w:hideMark/>
          </w:tcPr>
          <w:p w:rsidR="00DA6B3F" w:rsidRDefault="00DA6B3F">
            <w:pPr>
              <w:jc w:val="right"/>
              <w:rPr>
                <w:color w:val="000000"/>
                <w:sz w:val="20"/>
              </w:rPr>
            </w:pPr>
            <w:r>
              <w:rPr>
                <w:color w:val="000000"/>
                <w:sz w:val="20"/>
              </w:rPr>
              <w:t>9.1</w:t>
            </w:r>
          </w:p>
        </w:tc>
        <w:tc>
          <w:tcPr>
            <w:tcW w:w="884" w:type="dxa"/>
            <w:shd w:val="clear" w:color="auto" w:fill="auto"/>
            <w:vAlign w:val="center"/>
            <w:hideMark/>
          </w:tcPr>
          <w:p w:rsidR="00DA6B3F" w:rsidRDefault="00DA6B3F">
            <w:pPr>
              <w:jc w:val="right"/>
              <w:rPr>
                <w:color w:val="000000"/>
                <w:sz w:val="20"/>
              </w:rPr>
            </w:pPr>
            <w:r>
              <w:rPr>
                <w:color w:val="000000"/>
                <w:sz w:val="20"/>
              </w:rPr>
              <w:t>9.2</w:t>
            </w:r>
          </w:p>
        </w:tc>
        <w:tc>
          <w:tcPr>
            <w:tcW w:w="884" w:type="dxa"/>
            <w:shd w:val="clear" w:color="auto" w:fill="auto"/>
            <w:vAlign w:val="center"/>
            <w:hideMark/>
          </w:tcPr>
          <w:p w:rsidR="00DA6B3F" w:rsidRDefault="00DA6B3F">
            <w:pPr>
              <w:jc w:val="right"/>
              <w:rPr>
                <w:color w:val="000000"/>
                <w:sz w:val="20"/>
              </w:rPr>
            </w:pPr>
            <w:r>
              <w:rPr>
                <w:color w:val="000000"/>
                <w:sz w:val="20"/>
              </w:rPr>
              <w:t>9.2</w:t>
            </w:r>
          </w:p>
        </w:tc>
        <w:tc>
          <w:tcPr>
            <w:tcW w:w="884" w:type="dxa"/>
            <w:shd w:val="clear" w:color="auto" w:fill="auto"/>
            <w:vAlign w:val="center"/>
            <w:hideMark/>
          </w:tcPr>
          <w:p w:rsidR="00DA6B3F" w:rsidRDefault="00DA6B3F">
            <w:pPr>
              <w:jc w:val="right"/>
              <w:rPr>
                <w:color w:val="000000"/>
                <w:sz w:val="20"/>
              </w:rPr>
            </w:pPr>
            <w:r>
              <w:rPr>
                <w:color w:val="000000"/>
                <w:sz w:val="20"/>
              </w:rPr>
              <w:t>9.1</w:t>
            </w:r>
          </w:p>
        </w:tc>
      </w:tr>
      <w:tr w:rsidR="00DA6B3F" w:rsidRPr="002E0107" w:rsidTr="0016103D">
        <w:trPr>
          <w:trHeight w:val="300"/>
        </w:trPr>
        <w:tc>
          <w:tcPr>
            <w:tcW w:w="4111" w:type="dxa"/>
            <w:tcBorders>
              <w:top w:val="nil"/>
              <w:bottom w:val="single" w:sz="4" w:space="0" w:color="1F497D" w:themeColor="text2"/>
              <w:right w:val="single" w:sz="4" w:space="0" w:color="1F497D" w:themeColor="text2"/>
            </w:tcBorders>
            <w:shd w:val="clear" w:color="auto" w:fill="auto"/>
            <w:vAlign w:val="center"/>
            <w:hideMark/>
          </w:tcPr>
          <w:p w:rsidR="00DA6B3F" w:rsidRPr="0016103D" w:rsidRDefault="00DA6B3F" w:rsidP="0016103D">
            <w:pPr>
              <w:rPr>
                <w:b/>
                <w:bCs/>
                <w:color w:val="000000"/>
                <w:sz w:val="20"/>
              </w:rPr>
            </w:pPr>
            <w:r w:rsidRPr="0016103D">
              <w:rPr>
                <w:b/>
                <w:bCs/>
                <w:color w:val="000000"/>
                <w:sz w:val="20"/>
              </w:rPr>
              <w:t>Total Costs</w:t>
            </w:r>
          </w:p>
        </w:tc>
        <w:tc>
          <w:tcPr>
            <w:tcW w:w="884" w:type="dxa"/>
            <w:tcBorders>
              <w:left w:val="single" w:sz="4" w:space="0" w:color="1F497D" w:themeColor="text2"/>
              <w:bottom w:val="single" w:sz="4" w:space="0" w:color="1F497D" w:themeColor="text2"/>
            </w:tcBorders>
            <w:shd w:val="clear" w:color="auto" w:fill="auto"/>
            <w:vAlign w:val="center"/>
            <w:hideMark/>
          </w:tcPr>
          <w:p w:rsidR="00DA6B3F" w:rsidRDefault="00DA6B3F">
            <w:pPr>
              <w:jc w:val="right"/>
              <w:rPr>
                <w:b/>
                <w:bCs/>
                <w:color w:val="000000"/>
                <w:sz w:val="20"/>
              </w:rPr>
            </w:pPr>
            <w:r>
              <w:rPr>
                <w:b/>
                <w:bCs/>
                <w:color w:val="000000"/>
                <w:sz w:val="20"/>
              </w:rPr>
              <w:t>11.6</w:t>
            </w:r>
          </w:p>
        </w:tc>
        <w:tc>
          <w:tcPr>
            <w:tcW w:w="884" w:type="dxa"/>
            <w:tcBorders>
              <w:bottom w:val="single" w:sz="4" w:space="0" w:color="1F497D" w:themeColor="text2"/>
            </w:tcBorders>
            <w:shd w:val="clear" w:color="auto" w:fill="auto"/>
            <w:vAlign w:val="center"/>
            <w:hideMark/>
          </w:tcPr>
          <w:p w:rsidR="00DA6B3F" w:rsidRDefault="00DA6B3F">
            <w:pPr>
              <w:jc w:val="right"/>
              <w:rPr>
                <w:b/>
                <w:bCs/>
                <w:color w:val="000000"/>
                <w:sz w:val="20"/>
              </w:rPr>
            </w:pPr>
            <w:r>
              <w:rPr>
                <w:b/>
                <w:bCs/>
                <w:color w:val="000000"/>
                <w:sz w:val="20"/>
              </w:rPr>
              <w:t>11.2</w:t>
            </w:r>
          </w:p>
        </w:tc>
        <w:tc>
          <w:tcPr>
            <w:tcW w:w="884" w:type="dxa"/>
            <w:tcBorders>
              <w:bottom w:val="single" w:sz="4" w:space="0" w:color="1F497D" w:themeColor="text2"/>
            </w:tcBorders>
            <w:shd w:val="clear" w:color="auto" w:fill="auto"/>
            <w:vAlign w:val="center"/>
            <w:hideMark/>
          </w:tcPr>
          <w:p w:rsidR="00DA6B3F" w:rsidRDefault="00DA6B3F">
            <w:pPr>
              <w:jc w:val="right"/>
              <w:rPr>
                <w:b/>
                <w:bCs/>
                <w:color w:val="000000"/>
                <w:sz w:val="20"/>
              </w:rPr>
            </w:pPr>
            <w:r>
              <w:rPr>
                <w:b/>
                <w:bCs/>
                <w:color w:val="000000"/>
                <w:sz w:val="20"/>
              </w:rPr>
              <w:t>11.9</w:t>
            </w:r>
          </w:p>
        </w:tc>
        <w:tc>
          <w:tcPr>
            <w:tcW w:w="884" w:type="dxa"/>
            <w:tcBorders>
              <w:bottom w:val="single" w:sz="4" w:space="0" w:color="1F497D" w:themeColor="text2"/>
            </w:tcBorders>
            <w:shd w:val="clear" w:color="auto" w:fill="auto"/>
            <w:vAlign w:val="center"/>
            <w:hideMark/>
          </w:tcPr>
          <w:p w:rsidR="00DA6B3F" w:rsidRDefault="00DA6B3F">
            <w:pPr>
              <w:jc w:val="right"/>
              <w:rPr>
                <w:b/>
                <w:bCs/>
                <w:color w:val="000000"/>
                <w:sz w:val="20"/>
              </w:rPr>
            </w:pPr>
            <w:r>
              <w:rPr>
                <w:b/>
                <w:bCs/>
                <w:color w:val="000000"/>
                <w:sz w:val="20"/>
              </w:rPr>
              <w:t>11.2</w:t>
            </w:r>
          </w:p>
        </w:tc>
        <w:tc>
          <w:tcPr>
            <w:tcW w:w="884" w:type="dxa"/>
            <w:tcBorders>
              <w:bottom w:val="single" w:sz="4" w:space="0" w:color="1F497D" w:themeColor="text2"/>
            </w:tcBorders>
            <w:shd w:val="clear" w:color="auto" w:fill="auto"/>
            <w:vAlign w:val="center"/>
            <w:hideMark/>
          </w:tcPr>
          <w:p w:rsidR="00DA6B3F" w:rsidRDefault="00DA6B3F">
            <w:pPr>
              <w:jc w:val="right"/>
              <w:rPr>
                <w:b/>
                <w:bCs/>
                <w:color w:val="000000"/>
                <w:sz w:val="20"/>
              </w:rPr>
            </w:pPr>
            <w:r>
              <w:rPr>
                <w:b/>
                <w:bCs/>
                <w:color w:val="000000"/>
                <w:sz w:val="20"/>
              </w:rPr>
              <w:t>11.8</w:t>
            </w:r>
          </w:p>
        </w:tc>
        <w:tc>
          <w:tcPr>
            <w:tcW w:w="884" w:type="dxa"/>
            <w:tcBorders>
              <w:bottom w:val="single" w:sz="4" w:space="0" w:color="1F497D" w:themeColor="text2"/>
            </w:tcBorders>
            <w:shd w:val="clear" w:color="auto" w:fill="auto"/>
            <w:vAlign w:val="center"/>
            <w:hideMark/>
          </w:tcPr>
          <w:p w:rsidR="00DA6B3F" w:rsidRDefault="00DA6B3F">
            <w:pPr>
              <w:jc w:val="right"/>
              <w:rPr>
                <w:b/>
                <w:bCs/>
                <w:color w:val="000000"/>
                <w:sz w:val="20"/>
              </w:rPr>
            </w:pPr>
            <w:r>
              <w:rPr>
                <w:b/>
                <w:bCs/>
                <w:color w:val="000000"/>
                <w:sz w:val="20"/>
              </w:rPr>
              <w:t>12.3</w:t>
            </w:r>
          </w:p>
        </w:tc>
        <w:tc>
          <w:tcPr>
            <w:tcW w:w="884" w:type="dxa"/>
            <w:tcBorders>
              <w:bottom w:val="single" w:sz="4" w:space="0" w:color="1F497D" w:themeColor="text2"/>
            </w:tcBorders>
            <w:shd w:val="clear" w:color="auto" w:fill="auto"/>
            <w:vAlign w:val="center"/>
            <w:hideMark/>
          </w:tcPr>
          <w:p w:rsidR="00DA6B3F" w:rsidRDefault="00DA6B3F">
            <w:pPr>
              <w:jc w:val="right"/>
              <w:rPr>
                <w:b/>
                <w:bCs/>
                <w:color w:val="000000"/>
                <w:sz w:val="20"/>
              </w:rPr>
            </w:pPr>
            <w:r>
              <w:rPr>
                <w:b/>
                <w:bCs/>
                <w:color w:val="000000"/>
                <w:sz w:val="20"/>
              </w:rPr>
              <w:t>12.7</w:t>
            </w:r>
          </w:p>
        </w:tc>
        <w:tc>
          <w:tcPr>
            <w:tcW w:w="884" w:type="dxa"/>
            <w:tcBorders>
              <w:bottom w:val="single" w:sz="4" w:space="0" w:color="1F497D" w:themeColor="text2"/>
            </w:tcBorders>
            <w:shd w:val="clear" w:color="auto" w:fill="auto"/>
            <w:vAlign w:val="center"/>
            <w:hideMark/>
          </w:tcPr>
          <w:p w:rsidR="00DA6B3F" w:rsidRDefault="00DA6B3F">
            <w:pPr>
              <w:jc w:val="right"/>
              <w:rPr>
                <w:b/>
                <w:bCs/>
                <w:color w:val="000000"/>
                <w:sz w:val="20"/>
              </w:rPr>
            </w:pPr>
            <w:r>
              <w:rPr>
                <w:b/>
                <w:bCs/>
                <w:color w:val="000000"/>
                <w:sz w:val="20"/>
              </w:rPr>
              <w:t>13.0</w:t>
            </w:r>
          </w:p>
        </w:tc>
        <w:tc>
          <w:tcPr>
            <w:tcW w:w="884" w:type="dxa"/>
            <w:tcBorders>
              <w:bottom w:val="single" w:sz="4" w:space="0" w:color="1F497D" w:themeColor="text2"/>
            </w:tcBorders>
            <w:shd w:val="clear" w:color="auto" w:fill="auto"/>
            <w:vAlign w:val="center"/>
            <w:hideMark/>
          </w:tcPr>
          <w:p w:rsidR="00DA6B3F" w:rsidRDefault="00DA6B3F">
            <w:pPr>
              <w:jc w:val="right"/>
              <w:rPr>
                <w:b/>
                <w:bCs/>
                <w:color w:val="000000"/>
                <w:sz w:val="20"/>
              </w:rPr>
            </w:pPr>
            <w:r>
              <w:rPr>
                <w:b/>
                <w:bCs/>
                <w:color w:val="000000"/>
                <w:sz w:val="20"/>
              </w:rPr>
              <w:t>13.2</w:t>
            </w:r>
          </w:p>
        </w:tc>
        <w:tc>
          <w:tcPr>
            <w:tcW w:w="884" w:type="dxa"/>
            <w:tcBorders>
              <w:bottom w:val="single" w:sz="4" w:space="0" w:color="1F497D" w:themeColor="text2"/>
            </w:tcBorders>
            <w:shd w:val="clear" w:color="auto" w:fill="auto"/>
            <w:vAlign w:val="center"/>
            <w:hideMark/>
          </w:tcPr>
          <w:p w:rsidR="00DA6B3F" w:rsidRDefault="00DA6B3F">
            <w:pPr>
              <w:jc w:val="right"/>
              <w:rPr>
                <w:b/>
                <w:bCs/>
                <w:color w:val="000000"/>
                <w:sz w:val="20"/>
              </w:rPr>
            </w:pPr>
            <w:r>
              <w:rPr>
                <w:b/>
                <w:bCs/>
                <w:color w:val="000000"/>
                <w:sz w:val="20"/>
              </w:rPr>
              <w:t>13.3</w:t>
            </w:r>
          </w:p>
        </w:tc>
        <w:tc>
          <w:tcPr>
            <w:tcW w:w="884" w:type="dxa"/>
            <w:tcBorders>
              <w:bottom w:val="single" w:sz="4" w:space="0" w:color="1F497D" w:themeColor="text2"/>
            </w:tcBorders>
            <w:shd w:val="clear" w:color="auto" w:fill="auto"/>
            <w:vAlign w:val="center"/>
            <w:hideMark/>
          </w:tcPr>
          <w:p w:rsidR="00DA6B3F" w:rsidRDefault="00DA6B3F">
            <w:pPr>
              <w:jc w:val="right"/>
              <w:rPr>
                <w:b/>
                <w:bCs/>
                <w:color w:val="000000"/>
                <w:sz w:val="20"/>
              </w:rPr>
            </w:pPr>
            <w:r>
              <w:rPr>
                <w:b/>
                <w:bCs/>
                <w:color w:val="000000"/>
                <w:sz w:val="20"/>
              </w:rPr>
              <w:t>13.3</w:t>
            </w:r>
          </w:p>
        </w:tc>
      </w:tr>
      <w:tr w:rsidR="0016103D" w:rsidRPr="002E0107" w:rsidTr="0016103D">
        <w:trPr>
          <w:trHeight w:val="300"/>
        </w:trPr>
        <w:tc>
          <w:tcPr>
            <w:tcW w:w="4111" w:type="dxa"/>
            <w:tcBorders>
              <w:top w:val="single" w:sz="4" w:space="0" w:color="1F497D" w:themeColor="text2"/>
              <w:bottom w:val="nil"/>
              <w:right w:val="single" w:sz="4" w:space="0" w:color="1F497D" w:themeColor="text2"/>
            </w:tcBorders>
            <w:shd w:val="clear" w:color="auto" w:fill="C6D9F1" w:themeFill="text2" w:themeFillTint="33"/>
            <w:vAlign w:val="center"/>
            <w:hideMark/>
          </w:tcPr>
          <w:p w:rsidR="00F75AA6" w:rsidRPr="002E0107" w:rsidRDefault="00F75AA6" w:rsidP="00F75AA6">
            <w:pPr>
              <w:rPr>
                <w:b/>
                <w:bCs/>
                <w:color w:val="000000"/>
                <w:sz w:val="20"/>
                <w:lang w:eastAsia="en-AU"/>
              </w:rPr>
            </w:pPr>
            <w:r w:rsidRPr="002E0107">
              <w:rPr>
                <w:b/>
                <w:bCs/>
                <w:color w:val="000000"/>
                <w:sz w:val="20"/>
                <w:lang w:eastAsia="en-AU"/>
              </w:rPr>
              <w:t>Benefits</w:t>
            </w:r>
          </w:p>
        </w:tc>
        <w:tc>
          <w:tcPr>
            <w:tcW w:w="884" w:type="dxa"/>
            <w:tcBorders>
              <w:top w:val="single" w:sz="4" w:space="0" w:color="1F497D" w:themeColor="text2"/>
              <w:left w:val="single" w:sz="4" w:space="0" w:color="1F497D" w:themeColor="text2"/>
              <w:bottom w:val="nil"/>
            </w:tcBorders>
            <w:shd w:val="clear" w:color="auto" w:fill="C6D9F1" w:themeFill="text2" w:themeFillTint="33"/>
            <w:noWrap/>
            <w:vAlign w:val="bottom"/>
            <w:hideMark/>
          </w:tcPr>
          <w:p w:rsidR="00F75AA6" w:rsidRPr="00F75AA6" w:rsidRDefault="00F75AA6" w:rsidP="00F75AA6">
            <w:pPr>
              <w:jc w:val="right"/>
              <w:rPr>
                <w:color w:val="000000"/>
                <w:sz w:val="20"/>
                <w:lang w:eastAsia="en-AU"/>
              </w:rPr>
            </w:pPr>
          </w:p>
        </w:tc>
        <w:tc>
          <w:tcPr>
            <w:tcW w:w="884" w:type="dxa"/>
            <w:tcBorders>
              <w:top w:val="single" w:sz="4" w:space="0" w:color="1F497D" w:themeColor="text2"/>
              <w:bottom w:val="nil"/>
            </w:tcBorders>
            <w:shd w:val="clear" w:color="auto" w:fill="C6D9F1" w:themeFill="text2" w:themeFillTint="33"/>
            <w:noWrap/>
            <w:vAlign w:val="bottom"/>
            <w:hideMark/>
          </w:tcPr>
          <w:p w:rsidR="00F75AA6" w:rsidRPr="00F75AA6" w:rsidRDefault="00F75AA6" w:rsidP="00F75AA6">
            <w:pPr>
              <w:jc w:val="right"/>
              <w:rPr>
                <w:color w:val="000000"/>
                <w:sz w:val="20"/>
                <w:lang w:eastAsia="en-AU"/>
              </w:rPr>
            </w:pPr>
          </w:p>
        </w:tc>
        <w:tc>
          <w:tcPr>
            <w:tcW w:w="884" w:type="dxa"/>
            <w:tcBorders>
              <w:top w:val="single" w:sz="4" w:space="0" w:color="1F497D" w:themeColor="text2"/>
              <w:bottom w:val="nil"/>
            </w:tcBorders>
            <w:shd w:val="clear" w:color="auto" w:fill="C6D9F1" w:themeFill="text2" w:themeFillTint="33"/>
            <w:noWrap/>
            <w:vAlign w:val="bottom"/>
            <w:hideMark/>
          </w:tcPr>
          <w:p w:rsidR="00F75AA6" w:rsidRPr="00F75AA6" w:rsidRDefault="00F75AA6" w:rsidP="00F75AA6">
            <w:pPr>
              <w:jc w:val="right"/>
              <w:rPr>
                <w:color w:val="000000"/>
                <w:sz w:val="20"/>
                <w:lang w:eastAsia="en-AU"/>
              </w:rPr>
            </w:pPr>
          </w:p>
        </w:tc>
        <w:tc>
          <w:tcPr>
            <w:tcW w:w="884" w:type="dxa"/>
            <w:tcBorders>
              <w:top w:val="single" w:sz="4" w:space="0" w:color="1F497D" w:themeColor="text2"/>
              <w:bottom w:val="nil"/>
            </w:tcBorders>
            <w:shd w:val="clear" w:color="auto" w:fill="C6D9F1" w:themeFill="text2" w:themeFillTint="33"/>
            <w:noWrap/>
            <w:vAlign w:val="bottom"/>
            <w:hideMark/>
          </w:tcPr>
          <w:p w:rsidR="00F75AA6" w:rsidRPr="00F75AA6" w:rsidRDefault="00F75AA6" w:rsidP="00F75AA6">
            <w:pPr>
              <w:jc w:val="right"/>
              <w:rPr>
                <w:color w:val="000000"/>
                <w:sz w:val="20"/>
                <w:lang w:eastAsia="en-AU"/>
              </w:rPr>
            </w:pPr>
          </w:p>
        </w:tc>
        <w:tc>
          <w:tcPr>
            <w:tcW w:w="884" w:type="dxa"/>
            <w:tcBorders>
              <w:top w:val="single" w:sz="4" w:space="0" w:color="1F497D" w:themeColor="text2"/>
              <w:bottom w:val="nil"/>
            </w:tcBorders>
            <w:shd w:val="clear" w:color="auto" w:fill="C6D9F1" w:themeFill="text2" w:themeFillTint="33"/>
            <w:noWrap/>
            <w:vAlign w:val="bottom"/>
            <w:hideMark/>
          </w:tcPr>
          <w:p w:rsidR="00F75AA6" w:rsidRPr="00F75AA6" w:rsidRDefault="00F75AA6" w:rsidP="00F75AA6">
            <w:pPr>
              <w:jc w:val="right"/>
              <w:rPr>
                <w:color w:val="000000"/>
                <w:sz w:val="20"/>
                <w:lang w:eastAsia="en-AU"/>
              </w:rPr>
            </w:pPr>
          </w:p>
        </w:tc>
        <w:tc>
          <w:tcPr>
            <w:tcW w:w="884" w:type="dxa"/>
            <w:tcBorders>
              <w:top w:val="single" w:sz="4" w:space="0" w:color="1F497D" w:themeColor="text2"/>
              <w:bottom w:val="nil"/>
            </w:tcBorders>
            <w:shd w:val="clear" w:color="auto" w:fill="C6D9F1" w:themeFill="text2" w:themeFillTint="33"/>
            <w:noWrap/>
            <w:vAlign w:val="bottom"/>
            <w:hideMark/>
          </w:tcPr>
          <w:p w:rsidR="00F75AA6" w:rsidRPr="00F75AA6" w:rsidRDefault="00F75AA6" w:rsidP="00F75AA6">
            <w:pPr>
              <w:jc w:val="right"/>
              <w:rPr>
                <w:color w:val="000000"/>
                <w:sz w:val="20"/>
                <w:lang w:eastAsia="en-AU"/>
              </w:rPr>
            </w:pPr>
          </w:p>
        </w:tc>
        <w:tc>
          <w:tcPr>
            <w:tcW w:w="884" w:type="dxa"/>
            <w:tcBorders>
              <w:top w:val="single" w:sz="4" w:space="0" w:color="1F497D" w:themeColor="text2"/>
              <w:bottom w:val="nil"/>
            </w:tcBorders>
            <w:shd w:val="clear" w:color="auto" w:fill="C6D9F1" w:themeFill="text2" w:themeFillTint="33"/>
            <w:noWrap/>
            <w:vAlign w:val="bottom"/>
            <w:hideMark/>
          </w:tcPr>
          <w:p w:rsidR="00F75AA6" w:rsidRPr="00F75AA6" w:rsidRDefault="00F75AA6" w:rsidP="00F75AA6">
            <w:pPr>
              <w:jc w:val="right"/>
              <w:rPr>
                <w:color w:val="000000"/>
                <w:sz w:val="20"/>
                <w:lang w:eastAsia="en-AU"/>
              </w:rPr>
            </w:pPr>
          </w:p>
        </w:tc>
        <w:tc>
          <w:tcPr>
            <w:tcW w:w="884" w:type="dxa"/>
            <w:tcBorders>
              <w:top w:val="single" w:sz="4" w:space="0" w:color="1F497D" w:themeColor="text2"/>
              <w:bottom w:val="nil"/>
            </w:tcBorders>
            <w:shd w:val="clear" w:color="auto" w:fill="C6D9F1" w:themeFill="text2" w:themeFillTint="33"/>
            <w:noWrap/>
            <w:vAlign w:val="bottom"/>
            <w:hideMark/>
          </w:tcPr>
          <w:p w:rsidR="00F75AA6" w:rsidRPr="00F75AA6" w:rsidRDefault="00F75AA6" w:rsidP="00F75AA6">
            <w:pPr>
              <w:jc w:val="right"/>
              <w:rPr>
                <w:color w:val="000000"/>
                <w:sz w:val="20"/>
                <w:lang w:eastAsia="en-AU"/>
              </w:rPr>
            </w:pPr>
          </w:p>
        </w:tc>
        <w:tc>
          <w:tcPr>
            <w:tcW w:w="884" w:type="dxa"/>
            <w:tcBorders>
              <w:top w:val="single" w:sz="4" w:space="0" w:color="1F497D" w:themeColor="text2"/>
              <w:bottom w:val="nil"/>
            </w:tcBorders>
            <w:shd w:val="clear" w:color="auto" w:fill="C6D9F1" w:themeFill="text2" w:themeFillTint="33"/>
            <w:noWrap/>
            <w:vAlign w:val="bottom"/>
            <w:hideMark/>
          </w:tcPr>
          <w:p w:rsidR="00F75AA6" w:rsidRPr="00F75AA6" w:rsidRDefault="00F75AA6" w:rsidP="00F75AA6">
            <w:pPr>
              <w:jc w:val="right"/>
              <w:rPr>
                <w:color w:val="000000"/>
                <w:sz w:val="20"/>
                <w:lang w:eastAsia="en-AU"/>
              </w:rPr>
            </w:pPr>
          </w:p>
        </w:tc>
        <w:tc>
          <w:tcPr>
            <w:tcW w:w="884" w:type="dxa"/>
            <w:tcBorders>
              <w:top w:val="single" w:sz="4" w:space="0" w:color="1F497D" w:themeColor="text2"/>
              <w:bottom w:val="nil"/>
            </w:tcBorders>
            <w:shd w:val="clear" w:color="auto" w:fill="C6D9F1" w:themeFill="text2" w:themeFillTint="33"/>
            <w:noWrap/>
            <w:vAlign w:val="bottom"/>
            <w:hideMark/>
          </w:tcPr>
          <w:p w:rsidR="00F75AA6" w:rsidRPr="00F75AA6" w:rsidRDefault="00F75AA6" w:rsidP="00F75AA6">
            <w:pPr>
              <w:jc w:val="right"/>
              <w:rPr>
                <w:color w:val="000000"/>
                <w:sz w:val="20"/>
                <w:lang w:eastAsia="en-AU"/>
              </w:rPr>
            </w:pPr>
          </w:p>
        </w:tc>
        <w:tc>
          <w:tcPr>
            <w:tcW w:w="884" w:type="dxa"/>
            <w:tcBorders>
              <w:top w:val="single" w:sz="4" w:space="0" w:color="1F497D" w:themeColor="text2"/>
              <w:bottom w:val="nil"/>
            </w:tcBorders>
            <w:shd w:val="clear" w:color="auto" w:fill="C6D9F1" w:themeFill="text2" w:themeFillTint="33"/>
            <w:noWrap/>
            <w:vAlign w:val="bottom"/>
            <w:hideMark/>
          </w:tcPr>
          <w:p w:rsidR="00F75AA6" w:rsidRPr="00F75AA6" w:rsidRDefault="00F75AA6" w:rsidP="00F75AA6">
            <w:pPr>
              <w:jc w:val="right"/>
              <w:rPr>
                <w:color w:val="000000"/>
                <w:sz w:val="20"/>
                <w:lang w:eastAsia="en-AU"/>
              </w:rPr>
            </w:pPr>
          </w:p>
        </w:tc>
      </w:tr>
      <w:tr w:rsidR="00DA6B3F" w:rsidRPr="002E0107" w:rsidTr="0016103D">
        <w:trPr>
          <w:trHeight w:val="300"/>
        </w:trPr>
        <w:tc>
          <w:tcPr>
            <w:tcW w:w="4111" w:type="dxa"/>
            <w:tcBorders>
              <w:top w:val="nil"/>
              <w:bottom w:val="nil"/>
              <w:right w:val="single" w:sz="4" w:space="0" w:color="1F497D" w:themeColor="text2"/>
            </w:tcBorders>
            <w:shd w:val="clear" w:color="auto" w:fill="auto"/>
            <w:vAlign w:val="center"/>
            <w:hideMark/>
          </w:tcPr>
          <w:p w:rsidR="00DA6B3F" w:rsidRDefault="00DA6B3F" w:rsidP="0016103D">
            <w:pPr>
              <w:rPr>
                <w:color w:val="000000"/>
                <w:sz w:val="20"/>
              </w:rPr>
            </w:pPr>
            <w:r>
              <w:rPr>
                <w:color w:val="000000"/>
                <w:sz w:val="20"/>
              </w:rPr>
              <w:t>Avoided landfill costs – waste management</w:t>
            </w:r>
          </w:p>
        </w:tc>
        <w:tc>
          <w:tcPr>
            <w:tcW w:w="884" w:type="dxa"/>
            <w:tcBorders>
              <w:top w:val="nil"/>
              <w:left w:val="single" w:sz="4" w:space="0" w:color="1F497D" w:themeColor="text2"/>
              <w:bottom w:val="nil"/>
            </w:tcBorders>
            <w:shd w:val="clear" w:color="auto" w:fill="auto"/>
            <w:vAlign w:val="center"/>
            <w:hideMark/>
          </w:tcPr>
          <w:p w:rsidR="00DA6B3F" w:rsidRDefault="00DA6B3F">
            <w:pPr>
              <w:jc w:val="right"/>
              <w:rPr>
                <w:color w:val="000000"/>
                <w:sz w:val="20"/>
              </w:rPr>
            </w:pPr>
            <w:r>
              <w:rPr>
                <w:color w:val="000000"/>
                <w:sz w:val="20"/>
              </w:rPr>
              <w:t>0.3</w:t>
            </w:r>
          </w:p>
        </w:tc>
        <w:tc>
          <w:tcPr>
            <w:tcW w:w="884" w:type="dxa"/>
            <w:tcBorders>
              <w:top w:val="nil"/>
              <w:bottom w:val="nil"/>
            </w:tcBorders>
            <w:shd w:val="clear" w:color="auto" w:fill="auto"/>
            <w:vAlign w:val="center"/>
            <w:hideMark/>
          </w:tcPr>
          <w:p w:rsidR="00DA6B3F" w:rsidRDefault="00DA6B3F">
            <w:pPr>
              <w:jc w:val="right"/>
              <w:rPr>
                <w:color w:val="000000"/>
                <w:sz w:val="20"/>
              </w:rPr>
            </w:pPr>
            <w:r>
              <w:rPr>
                <w:color w:val="000000"/>
                <w:sz w:val="20"/>
              </w:rPr>
              <w:t>0.4</w:t>
            </w:r>
          </w:p>
        </w:tc>
        <w:tc>
          <w:tcPr>
            <w:tcW w:w="884" w:type="dxa"/>
            <w:tcBorders>
              <w:top w:val="nil"/>
              <w:bottom w:val="nil"/>
            </w:tcBorders>
            <w:shd w:val="clear" w:color="auto" w:fill="auto"/>
            <w:vAlign w:val="center"/>
            <w:hideMark/>
          </w:tcPr>
          <w:p w:rsidR="00DA6B3F" w:rsidRDefault="00DA6B3F">
            <w:pPr>
              <w:jc w:val="right"/>
              <w:rPr>
                <w:color w:val="000000"/>
                <w:sz w:val="20"/>
              </w:rPr>
            </w:pPr>
            <w:r>
              <w:rPr>
                <w:color w:val="000000"/>
                <w:sz w:val="20"/>
              </w:rPr>
              <w:t>0.4</w:t>
            </w:r>
          </w:p>
        </w:tc>
        <w:tc>
          <w:tcPr>
            <w:tcW w:w="884" w:type="dxa"/>
            <w:tcBorders>
              <w:top w:val="nil"/>
              <w:bottom w:val="nil"/>
            </w:tcBorders>
            <w:shd w:val="clear" w:color="auto" w:fill="auto"/>
            <w:vAlign w:val="center"/>
            <w:hideMark/>
          </w:tcPr>
          <w:p w:rsidR="00DA6B3F" w:rsidRDefault="00DA6B3F">
            <w:pPr>
              <w:jc w:val="right"/>
              <w:rPr>
                <w:color w:val="000000"/>
                <w:sz w:val="20"/>
              </w:rPr>
            </w:pPr>
            <w:r>
              <w:rPr>
                <w:color w:val="000000"/>
                <w:sz w:val="20"/>
              </w:rPr>
              <w:t>0.4</w:t>
            </w:r>
          </w:p>
        </w:tc>
        <w:tc>
          <w:tcPr>
            <w:tcW w:w="884" w:type="dxa"/>
            <w:tcBorders>
              <w:top w:val="nil"/>
              <w:bottom w:val="nil"/>
            </w:tcBorders>
            <w:shd w:val="clear" w:color="auto" w:fill="auto"/>
            <w:vAlign w:val="center"/>
            <w:hideMark/>
          </w:tcPr>
          <w:p w:rsidR="00DA6B3F" w:rsidRDefault="00DA6B3F">
            <w:pPr>
              <w:jc w:val="right"/>
              <w:rPr>
                <w:color w:val="000000"/>
                <w:sz w:val="20"/>
              </w:rPr>
            </w:pPr>
            <w:r>
              <w:rPr>
                <w:color w:val="000000"/>
                <w:sz w:val="20"/>
              </w:rPr>
              <w:t>0.5</w:t>
            </w:r>
          </w:p>
        </w:tc>
        <w:tc>
          <w:tcPr>
            <w:tcW w:w="884" w:type="dxa"/>
            <w:tcBorders>
              <w:top w:val="nil"/>
              <w:bottom w:val="nil"/>
            </w:tcBorders>
            <w:shd w:val="clear" w:color="auto" w:fill="auto"/>
            <w:vAlign w:val="center"/>
            <w:hideMark/>
          </w:tcPr>
          <w:p w:rsidR="00DA6B3F" w:rsidRDefault="00DA6B3F">
            <w:pPr>
              <w:jc w:val="right"/>
              <w:rPr>
                <w:color w:val="000000"/>
                <w:sz w:val="20"/>
              </w:rPr>
            </w:pPr>
            <w:r>
              <w:rPr>
                <w:color w:val="000000"/>
                <w:sz w:val="20"/>
              </w:rPr>
              <w:t>0.5</w:t>
            </w:r>
          </w:p>
        </w:tc>
        <w:tc>
          <w:tcPr>
            <w:tcW w:w="884" w:type="dxa"/>
            <w:tcBorders>
              <w:top w:val="nil"/>
              <w:bottom w:val="nil"/>
            </w:tcBorders>
            <w:shd w:val="clear" w:color="auto" w:fill="auto"/>
            <w:vAlign w:val="center"/>
            <w:hideMark/>
          </w:tcPr>
          <w:p w:rsidR="00DA6B3F" w:rsidRDefault="00DA6B3F">
            <w:pPr>
              <w:jc w:val="right"/>
              <w:rPr>
                <w:color w:val="000000"/>
                <w:sz w:val="20"/>
              </w:rPr>
            </w:pPr>
            <w:r>
              <w:rPr>
                <w:color w:val="000000"/>
                <w:sz w:val="20"/>
              </w:rPr>
              <w:t>0.5</w:t>
            </w:r>
          </w:p>
        </w:tc>
        <w:tc>
          <w:tcPr>
            <w:tcW w:w="884" w:type="dxa"/>
            <w:tcBorders>
              <w:top w:val="nil"/>
              <w:bottom w:val="nil"/>
            </w:tcBorders>
            <w:shd w:val="clear" w:color="auto" w:fill="auto"/>
            <w:vAlign w:val="center"/>
            <w:hideMark/>
          </w:tcPr>
          <w:p w:rsidR="00DA6B3F" w:rsidRDefault="00DA6B3F">
            <w:pPr>
              <w:jc w:val="right"/>
              <w:rPr>
                <w:color w:val="000000"/>
                <w:sz w:val="20"/>
              </w:rPr>
            </w:pPr>
            <w:r>
              <w:rPr>
                <w:color w:val="000000"/>
                <w:sz w:val="20"/>
              </w:rPr>
              <w:t>0.5</w:t>
            </w:r>
          </w:p>
        </w:tc>
        <w:tc>
          <w:tcPr>
            <w:tcW w:w="884" w:type="dxa"/>
            <w:tcBorders>
              <w:top w:val="nil"/>
              <w:bottom w:val="nil"/>
            </w:tcBorders>
            <w:shd w:val="clear" w:color="auto" w:fill="auto"/>
            <w:vAlign w:val="center"/>
            <w:hideMark/>
          </w:tcPr>
          <w:p w:rsidR="00DA6B3F" w:rsidRDefault="00DA6B3F">
            <w:pPr>
              <w:jc w:val="right"/>
              <w:rPr>
                <w:color w:val="000000"/>
                <w:sz w:val="20"/>
              </w:rPr>
            </w:pPr>
            <w:r>
              <w:rPr>
                <w:color w:val="000000"/>
                <w:sz w:val="20"/>
              </w:rPr>
              <w:t>0.5</w:t>
            </w:r>
          </w:p>
        </w:tc>
        <w:tc>
          <w:tcPr>
            <w:tcW w:w="884" w:type="dxa"/>
            <w:tcBorders>
              <w:top w:val="nil"/>
              <w:bottom w:val="nil"/>
            </w:tcBorders>
            <w:shd w:val="clear" w:color="auto" w:fill="auto"/>
            <w:vAlign w:val="center"/>
            <w:hideMark/>
          </w:tcPr>
          <w:p w:rsidR="00DA6B3F" w:rsidRDefault="00DA6B3F">
            <w:pPr>
              <w:jc w:val="right"/>
              <w:rPr>
                <w:color w:val="000000"/>
                <w:sz w:val="20"/>
              </w:rPr>
            </w:pPr>
            <w:r>
              <w:rPr>
                <w:color w:val="000000"/>
                <w:sz w:val="20"/>
              </w:rPr>
              <w:t>0.5</w:t>
            </w:r>
          </w:p>
        </w:tc>
        <w:tc>
          <w:tcPr>
            <w:tcW w:w="884" w:type="dxa"/>
            <w:tcBorders>
              <w:top w:val="nil"/>
              <w:bottom w:val="nil"/>
            </w:tcBorders>
            <w:shd w:val="clear" w:color="auto" w:fill="auto"/>
            <w:vAlign w:val="center"/>
            <w:hideMark/>
          </w:tcPr>
          <w:p w:rsidR="00DA6B3F" w:rsidRDefault="00DA6B3F">
            <w:pPr>
              <w:jc w:val="right"/>
              <w:rPr>
                <w:color w:val="000000"/>
                <w:sz w:val="20"/>
              </w:rPr>
            </w:pPr>
            <w:r>
              <w:rPr>
                <w:color w:val="000000"/>
                <w:sz w:val="20"/>
              </w:rPr>
              <w:t>0.5</w:t>
            </w:r>
          </w:p>
        </w:tc>
      </w:tr>
      <w:tr w:rsidR="00DA6B3F" w:rsidRPr="002E0107" w:rsidTr="0016103D">
        <w:trPr>
          <w:trHeight w:val="300"/>
        </w:trPr>
        <w:tc>
          <w:tcPr>
            <w:tcW w:w="4111" w:type="dxa"/>
            <w:tcBorders>
              <w:top w:val="nil"/>
              <w:bottom w:val="nil"/>
              <w:right w:val="single" w:sz="4" w:space="0" w:color="1F497D" w:themeColor="text2"/>
            </w:tcBorders>
            <w:shd w:val="clear" w:color="auto" w:fill="auto"/>
            <w:vAlign w:val="center"/>
            <w:hideMark/>
          </w:tcPr>
          <w:p w:rsidR="00DA6B3F" w:rsidRDefault="00DA6B3F" w:rsidP="0016103D">
            <w:pPr>
              <w:rPr>
                <w:color w:val="000000"/>
                <w:sz w:val="20"/>
              </w:rPr>
            </w:pPr>
            <w:r>
              <w:rPr>
                <w:color w:val="000000"/>
                <w:sz w:val="20"/>
              </w:rPr>
              <w:t>Avoided landfill costs – environmental</w:t>
            </w:r>
          </w:p>
        </w:tc>
        <w:tc>
          <w:tcPr>
            <w:tcW w:w="884" w:type="dxa"/>
            <w:tcBorders>
              <w:top w:val="nil"/>
              <w:left w:val="single" w:sz="4" w:space="0" w:color="1F497D" w:themeColor="text2"/>
              <w:bottom w:val="nil"/>
            </w:tcBorders>
            <w:shd w:val="clear" w:color="auto" w:fill="auto"/>
            <w:vAlign w:val="center"/>
            <w:hideMark/>
          </w:tcPr>
          <w:p w:rsidR="00DA6B3F" w:rsidRDefault="00DA6B3F">
            <w:pPr>
              <w:jc w:val="right"/>
              <w:rPr>
                <w:color w:val="000000"/>
                <w:sz w:val="20"/>
              </w:rPr>
            </w:pPr>
            <w:r>
              <w:rPr>
                <w:color w:val="000000"/>
                <w:sz w:val="20"/>
              </w:rPr>
              <w:t>0.1</w:t>
            </w:r>
          </w:p>
        </w:tc>
        <w:tc>
          <w:tcPr>
            <w:tcW w:w="884" w:type="dxa"/>
            <w:tcBorders>
              <w:top w:val="nil"/>
              <w:bottom w:val="nil"/>
            </w:tcBorders>
            <w:shd w:val="clear" w:color="auto" w:fill="auto"/>
            <w:vAlign w:val="center"/>
            <w:hideMark/>
          </w:tcPr>
          <w:p w:rsidR="00DA6B3F" w:rsidRDefault="00DA6B3F">
            <w:pPr>
              <w:jc w:val="right"/>
              <w:rPr>
                <w:color w:val="000000"/>
                <w:sz w:val="20"/>
              </w:rPr>
            </w:pPr>
            <w:r>
              <w:rPr>
                <w:color w:val="000000"/>
                <w:sz w:val="20"/>
              </w:rPr>
              <w:t>0.1</w:t>
            </w:r>
          </w:p>
        </w:tc>
        <w:tc>
          <w:tcPr>
            <w:tcW w:w="884" w:type="dxa"/>
            <w:tcBorders>
              <w:top w:val="nil"/>
              <w:bottom w:val="nil"/>
            </w:tcBorders>
            <w:shd w:val="clear" w:color="auto" w:fill="auto"/>
            <w:vAlign w:val="center"/>
            <w:hideMark/>
          </w:tcPr>
          <w:p w:rsidR="00DA6B3F" w:rsidRDefault="00DA6B3F">
            <w:pPr>
              <w:jc w:val="right"/>
              <w:rPr>
                <w:color w:val="000000"/>
                <w:sz w:val="20"/>
              </w:rPr>
            </w:pPr>
            <w:r>
              <w:rPr>
                <w:color w:val="000000"/>
                <w:sz w:val="20"/>
              </w:rPr>
              <w:t>0.1</w:t>
            </w:r>
          </w:p>
        </w:tc>
        <w:tc>
          <w:tcPr>
            <w:tcW w:w="884" w:type="dxa"/>
            <w:tcBorders>
              <w:top w:val="nil"/>
              <w:bottom w:val="nil"/>
            </w:tcBorders>
            <w:shd w:val="clear" w:color="auto" w:fill="auto"/>
            <w:vAlign w:val="center"/>
            <w:hideMark/>
          </w:tcPr>
          <w:p w:rsidR="00DA6B3F" w:rsidRDefault="00DA6B3F">
            <w:pPr>
              <w:jc w:val="right"/>
              <w:rPr>
                <w:color w:val="000000"/>
                <w:sz w:val="20"/>
              </w:rPr>
            </w:pPr>
            <w:r>
              <w:rPr>
                <w:color w:val="000000"/>
                <w:sz w:val="20"/>
              </w:rPr>
              <w:t>0.1</w:t>
            </w:r>
          </w:p>
        </w:tc>
        <w:tc>
          <w:tcPr>
            <w:tcW w:w="884" w:type="dxa"/>
            <w:tcBorders>
              <w:top w:val="nil"/>
              <w:bottom w:val="nil"/>
            </w:tcBorders>
            <w:shd w:val="clear" w:color="auto" w:fill="auto"/>
            <w:vAlign w:val="center"/>
            <w:hideMark/>
          </w:tcPr>
          <w:p w:rsidR="00DA6B3F" w:rsidRDefault="00DA6B3F">
            <w:pPr>
              <w:jc w:val="right"/>
              <w:rPr>
                <w:color w:val="000000"/>
                <w:sz w:val="20"/>
              </w:rPr>
            </w:pPr>
            <w:r>
              <w:rPr>
                <w:color w:val="000000"/>
                <w:sz w:val="20"/>
              </w:rPr>
              <w:t>0.1</w:t>
            </w:r>
          </w:p>
        </w:tc>
        <w:tc>
          <w:tcPr>
            <w:tcW w:w="884" w:type="dxa"/>
            <w:tcBorders>
              <w:top w:val="nil"/>
              <w:bottom w:val="nil"/>
            </w:tcBorders>
            <w:shd w:val="clear" w:color="auto" w:fill="auto"/>
            <w:vAlign w:val="center"/>
            <w:hideMark/>
          </w:tcPr>
          <w:p w:rsidR="00DA6B3F" w:rsidRDefault="00DA6B3F">
            <w:pPr>
              <w:jc w:val="right"/>
              <w:rPr>
                <w:color w:val="000000"/>
                <w:sz w:val="20"/>
              </w:rPr>
            </w:pPr>
            <w:r>
              <w:rPr>
                <w:color w:val="000000"/>
                <w:sz w:val="20"/>
              </w:rPr>
              <w:t>0.1</w:t>
            </w:r>
          </w:p>
        </w:tc>
        <w:tc>
          <w:tcPr>
            <w:tcW w:w="884" w:type="dxa"/>
            <w:tcBorders>
              <w:top w:val="nil"/>
              <w:bottom w:val="nil"/>
            </w:tcBorders>
            <w:shd w:val="clear" w:color="auto" w:fill="auto"/>
            <w:vAlign w:val="center"/>
            <w:hideMark/>
          </w:tcPr>
          <w:p w:rsidR="00DA6B3F" w:rsidRDefault="00DA6B3F">
            <w:pPr>
              <w:jc w:val="right"/>
              <w:rPr>
                <w:color w:val="000000"/>
                <w:sz w:val="20"/>
              </w:rPr>
            </w:pPr>
            <w:r>
              <w:rPr>
                <w:color w:val="000000"/>
                <w:sz w:val="20"/>
              </w:rPr>
              <w:t>0.1</w:t>
            </w:r>
          </w:p>
        </w:tc>
        <w:tc>
          <w:tcPr>
            <w:tcW w:w="884" w:type="dxa"/>
            <w:tcBorders>
              <w:top w:val="nil"/>
              <w:bottom w:val="nil"/>
            </w:tcBorders>
            <w:shd w:val="clear" w:color="auto" w:fill="auto"/>
            <w:vAlign w:val="center"/>
            <w:hideMark/>
          </w:tcPr>
          <w:p w:rsidR="00DA6B3F" w:rsidRDefault="00DA6B3F">
            <w:pPr>
              <w:jc w:val="right"/>
              <w:rPr>
                <w:color w:val="000000"/>
                <w:sz w:val="20"/>
              </w:rPr>
            </w:pPr>
            <w:r>
              <w:rPr>
                <w:color w:val="000000"/>
                <w:sz w:val="20"/>
              </w:rPr>
              <w:t>0.1</w:t>
            </w:r>
          </w:p>
        </w:tc>
        <w:tc>
          <w:tcPr>
            <w:tcW w:w="884" w:type="dxa"/>
            <w:tcBorders>
              <w:top w:val="nil"/>
              <w:bottom w:val="nil"/>
            </w:tcBorders>
            <w:shd w:val="clear" w:color="auto" w:fill="auto"/>
            <w:vAlign w:val="center"/>
            <w:hideMark/>
          </w:tcPr>
          <w:p w:rsidR="00DA6B3F" w:rsidRDefault="00DA6B3F">
            <w:pPr>
              <w:jc w:val="right"/>
              <w:rPr>
                <w:color w:val="000000"/>
                <w:sz w:val="20"/>
              </w:rPr>
            </w:pPr>
            <w:r>
              <w:rPr>
                <w:color w:val="000000"/>
                <w:sz w:val="20"/>
              </w:rPr>
              <w:t>0.1</w:t>
            </w:r>
          </w:p>
        </w:tc>
        <w:tc>
          <w:tcPr>
            <w:tcW w:w="884" w:type="dxa"/>
            <w:tcBorders>
              <w:top w:val="nil"/>
              <w:bottom w:val="nil"/>
            </w:tcBorders>
            <w:shd w:val="clear" w:color="auto" w:fill="auto"/>
            <w:vAlign w:val="center"/>
            <w:hideMark/>
          </w:tcPr>
          <w:p w:rsidR="00DA6B3F" w:rsidRDefault="00DA6B3F">
            <w:pPr>
              <w:jc w:val="right"/>
              <w:rPr>
                <w:color w:val="000000"/>
                <w:sz w:val="20"/>
              </w:rPr>
            </w:pPr>
            <w:r>
              <w:rPr>
                <w:color w:val="000000"/>
                <w:sz w:val="20"/>
              </w:rPr>
              <w:t>0.1</w:t>
            </w:r>
          </w:p>
        </w:tc>
        <w:tc>
          <w:tcPr>
            <w:tcW w:w="884" w:type="dxa"/>
            <w:tcBorders>
              <w:top w:val="nil"/>
              <w:bottom w:val="nil"/>
            </w:tcBorders>
            <w:shd w:val="clear" w:color="auto" w:fill="auto"/>
            <w:vAlign w:val="center"/>
            <w:hideMark/>
          </w:tcPr>
          <w:p w:rsidR="00DA6B3F" w:rsidRDefault="00DA6B3F">
            <w:pPr>
              <w:jc w:val="right"/>
              <w:rPr>
                <w:color w:val="000000"/>
                <w:sz w:val="20"/>
              </w:rPr>
            </w:pPr>
            <w:r>
              <w:rPr>
                <w:color w:val="000000"/>
                <w:sz w:val="20"/>
              </w:rPr>
              <w:t>0.1</w:t>
            </w:r>
          </w:p>
        </w:tc>
      </w:tr>
      <w:tr w:rsidR="00DA6B3F" w:rsidRPr="002E0107" w:rsidTr="0016103D">
        <w:trPr>
          <w:trHeight w:val="300"/>
        </w:trPr>
        <w:tc>
          <w:tcPr>
            <w:tcW w:w="4111" w:type="dxa"/>
            <w:tcBorders>
              <w:top w:val="nil"/>
              <w:bottom w:val="nil"/>
              <w:right w:val="single" w:sz="4" w:space="0" w:color="1F497D" w:themeColor="text2"/>
            </w:tcBorders>
            <w:shd w:val="clear" w:color="auto" w:fill="auto"/>
            <w:vAlign w:val="center"/>
            <w:hideMark/>
          </w:tcPr>
          <w:p w:rsidR="00DA6B3F" w:rsidRDefault="00DA6B3F" w:rsidP="0016103D">
            <w:pPr>
              <w:rPr>
                <w:color w:val="000000"/>
                <w:sz w:val="20"/>
              </w:rPr>
            </w:pPr>
            <w:r>
              <w:rPr>
                <w:color w:val="000000"/>
                <w:sz w:val="20"/>
              </w:rPr>
              <w:t xml:space="preserve">Metal resource recovery </w:t>
            </w:r>
          </w:p>
        </w:tc>
        <w:tc>
          <w:tcPr>
            <w:tcW w:w="884" w:type="dxa"/>
            <w:tcBorders>
              <w:top w:val="nil"/>
              <w:left w:val="single" w:sz="4" w:space="0" w:color="1F497D" w:themeColor="text2"/>
              <w:bottom w:val="nil"/>
            </w:tcBorders>
            <w:shd w:val="clear" w:color="auto" w:fill="auto"/>
            <w:vAlign w:val="center"/>
            <w:hideMark/>
          </w:tcPr>
          <w:p w:rsidR="00DA6B3F" w:rsidRDefault="00DA6B3F">
            <w:pPr>
              <w:jc w:val="right"/>
              <w:rPr>
                <w:color w:val="000000"/>
                <w:sz w:val="20"/>
              </w:rPr>
            </w:pPr>
            <w:r>
              <w:rPr>
                <w:color w:val="000000"/>
                <w:sz w:val="20"/>
              </w:rPr>
              <w:t>0.0</w:t>
            </w:r>
          </w:p>
        </w:tc>
        <w:tc>
          <w:tcPr>
            <w:tcW w:w="884" w:type="dxa"/>
            <w:tcBorders>
              <w:top w:val="nil"/>
              <w:bottom w:val="nil"/>
            </w:tcBorders>
            <w:shd w:val="clear" w:color="auto" w:fill="auto"/>
            <w:vAlign w:val="center"/>
            <w:hideMark/>
          </w:tcPr>
          <w:p w:rsidR="00DA6B3F" w:rsidRDefault="00DA6B3F">
            <w:pPr>
              <w:jc w:val="right"/>
              <w:rPr>
                <w:color w:val="000000"/>
                <w:sz w:val="20"/>
              </w:rPr>
            </w:pPr>
            <w:r>
              <w:rPr>
                <w:color w:val="000000"/>
                <w:sz w:val="20"/>
              </w:rPr>
              <w:t>0.0</w:t>
            </w:r>
          </w:p>
        </w:tc>
        <w:tc>
          <w:tcPr>
            <w:tcW w:w="884" w:type="dxa"/>
            <w:tcBorders>
              <w:top w:val="nil"/>
              <w:bottom w:val="nil"/>
            </w:tcBorders>
            <w:shd w:val="clear" w:color="auto" w:fill="auto"/>
            <w:vAlign w:val="center"/>
            <w:hideMark/>
          </w:tcPr>
          <w:p w:rsidR="00DA6B3F" w:rsidRDefault="00DA6B3F">
            <w:pPr>
              <w:jc w:val="right"/>
              <w:rPr>
                <w:color w:val="000000"/>
                <w:sz w:val="20"/>
              </w:rPr>
            </w:pPr>
            <w:r>
              <w:rPr>
                <w:color w:val="000000"/>
                <w:sz w:val="20"/>
              </w:rPr>
              <w:t>0.0</w:t>
            </w:r>
          </w:p>
        </w:tc>
        <w:tc>
          <w:tcPr>
            <w:tcW w:w="884" w:type="dxa"/>
            <w:tcBorders>
              <w:top w:val="nil"/>
              <w:bottom w:val="nil"/>
            </w:tcBorders>
            <w:shd w:val="clear" w:color="auto" w:fill="auto"/>
            <w:vAlign w:val="center"/>
            <w:hideMark/>
          </w:tcPr>
          <w:p w:rsidR="00DA6B3F" w:rsidRDefault="00DA6B3F">
            <w:pPr>
              <w:jc w:val="right"/>
              <w:rPr>
                <w:color w:val="000000"/>
                <w:sz w:val="20"/>
              </w:rPr>
            </w:pPr>
            <w:r>
              <w:rPr>
                <w:color w:val="000000"/>
                <w:sz w:val="20"/>
              </w:rPr>
              <w:t>0.0</w:t>
            </w:r>
          </w:p>
        </w:tc>
        <w:tc>
          <w:tcPr>
            <w:tcW w:w="884" w:type="dxa"/>
            <w:tcBorders>
              <w:top w:val="nil"/>
              <w:bottom w:val="nil"/>
            </w:tcBorders>
            <w:shd w:val="clear" w:color="auto" w:fill="auto"/>
            <w:vAlign w:val="center"/>
            <w:hideMark/>
          </w:tcPr>
          <w:p w:rsidR="00DA6B3F" w:rsidRDefault="00DA6B3F">
            <w:pPr>
              <w:jc w:val="right"/>
              <w:rPr>
                <w:color w:val="000000"/>
                <w:sz w:val="20"/>
              </w:rPr>
            </w:pPr>
            <w:r>
              <w:rPr>
                <w:color w:val="000000"/>
                <w:sz w:val="20"/>
              </w:rPr>
              <w:t>0.0</w:t>
            </w:r>
          </w:p>
        </w:tc>
        <w:tc>
          <w:tcPr>
            <w:tcW w:w="884" w:type="dxa"/>
            <w:tcBorders>
              <w:top w:val="nil"/>
              <w:bottom w:val="nil"/>
            </w:tcBorders>
            <w:shd w:val="clear" w:color="auto" w:fill="auto"/>
            <w:vAlign w:val="center"/>
            <w:hideMark/>
          </w:tcPr>
          <w:p w:rsidR="00DA6B3F" w:rsidRDefault="00DA6B3F">
            <w:pPr>
              <w:jc w:val="right"/>
              <w:rPr>
                <w:color w:val="000000"/>
                <w:sz w:val="20"/>
              </w:rPr>
            </w:pPr>
            <w:r>
              <w:rPr>
                <w:color w:val="000000"/>
                <w:sz w:val="20"/>
              </w:rPr>
              <w:t>0.0</w:t>
            </w:r>
          </w:p>
        </w:tc>
        <w:tc>
          <w:tcPr>
            <w:tcW w:w="884" w:type="dxa"/>
            <w:tcBorders>
              <w:top w:val="nil"/>
              <w:bottom w:val="nil"/>
            </w:tcBorders>
            <w:shd w:val="clear" w:color="auto" w:fill="auto"/>
            <w:vAlign w:val="center"/>
            <w:hideMark/>
          </w:tcPr>
          <w:p w:rsidR="00DA6B3F" w:rsidRDefault="00DA6B3F">
            <w:pPr>
              <w:jc w:val="right"/>
              <w:rPr>
                <w:color w:val="000000"/>
                <w:sz w:val="20"/>
              </w:rPr>
            </w:pPr>
            <w:r>
              <w:rPr>
                <w:color w:val="000000"/>
                <w:sz w:val="20"/>
              </w:rPr>
              <w:t>0.0</w:t>
            </w:r>
          </w:p>
        </w:tc>
        <w:tc>
          <w:tcPr>
            <w:tcW w:w="884" w:type="dxa"/>
            <w:tcBorders>
              <w:top w:val="nil"/>
              <w:bottom w:val="nil"/>
            </w:tcBorders>
            <w:shd w:val="clear" w:color="auto" w:fill="auto"/>
            <w:vAlign w:val="center"/>
            <w:hideMark/>
          </w:tcPr>
          <w:p w:rsidR="00DA6B3F" w:rsidRDefault="00DA6B3F">
            <w:pPr>
              <w:jc w:val="right"/>
              <w:rPr>
                <w:color w:val="000000"/>
                <w:sz w:val="20"/>
              </w:rPr>
            </w:pPr>
            <w:r>
              <w:rPr>
                <w:color w:val="000000"/>
                <w:sz w:val="20"/>
              </w:rPr>
              <w:t>0.0</w:t>
            </w:r>
          </w:p>
        </w:tc>
        <w:tc>
          <w:tcPr>
            <w:tcW w:w="884" w:type="dxa"/>
            <w:tcBorders>
              <w:top w:val="nil"/>
              <w:bottom w:val="nil"/>
            </w:tcBorders>
            <w:shd w:val="clear" w:color="auto" w:fill="auto"/>
            <w:vAlign w:val="center"/>
            <w:hideMark/>
          </w:tcPr>
          <w:p w:rsidR="00DA6B3F" w:rsidRDefault="00DA6B3F">
            <w:pPr>
              <w:jc w:val="right"/>
              <w:rPr>
                <w:color w:val="000000"/>
                <w:sz w:val="20"/>
              </w:rPr>
            </w:pPr>
            <w:r>
              <w:rPr>
                <w:color w:val="000000"/>
                <w:sz w:val="20"/>
              </w:rPr>
              <w:t>0.0</w:t>
            </w:r>
          </w:p>
        </w:tc>
        <w:tc>
          <w:tcPr>
            <w:tcW w:w="884" w:type="dxa"/>
            <w:tcBorders>
              <w:top w:val="nil"/>
              <w:bottom w:val="nil"/>
            </w:tcBorders>
            <w:shd w:val="clear" w:color="auto" w:fill="auto"/>
            <w:vAlign w:val="center"/>
            <w:hideMark/>
          </w:tcPr>
          <w:p w:rsidR="00DA6B3F" w:rsidRDefault="00DA6B3F">
            <w:pPr>
              <w:jc w:val="right"/>
              <w:rPr>
                <w:color w:val="000000"/>
                <w:sz w:val="20"/>
              </w:rPr>
            </w:pPr>
            <w:r>
              <w:rPr>
                <w:color w:val="000000"/>
                <w:sz w:val="20"/>
              </w:rPr>
              <w:t>0.0</w:t>
            </w:r>
          </w:p>
        </w:tc>
        <w:tc>
          <w:tcPr>
            <w:tcW w:w="884" w:type="dxa"/>
            <w:tcBorders>
              <w:top w:val="nil"/>
              <w:bottom w:val="nil"/>
            </w:tcBorders>
            <w:shd w:val="clear" w:color="auto" w:fill="auto"/>
            <w:vAlign w:val="center"/>
            <w:hideMark/>
          </w:tcPr>
          <w:p w:rsidR="00DA6B3F" w:rsidRDefault="00DA6B3F">
            <w:pPr>
              <w:jc w:val="right"/>
              <w:rPr>
                <w:color w:val="000000"/>
                <w:sz w:val="20"/>
              </w:rPr>
            </w:pPr>
            <w:r>
              <w:rPr>
                <w:color w:val="000000"/>
                <w:sz w:val="20"/>
              </w:rPr>
              <w:t>0.0</w:t>
            </w:r>
          </w:p>
        </w:tc>
      </w:tr>
      <w:tr w:rsidR="00DA6B3F" w:rsidRPr="002E0107" w:rsidTr="0016103D">
        <w:trPr>
          <w:trHeight w:val="300"/>
        </w:trPr>
        <w:tc>
          <w:tcPr>
            <w:tcW w:w="4111" w:type="dxa"/>
            <w:tcBorders>
              <w:top w:val="nil"/>
              <w:bottom w:val="nil"/>
              <w:right w:val="single" w:sz="4" w:space="0" w:color="1F497D" w:themeColor="text2"/>
            </w:tcBorders>
            <w:shd w:val="clear" w:color="auto" w:fill="auto"/>
            <w:vAlign w:val="center"/>
            <w:hideMark/>
          </w:tcPr>
          <w:p w:rsidR="00DA6B3F" w:rsidRDefault="00DA6B3F" w:rsidP="0016103D">
            <w:pPr>
              <w:rPr>
                <w:color w:val="000000"/>
                <w:sz w:val="20"/>
              </w:rPr>
            </w:pPr>
            <w:r>
              <w:rPr>
                <w:color w:val="000000"/>
                <w:sz w:val="20"/>
              </w:rPr>
              <w:t>Refrigerant gas recovery (emissions reduction)</w:t>
            </w:r>
          </w:p>
        </w:tc>
        <w:tc>
          <w:tcPr>
            <w:tcW w:w="884" w:type="dxa"/>
            <w:tcBorders>
              <w:top w:val="nil"/>
              <w:left w:val="single" w:sz="4" w:space="0" w:color="1F497D" w:themeColor="text2"/>
              <w:bottom w:val="nil"/>
            </w:tcBorders>
            <w:shd w:val="clear" w:color="auto" w:fill="auto"/>
            <w:vAlign w:val="center"/>
            <w:hideMark/>
          </w:tcPr>
          <w:p w:rsidR="00DA6B3F" w:rsidRDefault="00DA6B3F">
            <w:pPr>
              <w:jc w:val="right"/>
              <w:rPr>
                <w:color w:val="000000"/>
                <w:sz w:val="20"/>
              </w:rPr>
            </w:pPr>
            <w:r>
              <w:rPr>
                <w:color w:val="000000"/>
                <w:sz w:val="20"/>
              </w:rPr>
              <w:t>0.1</w:t>
            </w:r>
          </w:p>
        </w:tc>
        <w:tc>
          <w:tcPr>
            <w:tcW w:w="884" w:type="dxa"/>
            <w:tcBorders>
              <w:top w:val="nil"/>
              <w:bottom w:val="nil"/>
            </w:tcBorders>
            <w:shd w:val="clear" w:color="auto" w:fill="auto"/>
            <w:vAlign w:val="center"/>
            <w:hideMark/>
          </w:tcPr>
          <w:p w:rsidR="00DA6B3F" w:rsidRDefault="00DA6B3F">
            <w:pPr>
              <w:jc w:val="right"/>
              <w:rPr>
                <w:color w:val="000000"/>
                <w:sz w:val="20"/>
              </w:rPr>
            </w:pPr>
            <w:r>
              <w:rPr>
                <w:color w:val="000000"/>
                <w:sz w:val="20"/>
              </w:rPr>
              <w:t>0.1</w:t>
            </w:r>
          </w:p>
        </w:tc>
        <w:tc>
          <w:tcPr>
            <w:tcW w:w="884" w:type="dxa"/>
            <w:tcBorders>
              <w:top w:val="nil"/>
              <w:bottom w:val="nil"/>
            </w:tcBorders>
            <w:shd w:val="clear" w:color="auto" w:fill="auto"/>
            <w:vAlign w:val="center"/>
            <w:hideMark/>
          </w:tcPr>
          <w:p w:rsidR="00DA6B3F" w:rsidRDefault="00DA6B3F">
            <w:pPr>
              <w:jc w:val="right"/>
              <w:rPr>
                <w:color w:val="000000"/>
                <w:sz w:val="20"/>
              </w:rPr>
            </w:pPr>
            <w:r>
              <w:rPr>
                <w:color w:val="000000"/>
                <w:sz w:val="20"/>
              </w:rPr>
              <w:t>0.1</w:t>
            </w:r>
          </w:p>
        </w:tc>
        <w:tc>
          <w:tcPr>
            <w:tcW w:w="884" w:type="dxa"/>
            <w:tcBorders>
              <w:top w:val="nil"/>
              <w:bottom w:val="nil"/>
            </w:tcBorders>
            <w:shd w:val="clear" w:color="auto" w:fill="auto"/>
            <w:vAlign w:val="center"/>
            <w:hideMark/>
          </w:tcPr>
          <w:p w:rsidR="00DA6B3F" w:rsidRDefault="00DA6B3F">
            <w:pPr>
              <w:jc w:val="right"/>
              <w:rPr>
                <w:color w:val="000000"/>
                <w:sz w:val="20"/>
              </w:rPr>
            </w:pPr>
            <w:r>
              <w:rPr>
                <w:color w:val="000000"/>
                <w:sz w:val="20"/>
              </w:rPr>
              <w:t>0.1</w:t>
            </w:r>
          </w:p>
        </w:tc>
        <w:tc>
          <w:tcPr>
            <w:tcW w:w="884" w:type="dxa"/>
            <w:tcBorders>
              <w:top w:val="nil"/>
              <w:bottom w:val="nil"/>
            </w:tcBorders>
            <w:shd w:val="clear" w:color="auto" w:fill="auto"/>
            <w:vAlign w:val="center"/>
            <w:hideMark/>
          </w:tcPr>
          <w:p w:rsidR="00DA6B3F" w:rsidRDefault="00DA6B3F">
            <w:pPr>
              <w:jc w:val="right"/>
              <w:rPr>
                <w:color w:val="000000"/>
                <w:sz w:val="20"/>
              </w:rPr>
            </w:pPr>
            <w:r>
              <w:rPr>
                <w:color w:val="000000"/>
                <w:sz w:val="20"/>
              </w:rPr>
              <w:t>0.2</w:t>
            </w:r>
          </w:p>
        </w:tc>
        <w:tc>
          <w:tcPr>
            <w:tcW w:w="884" w:type="dxa"/>
            <w:tcBorders>
              <w:top w:val="nil"/>
              <w:bottom w:val="nil"/>
            </w:tcBorders>
            <w:shd w:val="clear" w:color="auto" w:fill="auto"/>
            <w:vAlign w:val="center"/>
            <w:hideMark/>
          </w:tcPr>
          <w:p w:rsidR="00DA6B3F" w:rsidRDefault="00DA6B3F">
            <w:pPr>
              <w:jc w:val="right"/>
              <w:rPr>
                <w:color w:val="000000"/>
                <w:sz w:val="20"/>
              </w:rPr>
            </w:pPr>
            <w:r>
              <w:rPr>
                <w:color w:val="000000"/>
                <w:sz w:val="20"/>
              </w:rPr>
              <w:t>0.2</w:t>
            </w:r>
          </w:p>
        </w:tc>
        <w:tc>
          <w:tcPr>
            <w:tcW w:w="884" w:type="dxa"/>
            <w:tcBorders>
              <w:top w:val="nil"/>
              <w:bottom w:val="nil"/>
            </w:tcBorders>
            <w:shd w:val="clear" w:color="auto" w:fill="auto"/>
            <w:vAlign w:val="center"/>
            <w:hideMark/>
          </w:tcPr>
          <w:p w:rsidR="00DA6B3F" w:rsidRDefault="00DA6B3F">
            <w:pPr>
              <w:jc w:val="right"/>
              <w:rPr>
                <w:color w:val="000000"/>
                <w:sz w:val="20"/>
              </w:rPr>
            </w:pPr>
            <w:r>
              <w:rPr>
                <w:color w:val="000000"/>
                <w:sz w:val="20"/>
              </w:rPr>
              <w:t>0.2</w:t>
            </w:r>
          </w:p>
        </w:tc>
        <w:tc>
          <w:tcPr>
            <w:tcW w:w="884" w:type="dxa"/>
            <w:tcBorders>
              <w:top w:val="nil"/>
              <w:bottom w:val="nil"/>
            </w:tcBorders>
            <w:shd w:val="clear" w:color="auto" w:fill="auto"/>
            <w:vAlign w:val="center"/>
            <w:hideMark/>
          </w:tcPr>
          <w:p w:rsidR="00DA6B3F" w:rsidRDefault="00DA6B3F">
            <w:pPr>
              <w:jc w:val="right"/>
              <w:rPr>
                <w:color w:val="000000"/>
                <w:sz w:val="20"/>
              </w:rPr>
            </w:pPr>
            <w:r>
              <w:rPr>
                <w:color w:val="000000"/>
                <w:sz w:val="20"/>
              </w:rPr>
              <w:t>0.2</w:t>
            </w:r>
          </w:p>
        </w:tc>
        <w:tc>
          <w:tcPr>
            <w:tcW w:w="884" w:type="dxa"/>
            <w:tcBorders>
              <w:top w:val="nil"/>
              <w:bottom w:val="nil"/>
            </w:tcBorders>
            <w:shd w:val="clear" w:color="auto" w:fill="auto"/>
            <w:vAlign w:val="center"/>
            <w:hideMark/>
          </w:tcPr>
          <w:p w:rsidR="00DA6B3F" w:rsidRDefault="00DA6B3F">
            <w:pPr>
              <w:jc w:val="right"/>
              <w:rPr>
                <w:color w:val="000000"/>
                <w:sz w:val="20"/>
              </w:rPr>
            </w:pPr>
            <w:r>
              <w:rPr>
                <w:color w:val="000000"/>
                <w:sz w:val="20"/>
              </w:rPr>
              <w:t>0.2</w:t>
            </w:r>
          </w:p>
        </w:tc>
        <w:tc>
          <w:tcPr>
            <w:tcW w:w="884" w:type="dxa"/>
            <w:tcBorders>
              <w:top w:val="nil"/>
              <w:bottom w:val="nil"/>
            </w:tcBorders>
            <w:shd w:val="clear" w:color="auto" w:fill="auto"/>
            <w:vAlign w:val="center"/>
            <w:hideMark/>
          </w:tcPr>
          <w:p w:rsidR="00DA6B3F" w:rsidRDefault="00DA6B3F">
            <w:pPr>
              <w:jc w:val="right"/>
              <w:rPr>
                <w:color w:val="000000"/>
                <w:sz w:val="20"/>
              </w:rPr>
            </w:pPr>
            <w:r>
              <w:rPr>
                <w:color w:val="000000"/>
                <w:sz w:val="20"/>
              </w:rPr>
              <w:t>0.2</w:t>
            </w:r>
          </w:p>
        </w:tc>
        <w:tc>
          <w:tcPr>
            <w:tcW w:w="884" w:type="dxa"/>
            <w:tcBorders>
              <w:top w:val="nil"/>
              <w:bottom w:val="nil"/>
            </w:tcBorders>
            <w:shd w:val="clear" w:color="auto" w:fill="auto"/>
            <w:vAlign w:val="center"/>
            <w:hideMark/>
          </w:tcPr>
          <w:p w:rsidR="00DA6B3F" w:rsidRDefault="00DA6B3F">
            <w:pPr>
              <w:jc w:val="right"/>
              <w:rPr>
                <w:color w:val="000000"/>
                <w:sz w:val="20"/>
              </w:rPr>
            </w:pPr>
            <w:r>
              <w:rPr>
                <w:color w:val="000000"/>
                <w:sz w:val="20"/>
              </w:rPr>
              <w:t>0.2</w:t>
            </w:r>
          </w:p>
        </w:tc>
      </w:tr>
      <w:tr w:rsidR="00DA6B3F" w:rsidRPr="002E0107" w:rsidTr="0016103D">
        <w:trPr>
          <w:trHeight w:val="300"/>
        </w:trPr>
        <w:tc>
          <w:tcPr>
            <w:tcW w:w="4111" w:type="dxa"/>
            <w:tcBorders>
              <w:top w:val="nil"/>
              <w:bottom w:val="nil"/>
              <w:right w:val="single" w:sz="4" w:space="0" w:color="1F497D" w:themeColor="text2"/>
            </w:tcBorders>
            <w:shd w:val="clear" w:color="auto" w:fill="auto"/>
            <w:vAlign w:val="center"/>
            <w:hideMark/>
          </w:tcPr>
          <w:p w:rsidR="00DA6B3F" w:rsidRDefault="00DA6B3F" w:rsidP="0016103D">
            <w:pPr>
              <w:rPr>
                <w:color w:val="000000"/>
                <w:sz w:val="20"/>
              </w:rPr>
            </w:pPr>
            <w:r>
              <w:rPr>
                <w:color w:val="000000"/>
                <w:sz w:val="20"/>
              </w:rPr>
              <w:t>Plastic resource recovery</w:t>
            </w:r>
          </w:p>
        </w:tc>
        <w:tc>
          <w:tcPr>
            <w:tcW w:w="884" w:type="dxa"/>
            <w:tcBorders>
              <w:top w:val="nil"/>
              <w:left w:val="single" w:sz="4" w:space="0" w:color="1F497D" w:themeColor="text2"/>
              <w:bottom w:val="nil"/>
            </w:tcBorders>
            <w:shd w:val="clear" w:color="auto" w:fill="auto"/>
            <w:vAlign w:val="center"/>
            <w:hideMark/>
          </w:tcPr>
          <w:p w:rsidR="00DA6B3F" w:rsidRDefault="00DA6B3F">
            <w:pPr>
              <w:jc w:val="right"/>
              <w:rPr>
                <w:color w:val="000000"/>
                <w:sz w:val="20"/>
              </w:rPr>
            </w:pPr>
            <w:r>
              <w:rPr>
                <w:color w:val="000000"/>
                <w:sz w:val="20"/>
              </w:rPr>
              <w:t>2.1</w:t>
            </w:r>
          </w:p>
        </w:tc>
        <w:tc>
          <w:tcPr>
            <w:tcW w:w="884" w:type="dxa"/>
            <w:tcBorders>
              <w:top w:val="nil"/>
              <w:bottom w:val="nil"/>
            </w:tcBorders>
            <w:shd w:val="clear" w:color="auto" w:fill="auto"/>
            <w:vAlign w:val="center"/>
            <w:hideMark/>
          </w:tcPr>
          <w:p w:rsidR="00DA6B3F" w:rsidRDefault="00DA6B3F">
            <w:pPr>
              <w:jc w:val="right"/>
              <w:rPr>
                <w:color w:val="000000"/>
                <w:sz w:val="20"/>
              </w:rPr>
            </w:pPr>
            <w:r>
              <w:rPr>
                <w:color w:val="000000"/>
                <w:sz w:val="20"/>
              </w:rPr>
              <w:t>2.4</w:t>
            </w:r>
          </w:p>
        </w:tc>
        <w:tc>
          <w:tcPr>
            <w:tcW w:w="884" w:type="dxa"/>
            <w:tcBorders>
              <w:top w:val="nil"/>
              <w:bottom w:val="nil"/>
            </w:tcBorders>
            <w:shd w:val="clear" w:color="auto" w:fill="auto"/>
            <w:vAlign w:val="center"/>
            <w:hideMark/>
          </w:tcPr>
          <w:p w:rsidR="00DA6B3F" w:rsidRDefault="00DA6B3F">
            <w:pPr>
              <w:jc w:val="right"/>
              <w:rPr>
                <w:color w:val="000000"/>
                <w:sz w:val="20"/>
              </w:rPr>
            </w:pPr>
            <w:r>
              <w:rPr>
                <w:color w:val="000000"/>
                <w:sz w:val="20"/>
              </w:rPr>
              <w:t>2.6</w:t>
            </w:r>
          </w:p>
        </w:tc>
        <w:tc>
          <w:tcPr>
            <w:tcW w:w="884" w:type="dxa"/>
            <w:tcBorders>
              <w:top w:val="nil"/>
              <w:bottom w:val="nil"/>
            </w:tcBorders>
            <w:shd w:val="clear" w:color="auto" w:fill="auto"/>
            <w:vAlign w:val="center"/>
            <w:hideMark/>
          </w:tcPr>
          <w:p w:rsidR="00DA6B3F" w:rsidRDefault="00DA6B3F">
            <w:pPr>
              <w:jc w:val="right"/>
              <w:rPr>
                <w:color w:val="000000"/>
                <w:sz w:val="20"/>
              </w:rPr>
            </w:pPr>
            <w:r>
              <w:rPr>
                <w:color w:val="000000"/>
                <w:sz w:val="20"/>
              </w:rPr>
              <w:t>2.8</w:t>
            </w:r>
          </w:p>
        </w:tc>
        <w:tc>
          <w:tcPr>
            <w:tcW w:w="884" w:type="dxa"/>
            <w:tcBorders>
              <w:top w:val="nil"/>
              <w:bottom w:val="nil"/>
            </w:tcBorders>
            <w:shd w:val="clear" w:color="auto" w:fill="auto"/>
            <w:vAlign w:val="center"/>
            <w:hideMark/>
          </w:tcPr>
          <w:p w:rsidR="00DA6B3F" w:rsidRDefault="00DA6B3F">
            <w:pPr>
              <w:jc w:val="right"/>
              <w:rPr>
                <w:color w:val="000000"/>
                <w:sz w:val="20"/>
              </w:rPr>
            </w:pPr>
            <w:r>
              <w:rPr>
                <w:color w:val="000000"/>
                <w:sz w:val="20"/>
              </w:rPr>
              <w:t>2.9</w:t>
            </w:r>
          </w:p>
        </w:tc>
        <w:tc>
          <w:tcPr>
            <w:tcW w:w="884" w:type="dxa"/>
            <w:tcBorders>
              <w:top w:val="nil"/>
              <w:bottom w:val="nil"/>
            </w:tcBorders>
            <w:shd w:val="clear" w:color="auto" w:fill="auto"/>
            <w:vAlign w:val="center"/>
            <w:hideMark/>
          </w:tcPr>
          <w:p w:rsidR="00DA6B3F" w:rsidRDefault="00DA6B3F">
            <w:pPr>
              <w:jc w:val="right"/>
              <w:rPr>
                <w:color w:val="000000"/>
                <w:sz w:val="20"/>
              </w:rPr>
            </w:pPr>
            <w:r>
              <w:rPr>
                <w:color w:val="000000"/>
                <w:sz w:val="20"/>
              </w:rPr>
              <w:t>3.1</w:t>
            </w:r>
          </w:p>
        </w:tc>
        <w:tc>
          <w:tcPr>
            <w:tcW w:w="884" w:type="dxa"/>
            <w:tcBorders>
              <w:top w:val="nil"/>
              <w:bottom w:val="nil"/>
            </w:tcBorders>
            <w:shd w:val="clear" w:color="auto" w:fill="auto"/>
            <w:vAlign w:val="center"/>
            <w:hideMark/>
          </w:tcPr>
          <w:p w:rsidR="00DA6B3F" w:rsidRDefault="00DA6B3F">
            <w:pPr>
              <w:jc w:val="right"/>
              <w:rPr>
                <w:color w:val="000000"/>
                <w:sz w:val="20"/>
              </w:rPr>
            </w:pPr>
            <w:r>
              <w:rPr>
                <w:color w:val="000000"/>
                <w:sz w:val="20"/>
              </w:rPr>
              <w:t>3.2</w:t>
            </w:r>
          </w:p>
        </w:tc>
        <w:tc>
          <w:tcPr>
            <w:tcW w:w="884" w:type="dxa"/>
            <w:tcBorders>
              <w:top w:val="nil"/>
              <w:bottom w:val="nil"/>
            </w:tcBorders>
            <w:shd w:val="clear" w:color="auto" w:fill="auto"/>
            <w:vAlign w:val="center"/>
            <w:hideMark/>
          </w:tcPr>
          <w:p w:rsidR="00DA6B3F" w:rsidRDefault="00DA6B3F">
            <w:pPr>
              <w:jc w:val="right"/>
              <w:rPr>
                <w:color w:val="000000"/>
                <w:sz w:val="20"/>
              </w:rPr>
            </w:pPr>
            <w:r>
              <w:rPr>
                <w:color w:val="000000"/>
                <w:sz w:val="20"/>
              </w:rPr>
              <w:t>3.2</w:t>
            </w:r>
          </w:p>
        </w:tc>
        <w:tc>
          <w:tcPr>
            <w:tcW w:w="884" w:type="dxa"/>
            <w:tcBorders>
              <w:top w:val="nil"/>
              <w:bottom w:val="nil"/>
            </w:tcBorders>
            <w:shd w:val="clear" w:color="auto" w:fill="auto"/>
            <w:vAlign w:val="center"/>
            <w:hideMark/>
          </w:tcPr>
          <w:p w:rsidR="00DA6B3F" w:rsidRDefault="00DA6B3F">
            <w:pPr>
              <w:jc w:val="right"/>
              <w:rPr>
                <w:color w:val="000000"/>
                <w:sz w:val="20"/>
              </w:rPr>
            </w:pPr>
            <w:r>
              <w:rPr>
                <w:color w:val="000000"/>
                <w:sz w:val="20"/>
              </w:rPr>
              <w:t>3.3</w:t>
            </w:r>
          </w:p>
        </w:tc>
        <w:tc>
          <w:tcPr>
            <w:tcW w:w="884" w:type="dxa"/>
            <w:tcBorders>
              <w:top w:val="nil"/>
              <w:bottom w:val="nil"/>
            </w:tcBorders>
            <w:shd w:val="clear" w:color="auto" w:fill="auto"/>
            <w:vAlign w:val="center"/>
            <w:hideMark/>
          </w:tcPr>
          <w:p w:rsidR="00DA6B3F" w:rsidRDefault="00DA6B3F">
            <w:pPr>
              <w:jc w:val="right"/>
              <w:rPr>
                <w:color w:val="000000"/>
                <w:sz w:val="20"/>
              </w:rPr>
            </w:pPr>
            <w:r>
              <w:rPr>
                <w:color w:val="000000"/>
                <w:sz w:val="20"/>
              </w:rPr>
              <w:t>3.2</w:t>
            </w:r>
          </w:p>
        </w:tc>
        <w:tc>
          <w:tcPr>
            <w:tcW w:w="884" w:type="dxa"/>
            <w:tcBorders>
              <w:top w:val="nil"/>
              <w:bottom w:val="nil"/>
            </w:tcBorders>
            <w:shd w:val="clear" w:color="auto" w:fill="auto"/>
            <w:vAlign w:val="center"/>
            <w:hideMark/>
          </w:tcPr>
          <w:p w:rsidR="00DA6B3F" w:rsidRDefault="00DA6B3F">
            <w:pPr>
              <w:jc w:val="right"/>
              <w:rPr>
                <w:color w:val="000000"/>
                <w:sz w:val="20"/>
              </w:rPr>
            </w:pPr>
            <w:r>
              <w:rPr>
                <w:color w:val="000000"/>
                <w:sz w:val="20"/>
              </w:rPr>
              <w:t>3.2</w:t>
            </w:r>
          </w:p>
        </w:tc>
      </w:tr>
      <w:tr w:rsidR="00DA6B3F" w:rsidRPr="002E0107" w:rsidTr="0016103D">
        <w:trPr>
          <w:trHeight w:val="300"/>
        </w:trPr>
        <w:tc>
          <w:tcPr>
            <w:tcW w:w="4111" w:type="dxa"/>
            <w:tcBorders>
              <w:top w:val="nil"/>
              <w:bottom w:val="nil"/>
              <w:right w:val="single" w:sz="4" w:space="0" w:color="1F497D" w:themeColor="text2"/>
            </w:tcBorders>
            <w:shd w:val="clear" w:color="auto" w:fill="auto"/>
            <w:vAlign w:val="center"/>
            <w:hideMark/>
          </w:tcPr>
          <w:p w:rsidR="00DA6B3F" w:rsidRDefault="00DA6B3F" w:rsidP="0016103D">
            <w:pPr>
              <w:rPr>
                <w:color w:val="000000"/>
                <w:sz w:val="20"/>
              </w:rPr>
            </w:pPr>
            <w:r>
              <w:rPr>
                <w:color w:val="000000"/>
                <w:sz w:val="20"/>
              </w:rPr>
              <w:t>Value of additional recycling (WTP)</w:t>
            </w:r>
          </w:p>
        </w:tc>
        <w:tc>
          <w:tcPr>
            <w:tcW w:w="884" w:type="dxa"/>
            <w:tcBorders>
              <w:top w:val="nil"/>
              <w:left w:val="single" w:sz="4" w:space="0" w:color="1F497D" w:themeColor="text2"/>
              <w:bottom w:val="nil"/>
            </w:tcBorders>
            <w:shd w:val="clear" w:color="auto" w:fill="auto"/>
            <w:vAlign w:val="center"/>
            <w:hideMark/>
          </w:tcPr>
          <w:p w:rsidR="00DA6B3F" w:rsidRDefault="00DA6B3F">
            <w:pPr>
              <w:jc w:val="right"/>
              <w:rPr>
                <w:color w:val="000000"/>
                <w:sz w:val="20"/>
              </w:rPr>
            </w:pPr>
            <w:r>
              <w:rPr>
                <w:color w:val="000000"/>
                <w:sz w:val="20"/>
              </w:rPr>
              <w:t>0.4</w:t>
            </w:r>
          </w:p>
        </w:tc>
        <w:tc>
          <w:tcPr>
            <w:tcW w:w="884" w:type="dxa"/>
            <w:tcBorders>
              <w:top w:val="nil"/>
              <w:bottom w:val="nil"/>
            </w:tcBorders>
            <w:shd w:val="clear" w:color="auto" w:fill="auto"/>
            <w:vAlign w:val="center"/>
            <w:hideMark/>
          </w:tcPr>
          <w:p w:rsidR="00DA6B3F" w:rsidRDefault="00DA6B3F">
            <w:pPr>
              <w:jc w:val="right"/>
              <w:rPr>
                <w:color w:val="000000"/>
                <w:sz w:val="20"/>
              </w:rPr>
            </w:pPr>
            <w:r>
              <w:rPr>
                <w:color w:val="000000"/>
                <w:sz w:val="20"/>
              </w:rPr>
              <w:t>0.5</w:t>
            </w:r>
          </w:p>
        </w:tc>
        <w:tc>
          <w:tcPr>
            <w:tcW w:w="884" w:type="dxa"/>
            <w:tcBorders>
              <w:top w:val="nil"/>
              <w:bottom w:val="nil"/>
            </w:tcBorders>
            <w:shd w:val="clear" w:color="auto" w:fill="auto"/>
            <w:vAlign w:val="center"/>
            <w:hideMark/>
          </w:tcPr>
          <w:p w:rsidR="00DA6B3F" w:rsidRDefault="00DA6B3F">
            <w:pPr>
              <w:jc w:val="right"/>
              <w:rPr>
                <w:color w:val="000000"/>
                <w:sz w:val="20"/>
              </w:rPr>
            </w:pPr>
            <w:r>
              <w:rPr>
                <w:color w:val="000000"/>
                <w:sz w:val="20"/>
              </w:rPr>
              <w:t>0.5</w:t>
            </w:r>
          </w:p>
        </w:tc>
        <w:tc>
          <w:tcPr>
            <w:tcW w:w="884" w:type="dxa"/>
            <w:tcBorders>
              <w:top w:val="nil"/>
              <w:bottom w:val="nil"/>
            </w:tcBorders>
            <w:shd w:val="clear" w:color="auto" w:fill="auto"/>
            <w:vAlign w:val="center"/>
            <w:hideMark/>
          </w:tcPr>
          <w:p w:rsidR="00DA6B3F" w:rsidRDefault="00DA6B3F">
            <w:pPr>
              <w:jc w:val="right"/>
              <w:rPr>
                <w:color w:val="000000"/>
                <w:sz w:val="20"/>
              </w:rPr>
            </w:pPr>
            <w:r>
              <w:rPr>
                <w:color w:val="000000"/>
                <w:sz w:val="20"/>
              </w:rPr>
              <w:t>0.6</w:t>
            </w:r>
          </w:p>
        </w:tc>
        <w:tc>
          <w:tcPr>
            <w:tcW w:w="884" w:type="dxa"/>
            <w:tcBorders>
              <w:top w:val="nil"/>
              <w:bottom w:val="nil"/>
            </w:tcBorders>
            <w:shd w:val="clear" w:color="auto" w:fill="auto"/>
            <w:vAlign w:val="center"/>
            <w:hideMark/>
          </w:tcPr>
          <w:p w:rsidR="00DA6B3F" w:rsidRDefault="00DA6B3F">
            <w:pPr>
              <w:jc w:val="right"/>
              <w:rPr>
                <w:color w:val="000000"/>
                <w:sz w:val="20"/>
              </w:rPr>
            </w:pPr>
            <w:r>
              <w:rPr>
                <w:color w:val="000000"/>
                <w:sz w:val="20"/>
              </w:rPr>
              <w:t>0.7</w:t>
            </w:r>
          </w:p>
        </w:tc>
        <w:tc>
          <w:tcPr>
            <w:tcW w:w="884" w:type="dxa"/>
            <w:tcBorders>
              <w:top w:val="nil"/>
              <w:bottom w:val="nil"/>
            </w:tcBorders>
            <w:shd w:val="clear" w:color="auto" w:fill="auto"/>
            <w:vAlign w:val="center"/>
            <w:hideMark/>
          </w:tcPr>
          <w:p w:rsidR="00DA6B3F" w:rsidRDefault="00DA6B3F">
            <w:pPr>
              <w:jc w:val="right"/>
              <w:rPr>
                <w:color w:val="000000"/>
                <w:sz w:val="20"/>
              </w:rPr>
            </w:pPr>
            <w:r>
              <w:rPr>
                <w:color w:val="000000"/>
                <w:sz w:val="20"/>
              </w:rPr>
              <w:t>0.7</w:t>
            </w:r>
          </w:p>
        </w:tc>
        <w:tc>
          <w:tcPr>
            <w:tcW w:w="884" w:type="dxa"/>
            <w:tcBorders>
              <w:top w:val="nil"/>
              <w:bottom w:val="nil"/>
            </w:tcBorders>
            <w:shd w:val="clear" w:color="auto" w:fill="auto"/>
            <w:vAlign w:val="center"/>
            <w:hideMark/>
          </w:tcPr>
          <w:p w:rsidR="00DA6B3F" w:rsidRDefault="00DA6B3F">
            <w:pPr>
              <w:jc w:val="right"/>
              <w:rPr>
                <w:color w:val="000000"/>
                <w:sz w:val="20"/>
              </w:rPr>
            </w:pPr>
            <w:r>
              <w:rPr>
                <w:color w:val="000000"/>
                <w:sz w:val="20"/>
              </w:rPr>
              <w:t>0.8</w:t>
            </w:r>
          </w:p>
        </w:tc>
        <w:tc>
          <w:tcPr>
            <w:tcW w:w="884" w:type="dxa"/>
            <w:tcBorders>
              <w:top w:val="nil"/>
              <w:bottom w:val="nil"/>
            </w:tcBorders>
            <w:shd w:val="clear" w:color="auto" w:fill="auto"/>
            <w:vAlign w:val="center"/>
            <w:hideMark/>
          </w:tcPr>
          <w:p w:rsidR="00DA6B3F" w:rsidRDefault="00DA6B3F">
            <w:pPr>
              <w:jc w:val="right"/>
              <w:rPr>
                <w:color w:val="000000"/>
                <w:sz w:val="20"/>
              </w:rPr>
            </w:pPr>
            <w:r>
              <w:rPr>
                <w:color w:val="000000"/>
                <w:sz w:val="20"/>
              </w:rPr>
              <w:t>0.8</w:t>
            </w:r>
          </w:p>
        </w:tc>
        <w:tc>
          <w:tcPr>
            <w:tcW w:w="884" w:type="dxa"/>
            <w:tcBorders>
              <w:top w:val="nil"/>
              <w:bottom w:val="nil"/>
            </w:tcBorders>
            <w:shd w:val="clear" w:color="auto" w:fill="auto"/>
            <w:vAlign w:val="center"/>
            <w:hideMark/>
          </w:tcPr>
          <w:p w:rsidR="00DA6B3F" w:rsidRDefault="00DA6B3F">
            <w:pPr>
              <w:jc w:val="right"/>
              <w:rPr>
                <w:color w:val="000000"/>
                <w:sz w:val="20"/>
              </w:rPr>
            </w:pPr>
            <w:r>
              <w:rPr>
                <w:color w:val="000000"/>
                <w:sz w:val="20"/>
              </w:rPr>
              <w:t>0.8</w:t>
            </w:r>
          </w:p>
        </w:tc>
        <w:tc>
          <w:tcPr>
            <w:tcW w:w="884" w:type="dxa"/>
            <w:tcBorders>
              <w:top w:val="nil"/>
              <w:bottom w:val="nil"/>
            </w:tcBorders>
            <w:shd w:val="clear" w:color="auto" w:fill="auto"/>
            <w:vAlign w:val="center"/>
            <w:hideMark/>
          </w:tcPr>
          <w:p w:rsidR="00DA6B3F" w:rsidRDefault="00DA6B3F">
            <w:pPr>
              <w:jc w:val="right"/>
              <w:rPr>
                <w:color w:val="000000"/>
                <w:sz w:val="20"/>
              </w:rPr>
            </w:pPr>
            <w:r>
              <w:rPr>
                <w:color w:val="000000"/>
                <w:sz w:val="20"/>
              </w:rPr>
              <w:t>0.9</w:t>
            </w:r>
          </w:p>
        </w:tc>
        <w:tc>
          <w:tcPr>
            <w:tcW w:w="884" w:type="dxa"/>
            <w:tcBorders>
              <w:top w:val="nil"/>
              <w:bottom w:val="nil"/>
            </w:tcBorders>
            <w:shd w:val="clear" w:color="auto" w:fill="auto"/>
            <w:vAlign w:val="center"/>
            <w:hideMark/>
          </w:tcPr>
          <w:p w:rsidR="00DA6B3F" w:rsidRDefault="00DA6B3F">
            <w:pPr>
              <w:jc w:val="right"/>
              <w:rPr>
                <w:color w:val="000000"/>
                <w:sz w:val="20"/>
              </w:rPr>
            </w:pPr>
            <w:r>
              <w:rPr>
                <w:color w:val="000000"/>
                <w:sz w:val="20"/>
              </w:rPr>
              <w:t>0.9</w:t>
            </w:r>
          </w:p>
        </w:tc>
      </w:tr>
      <w:tr w:rsidR="00DA6B3F" w:rsidRPr="002E0107" w:rsidTr="0016103D">
        <w:trPr>
          <w:trHeight w:val="300"/>
        </w:trPr>
        <w:tc>
          <w:tcPr>
            <w:tcW w:w="4111" w:type="dxa"/>
            <w:tcBorders>
              <w:top w:val="nil"/>
              <w:bottom w:val="single" w:sz="4" w:space="0" w:color="1F497D" w:themeColor="text2"/>
              <w:right w:val="single" w:sz="4" w:space="0" w:color="1F497D" w:themeColor="text2"/>
            </w:tcBorders>
            <w:shd w:val="clear" w:color="auto" w:fill="auto"/>
            <w:vAlign w:val="center"/>
            <w:hideMark/>
          </w:tcPr>
          <w:p w:rsidR="00DA6B3F" w:rsidRDefault="00DA6B3F" w:rsidP="0016103D">
            <w:pPr>
              <w:rPr>
                <w:b/>
                <w:bCs/>
                <w:color w:val="000000"/>
                <w:sz w:val="20"/>
              </w:rPr>
            </w:pPr>
            <w:r>
              <w:rPr>
                <w:b/>
                <w:bCs/>
                <w:color w:val="000000"/>
                <w:sz w:val="20"/>
              </w:rPr>
              <w:t>Total Benefits</w:t>
            </w:r>
          </w:p>
        </w:tc>
        <w:tc>
          <w:tcPr>
            <w:tcW w:w="884" w:type="dxa"/>
            <w:tcBorders>
              <w:top w:val="nil"/>
              <w:left w:val="single" w:sz="4" w:space="0" w:color="1F497D" w:themeColor="text2"/>
              <w:bottom w:val="single" w:sz="4" w:space="0" w:color="1F497D" w:themeColor="text2"/>
            </w:tcBorders>
            <w:shd w:val="clear" w:color="auto" w:fill="auto"/>
            <w:vAlign w:val="center"/>
            <w:hideMark/>
          </w:tcPr>
          <w:p w:rsidR="00DA6B3F" w:rsidRDefault="00DA6B3F">
            <w:pPr>
              <w:jc w:val="right"/>
              <w:rPr>
                <w:b/>
                <w:bCs/>
                <w:color w:val="000000"/>
                <w:sz w:val="20"/>
              </w:rPr>
            </w:pPr>
            <w:r>
              <w:rPr>
                <w:b/>
                <w:bCs/>
                <w:color w:val="000000"/>
                <w:sz w:val="20"/>
              </w:rPr>
              <w:t>2.6</w:t>
            </w:r>
          </w:p>
        </w:tc>
        <w:tc>
          <w:tcPr>
            <w:tcW w:w="884" w:type="dxa"/>
            <w:tcBorders>
              <w:top w:val="nil"/>
              <w:bottom w:val="single" w:sz="4" w:space="0" w:color="1F497D" w:themeColor="text2"/>
            </w:tcBorders>
            <w:shd w:val="clear" w:color="auto" w:fill="auto"/>
            <w:vAlign w:val="center"/>
            <w:hideMark/>
          </w:tcPr>
          <w:p w:rsidR="00DA6B3F" w:rsidRDefault="00DA6B3F">
            <w:pPr>
              <w:jc w:val="right"/>
              <w:rPr>
                <w:b/>
                <w:bCs/>
                <w:color w:val="000000"/>
                <w:sz w:val="20"/>
              </w:rPr>
            </w:pPr>
            <w:r>
              <w:rPr>
                <w:b/>
                <w:bCs/>
                <w:color w:val="000000"/>
                <w:sz w:val="20"/>
              </w:rPr>
              <w:t>2.9</w:t>
            </w:r>
          </w:p>
        </w:tc>
        <w:tc>
          <w:tcPr>
            <w:tcW w:w="884" w:type="dxa"/>
            <w:tcBorders>
              <w:top w:val="nil"/>
              <w:bottom w:val="single" w:sz="4" w:space="0" w:color="1F497D" w:themeColor="text2"/>
            </w:tcBorders>
            <w:shd w:val="clear" w:color="auto" w:fill="auto"/>
            <w:vAlign w:val="center"/>
            <w:hideMark/>
          </w:tcPr>
          <w:p w:rsidR="00DA6B3F" w:rsidRDefault="00DA6B3F">
            <w:pPr>
              <w:jc w:val="right"/>
              <w:rPr>
                <w:b/>
                <w:bCs/>
                <w:color w:val="000000"/>
                <w:sz w:val="20"/>
              </w:rPr>
            </w:pPr>
            <w:r>
              <w:rPr>
                <w:b/>
                <w:bCs/>
                <w:color w:val="000000"/>
                <w:sz w:val="20"/>
              </w:rPr>
              <w:t>3.2</w:t>
            </w:r>
          </w:p>
        </w:tc>
        <w:tc>
          <w:tcPr>
            <w:tcW w:w="884" w:type="dxa"/>
            <w:tcBorders>
              <w:top w:val="nil"/>
              <w:bottom w:val="single" w:sz="4" w:space="0" w:color="1F497D" w:themeColor="text2"/>
            </w:tcBorders>
            <w:shd w:val="clear" w:color="auto" w:fill="auto"/>
            <w:vAlign w:val="center"/>
            <w:hideMark/>
          </w:tcPr>
          <w:p w:rsidR="00DA6B3F" w:rsidRDefault="00DA6B3F">
            <w:pPr>
              <w:jc w:val="right"/>
              <w:rPr>
                <w:b/>
                <w:bCs/>
                <w:color w:val="000000"/>
                <w:sz w:val="20"/>
              </w:rPr>
            </w:pPr>
            <w:r>
              <w:rPr>
                <w:b/>
                <w:bCs/>
                <w:color w:val="000000"/>
                <w:sz w:val="20"/>
              </w:rPr>
              <w:t>3.4</w:t>
            </w:r>
          </w:p>
        </w:tc>
        <w:tc>
          <w:tcPr>
            <w:tcW w:w="884" w:type="dxa"/>
            <w:tcBorders>
              <w:top w:val="nil"/>
              <w:bottom w:val="single" w:sz="4" w:space="0" w:color="1F497D" w:themeColor="text2"/>
            </w:tcBorders>
            <w:shd w:val="clear" w:color="auto" w:fill="auto"/>
            <w:vAlign w:val="center"/>
            <w:hideMark/>
          </w:tcPr>
          <w:p w:rsidR="00DA6B3F" w:rsidRDefault="00DA6B3F">
            <w:pPr>
              <w:jc w:val="right"/>
              <w:rPr>
                <w:b/>
                <w:bCs/>
                <w:color w:val="000000"/>
                <w:sz w:val="20"/>
              </w:rPr>
            </w:pPr>
            <w:r>
              <w:rPr>
                <w:b/>
                <w:bCs/>
                <w:color w:val="000000"/>
                <w:sz w:val="20"/>
              </w:rPr>
              <w:t>3.6</w:t>
            </w:r>
          </w:p>
        </w:tc>
        <w:tc>
          <w:tcPr>
            <w:tcW w:w="884" w:type="dxa"/>
            <w:tcBorders>
              <w:top w:val="nil"/>
              <w:bottom w:val="single" w:sz="4" w:space="0" w:color="1F497D" w:themeColor="text2"/>
            </w:tcBorders>
            <w:shd w:val="clear" w:color="auto" w:fill="auto"/>
            <w:vAlign w:val="center"/>
            <w:hideMark/>
          </w:tcPr>
          <w:p w:rsidR="00DA6B3F" w:rsidRDefault="00DA6B3F">
            <w:pPr>
              <w:jc w:val="right"/>
              <w:rPr>
                <w:b/>
                <w:bCs/>
                <w:color w:val="000000"/>
                <w:sz w:val="20"/>
              </w:rPr>
            </w:pPr>
            <w:r>
              <w:rPr>
                <w:b/>
                <w:bCs/>
                <w:color w:val="000000"/>
                <w:sz w:val="20"/>
              </w:rPr>
              <w:t>3.8</w:t>
            </w:r>
          </w:p>
        </w:tc>
        <w:tc>
          <w:tcPr>
            <w:tcW w:w="884" w:type="dxa"/>
            <w:tcBorders>
              <w:top w:val="nil"/>
              <w:bottom w:val="single" w:sz="4" w:space="0" w:color="1F497D" w:themeColor="text2"/>
            </w:tcBorders>
            <w:shd w:val="clear" w:color="auto" w:fill="auto"/>
            <w:vAlign w:val="center"/>
            <w:hideMark/>
          </w:tcPr>
          <w:p w:rsidR="00DA6B3F" w:rsidRDefault="00DA6B3F">
            <w:pPr>
              <w:jc w:val="right"/>
              <w:rPr>
                <w:b/>
                <w:bCs/>
                <w:color w:val="000000"/>
                <w:sz w:val="20"/>
              </w:rPr>
            </w:pPr>
            <w:r>
              <w:rPr>
                <w:b/>
                <w:bCs/>
                <w:color w:val="000000"/>
                <w:sz w:val="20"/>
              </w:rPr>
              <w:t>3.9</w:t>
            </w:r>
          </w:p>
        </w:tc>
        <w:tc>
          <w:tcPr>
            <w:tcW w:w="884" w:type="dxa"/>
            <w:tcBorders>
              <w:top w:val="nil"/>
              <w:bottom w:val="single" w:sz="4" w:space="0" w:color="1F497D" w:themeColor="text2"/>
            </w:tcBorders>
            <w:shd w:val="clear" w:color="auto" w:fill="auto"/>
            <w:vAlign w:val="center"/>
            <w:hideMark/>
          </w:tcPr>
          <w:p w:rsidR="00DA6B3F" w:rsidRDefault="00DA6B3F">
            <w:pPr>
              <w:jc w:val="right"/>
              <w:rPr>
                <w:b/>
                <w:bCs/>
                <w:color w:val="000000"/>
                <w:sz w:val="20"/>
              </w:rPr>
            </w:pPr>
            <w:r>
              <w:rPr>
                <w:b/>
                <w:bCs/>
                <w:color w:val="000000"/>
                <w:sz w:val="20"/>
              </w:rPr>
              <w:t>4.0</w:t>
            </w:r>
          </w:p>
        </w:tc>
        <w:tc>
          <w:tcPr>
            <w:tcW w:w="884" w:type="dxa"/>
            <w:tcBorders>
              <w:top w:val="nil"/>
              <w:bottom w:val="single" w:sz="4" w:space="0" w:color="1F497D" w:themeColor="text2"/>
            </w:tcBorders>
            <w:shd w:val="clear" w:color="auto" w:fill="auto"/>
            <w:vAlign w:val="center"/>
            <w:hideMark/>
          </w:tcPr>
          <w:p w:rsidR="00DA6B3F" w:rsidRDefault="00DA6B3F">
            <w:pPr>
              <w:jc w:val="right"/>
              <w:rPr>
                <w:b/>
                <w:bCs/>
                <w:color w:val="000000"/>
                <w:sz w:val="20"/>
              </w:rPr>
            </w:pPr>
            <w:r>
              <w:rPr>
                <w:b/>
                <w:bCs/>
                <w:color w:val="000000"/>
                <w:sz w:val="20"/>
              </w:rPr>
              <w:t>4.1</w:t>
            </w:r>
          </w:p>
        </w:tc>
        <w:tc>
          <w:tcPr>
            <w:tcW w:w="884" w:type="dxa"/>
            <w:tcBorders>
              <w:top w:val="nil"/>
              <w:bottom w:val="single" w:sz="4" w:space="0" w:color="1F497D" w:themeColor="text2"/>
            </w:tcBorders>
            <w:shd w:val="clear" w:color="auto" w:fill="auto"/>
            <w:vAlign w:val="center"/>
            <w:hideMark/>
          </w:tcPr>
          <w:p w:rsidR="00DA6B3F" w:rsidRDefault="00DA6B3F">
            <w:pPr>
              <w:jc w:val="right"/>
              <w:rPr>
                <w:b/>
                <w:bCs/>
                <w:color w:val="000000"/>
                <w:sz w:val="20"/>
              </w:rPr>
            </w:pPr>
            <w:r>
              <w:rPr>
                <w:b/>
                <w:bCs/>
                <w:color w:val="000000"/>
                <w:sz w:val="20"/>
              </w:rPr>
              <w:t>4.1</w:t>
            </w:r>
          </w:p>
        </w:tc>
        <w:tc>
          <w:tcPr>
            <w:tcW w:w="884" w:type="dxa"/>
            <w:tcBorders>
              <w:top w:val="nil"/>
              <w:bottom w:val="single" w:sz="4" w:space="0" w:color="1F497D" w:themeColor="text2"/>
            </w:tcBorders>
            <w:shd w:val="clear" w:color="auto" w:fill="auto"/>
            <w:vAlign w:val="center"/>
            <w:hideMark/>
          </w:tcPr>
          <w:p w:rsidR="00DA6B3F" w:rsidRDefault="00DA6B3F">
            <w:pPr>
              <w:jc w:val="right"/>
              <w:rPr>
                <w:b/>
                <w:bCs/>
                <w:color w:val="000000"/>
                <w:sz w:val="20"/>
              </w:rPr>
            </w:pPr>
            <w:r>
              <w:rPr>
                <w:b/>
                <w:bCs/>
                <w:color w:val="000000"/>
                <w:sz w:val="20"/>
              </w:rPr>
              <w:t>4.0</w:t>
            </w:r>
          </w:p>
        </w:tc>
      </w:tr>
    </w:tbl>
    <w:p w:rsidR="002E0107" w:rsidRDefault="002E0107" w:rsidP="002E0107">
      <w:pPr>
        <w:pStyle w:val="Source"/>
      </w:pPr>
      <w:r>
        <w:t>Source: KPMG analysis</w:t>
      </w:r>
    </w:p>
    <w:p w:rsidR="002E0107" w:rsidRDefault="002E0107" w:rsidP="000E1FD9">
      <w:pPr>
        <w:pStyle w:val="BodyText"/>
      </w:pPr>
    </w:p>
    <w:p w:rsidR="002E0107" w:rsidRDefault="002E0107">
      <w:pPr>
        <w:rPr>
          <w:bCs/>
          <w:i/>
          <w:sz w:val="20"/>
        </w:rPr>
      </w:pPr>
      <w:r>
        <w:br w:type="page"/>
      </w:r>
    </w:p>
    <w:p w:rsidR="002E0107" w:rsidRDefault="002E0107" w:rsidP="002E0107">
      <w:pPr>
        <w:pStyle w:val="Caption"/>
      </w:pPr>
      <w:r>
        <w:lastRenderedPageBreak/>
        <w:t xml:space="preserve">Appendix Table D </w:t>
      </w:r>
      <w:r w:rsidR="00586F30">
        <w:fldChar w:fldCharType="begin"/>
      </w:r>
      <w:r>
        <w:instrText xml:space="preserve"> SEQ Appendix_Table_D \* ARABIC </w:instrText>
      </w:r>
      <w:r w:rsidR="00586F30">
        <w:fldChar w:fldCharType="separate"/>
      </w:r>
      <w:r w:rsidR="001E5D7A">
        <w:rPr>
          <w:noProof/>
        </w:rPr>
        <w:t>3</w:t>
      </w:r>
      <w:r w:rsidR="00586F30">
        <w:fldChar w:fldCharType="end"/>
      </w:r>
      <w:r>
        <w:t>: Costs and benefits, Option 3 ($ million 2014)</w:t>
      </w:r>
    </w:p>
    <w:tbl>
      <w:tblPr>
        <w:tblW w:w="13835" w:type="dxa"/>
        <w:tblInd w:w="108" w:type="dxa"/>
        <w:tblBorders>
          <w:top w:val="single" w:sz="4" w:space="0" w:color="1F497D" w:themeColor="text2"/>
          <w:left w:val="single" w:sz="4" w:space="0" w:color="1F497D" w:themeColor="text2"/>
          <w:bottom w:val="single" w:sz="4" w:space="0" w:color="1F497D" w:themeColor="text2"/>
          <w:right w:val="single" w:sz="4" w:space="0" w:color="1F497D" w:themeColor="text2"/>
        </w:tblBorders>
        <w:tblLayout w:type="fixed"/>
        <w:tblLook w:val="04A0"/>
      </w:tblPr>
      <w:tblGrid>
        <w:gridCol w:w="4111"/>
        <w:gridCol w:w="884"/>
        <w:gridCol w:w="884"/>
        <w:gridCol w:w="884"/>
        <w:gridCol w:w="884"/>
        <w:gridCol w:w="884"/>
        <w:gridCol w:w="884"/>
        <w:gridCol w:w="884"/>
        <w:gridCol w:w="884"/>
        <w:gridCol w:w="884"/>
        <w:gridCol w:w="884"/>
        <w:gridCol w:w="884"/>
      </w:tblGrid>
      <w:tr w:rsidR="002E0107" w:rsidRPr="0016103D" w:rsidTr="0016103D">
        <w:trPr>
          <w:trHeight w:val="300"/>
        </w:trPr>
        <w:tc>
          <w:tcPr>
            <w:tcW w:w="4111" w:type="dxa"/>
            <w:tcBorders>
              <w:top w:val="single" w:sz="4" w:space="0" w:color="1F497D" w:themeColor="text2"/>
              <w:bottom w:val="nil"/>
              <w:right w:val="single" w:sz="4" w:space="0" w:color="1F497D" w:themeColor="text2"/>
            </w:tcBorders>
            <w:shd w:val="clear" w:color="auto" w:fill="1F497D" w:themeFill="text2"/>
            <w:vAlign w:val="center"/>
            <w:hideMark/>
          </w:tcPr>
          <w:p w:rsidR="002E0107" w:rsidRPr="0016103D" w:rsidRDefault="002E0107" w:rsidP="00F75AA6">
            <w:pPr>
              <w:jc w:val="right"/>
              <w:rPr>
                <w:b/>
                <w:color w:val="FFFFFF" w:themeColor="background1"/>
                <w:sz w:val="20"/>
                <w:lang w:eastAsia="en-AU"/>
              </w:rPr>
            </w:pPr>
          </w:p>
        </w:tc>
        <w:tc>
          <w:tcPr>
            <w:tcW w:w="884" w:type="dxa"/>
            <w:tcBorders>
              <w:left w:val="single" w:sz="4" w:space="0" w:color="1F497D" w:themeColor="text2"/>
            </w:tcBorders>
            <w:shd w:val="clear" w:color="auto" w:fill="1F497D" w:themeFill="text2"/>
            <w:vAlign w:val="center"/>
            <w:hideMark/>
          </w:tcPr>
          <w:p w:rsidR="002E0107" w:rsidRPr="0016103D" w:rsidRDefault="002E0107" w:rsidP="00F75AA6">
            <w:pPr>
              <w:jc w:val="right"/>
              <w:rPr>
                <w:b/>
                <w:color w:val="FFFFFF" w:themeColor="background1"/>
                <w:sz w:val="20"/>
                <w:lang w:eastAsia="en-AU"/>
              </w:rPr>
            </w:pPr>
            <w:r w:rsidRPr="0016103D">
              <w:rPr>
                <w:b/>
                <w:color w:val="FFFFFF" w:themeColor="background1"/>
                <w:sz w:val="20"/>
                <w:lang w:eastAsia="en-AU"/>
              </w:rPr>
              <w:t>2014</w:t>
            </w:r>
          </w:p>
        </w:tc>
        <w:tc>
          <w:tcPr>
            <w:tcW w:w="884" w:type="dxa"/>
            <w:shd w:val="clear" w:color="auto" w:fill="1F497D" w:themeFill="text2"/>
            <w:vAlign w:val="center"/>
            <w:hideMark/>
          </w:tcPr>
          <w:p w:rsidR="002E0107" w:rsidRPr="0016103D" w:rsidRDefault="002E0107" w:rsidP="00F75AA6">
            <w:pPr>
              <w:jc w:val="right"/>
              <w:rPr>
                <w:b/>
                <w:color w:val="FFFFFF" w:themeColor="background1"/>
                <w:sz w:val="20"/>
                <w:lang w:eastAsia="en-AU"/>
              </w:rPr>
            </w:pPr>
            <w:r w:rsidRPr="0016103D">
              <w:rPr>
                <w:b/>
                <w:color w:val="FFFFFF" w:themeColor="background1"/>
                <w:sz w:val="20"/>
                <w:lang w:eastAsia="en-AU"/>
              </w:rPr>
              <w:t>2015</w:t>
            </w:r>
          </w:p>
        </w:tc>
        <w:tc>
          <w:tcPr>
            <w:tcW w:w="884" w:type="dxa"/>
            <w:shd w:val="clear" w:color="auto" w:fill="1F497D" w:themeFill="text2"/>
            <w:vAlign w:val="center"/>
            <w:hideMark/>
          </w:tcPr>
          <w:p w:rsidR="002E0107" w:rsidRPr="0016103D" w:rsidRDefault="002E0107" w:rsidP="00F75AA6">
            <w:pPr>
              <w:jc w:val="right"/>
              <w:rPr>
                <w:b/>
                <w:color w:val="FFFFFF" w:themeColor="background1"/>
                <w:sz w:val="20"/>
                <w:lang w:eastAsia="en-AU"/>
              </w:rPr>
            </w:pPr>
            <w:r w:rsidRPr="0016103D">
              <w:rPr>
                <w:b/>
                <w:color w:val="FFFFFF" w:themeColor="background1"/>
                <w:sz w:val="20"/>
                <w:lang w:eastAsia="en-AU"/>
              </w:rPr>
              <w:t>2016</w:t>
            </w:r>
          </w:p>
        </w:tc>
        <w:tc>
          <w:tcPr>
            <w:tcW w:w="884" w:type="dxa"/>
            <w:shd w:val="clear" w:color="auto" w:fill="1F497D" w:themeFill="text2"/>
            <w:vAlign w:val="center"/>
            <w:hideMark/>
          </w:tcPr>
          <w:p w:rsidR="002E0107" w:rsidRPr="0016103D" w:rsidRDefault="002E0107" w:rsidP="00F75AA6">
            <w:pPr>
              <w:jc w:val="right"/>
              <w:rPr>
                <w:b/>
                <w:color w:val="FFFFFF" w:themeColor="background1"/>
                <w:sz w:val="20"/>
                <w:lang w:eastAsia="en-AU"/>
              </w:rPr>
            </w:pPr>
            <w:r w:rsidRPr="0016103D">
              <w:rPr>
                <w:b/>
                <w:color w:val="FFFFFF" w:themeColor="background1"/>
                <w:sz w:val="20"/>
                <w:lang w:eastAsia="en-AU"/>
              </w:rPr>
              <w:t>2017</w:t>
            </w:r>
          </w:p>
        </w:tc>
        <w:tc>
          <w:tcPr>
            <w:tcW w:w="884" w:type="dxa"/>
            <w:shd w:val="clear" w:color="auto" w:fill="1F497D" w:themeFill="text2"/>
            <w:vAlign w:val="center"/>
            <w:hideMark/>
          </w:tcPr>
          <w:p w:rsidR="002E0107" w:rsidRPr="0016103D" w:rsidRDefault="002E0107" w:rsidP="00F75AA6">
            <w:pPr>
              <w:jc w:val="right"/>
              <w:rPr>
                <w:b/>
                <w:color w:val="FFFFFF" w:themeColor="background1"/>
                <w:sz w:val="20"/>
                <w:lang w:eastAsia="en-AU"/>
              </w:rPr>
            </w:pPr>
            <w:r w:rsidRPr="0016103D">
              <w:rPr>
                <w:b/>
                <w:color w:val="FFFFFF" w:themeColor="background1"/>
                <w:sz w:val="20"/>
                <w:lang w:eastAsia="en-AU"/>
              </w:rPr>
              <w:t>2018</w:t>
            </w:r>
          </w:p>
        </w:tc>
        <w:tc>
          <w:tcPr>
            <w:tcW w:w="884" w:type="dxa"/>
            <w:shd w:val="clear" w:color="auto" w:fill="1F497D" w:themeFill="text2"/>
            <w:vAlign w:val="center"/>
            <w:hideMark/>
          </w:tcPr>
          <w:p w:rsidR="002E0107" w:rsidRPr="0016103D" w:rsidRDefault="002E0107" w:rsidP="00F75AA6">
            <w:pPr>
              <w:jc w:val="right"/>
              <w:rPr>
                <w:b/>
                <w:color w:val="FFFFFF" w:themeColor="background1"/>
                <w:sz w:val="20"/>
                <w:lang w:eastAsia="en-AU"/>
              </w:rPr>
            </w:pPr>
            <w:r w:rsidRPr="0016103D">
              <w:rPr>
                <w:b/>
                <w:color w:val="FFFFFF" w:themeColor="background1"/>
                <w:sz w:val="20"/>
                <w:lang w:eastAsia="en-AU"/>
              </w:rPr>
              <w:t>2019</w:t>
            </w:r>
          </w:p>
        </w:tc>
        <w:tc>
          <w:tcPr>
            <w:tcW w:w="884" w:type="dxa"/>
            <w:shd w:val="clear" w:color="auto" w:fill="1F497D" w:themeFill="text2"/>
            <w:vAlign w:val="center"/>
            <w:hideMark/>
          </w:tcPr>
          <w:p w:rsidR="002E0107" w:rsidRPr="0016103D" w:rsidRDefault="002E0107" w:rsidP="00F75AA6">
            <w:pPr>
              <w:jc w:val="right"/>
              <w:rPr>
                <w:b/>
                <w:color w:val="FFFFFF" w:themeColor="background1"/>
                <w:sz w:val="20"/>
                <w:lang w:eastAsia="en-AU"/>
              </w:rPr>
            </w:pPr>
            <w:r w:rsidRPr="0016103D">
              <w:rPr>
                <w:b/>
                <w:color w:val="FFFFFF" w:themeColor="background1"/>
                <w:sz w:val="20"/>
                <w:lang w:eastAsia="en-AU"/>
              </w:rPr>
              <w:t>2020</w:t>
            </w:r>
          </w:p>
        </w:tc>
        <w:tc>
          <w:tcPr>
            <w:tcW w:w="884" w:type="dxa"/>
            <w:shd w:val="clear" w:color="auto" w:fill="1F497D" w:themeFill="text2"/>
            <w:vAlign w:val="center"/>
            <w:hideMark/>
          </w:tcPr>
          <w:p w:rsidR="002E0107" w:rsidRPr="0016103D" w:rsidRDefault="002E0107" w:rsidP="00F75AA6">
            <w:pPr>
              <w:jc w:val="right"/>
              <w:rPr>
                <w:b/>
                <w:color w:val="FFFFFF" w:themeColor="background1"/>
                <w:sz w:val="20"/>
                <w:lang w:eastAsia="en-AU"/>
              </w:rPr>
            </w:pPr>
            <w:r w:rsidRPr="0016103D">
              <w:rPr>
                <w:b/>
                <w:color w:val="FFFFFF" w:themeColor="background1"/>
                <w:sz w:val="20"/>
                <w:lang w:eastAsia="en-AU"/>
              </w:rPr>
              <w:t>2021</w:t>
            </w:r>
          </w:p>
        </w:tc>
        <w:tc>
          <w:tcPr>
            <w:tcW w:w="884" w:type="dxa"/>
            <w:shd w:val="clear" w:color="auto" w:fill="1F497D" w:themeFill="text2"/>
            <w:vAlign w:val="center"/>
            <w:hideMark/>
          </w:tcPr>
          <w:p w:rsidR="002E0107" w:rsidRPr="0016103D" w:rsidRDefault="002E0107" w:rsidP="00F75AA6">
            <w:pPr>
              <w:jc w:val="right"/>
              <w:rPr>
                <w:b/>
                <w:color w:val="FFFFFF" w:themeColor="background1"/>
                <w:sz w:val="20"/>
                <w:lang w:eastAsia="en-AU"/>
              </w:rPr>
            </w:pPr>
            <w:r w:rsidRPr="0016103D">
              <w:rPr>
                <w:b/>
                <w:color w:val="FFFFFF" w:themeColor="background1"/>
                <w:sz w:val="20"/>
                <w:lang w:eastAsia="en-AU"/>
              </w:rPr>
              <w:t>2022</w:t>
            </w:r>
          </w:p>
        </w:tc>
        <w:tc>
          <w:tcPr>
            <w:tcW w:w="884" w:type="dxa"/>
            <w:shd w:val="clear" w:color="auto" w:fill="1F497D" w:themeFill="text2"/>
            <w:vAlign w:val="center"/>
            <w:hideMark/>
          </w:tcPr>
          <w:p w:rsidR="002E0107" w:rsidRPr="0016103D" w:rsidRDefault="002E0107" w:rsidP="00F75AA6">
            <w:pPr>
              <w:jc w:val="right"/>
              <w:rPr>
                <w:b/>
                <w:color w:val="FFFFFF" w:themeColor="background1"/>
                <w:sz w:val="20"/>
                <w:lang w:eastAsia="en-AU"/>
              </w:rPr>
            </w:pPr>
            <w:r w:rsidRPr="0016103D">
              <w:rPr>
                <w:b/>
                <w:color w:val="FFFFFF" w:themeColor="background1"/>
                <w:sz w:val="20"/>
                <w:lang w:eastAsia="en-AU"/>
              </w:rPr>
              <w:t>2023</w:t>
            </w:r>
          </w:p>
        </w:tc>
        <w:tc>
          <w:tcPr>
            <w:tcW w:w="884" w:type="dxa"/>
            <w:shd w:val="clear" w:color="auto" w:fill="1F497D" w:themeFill="text2"/>
            <w:vAlign w:val="center"/>
            <w:hideMark/>
          </w:tcPr>
          <w:p w:rsidR="002E0107" w:rsidRPr="0016103D" w:rsidRDefault="002E0107" w:rsidP="00F75AA6">
            <w:pPr>
              <w:jc w:val="right"/>
              <w:rPr>
                <w:b/>
                <w:color w:val="FFFFFF" w:themeColor="background1"/>
                <w:sz w:val="20"/>
                <w:lang w:eastAsia="en-AU"/>
              </w:rPr>
            </w:pPr>
            <w:r w:rsidRPr="0016103D">
              <w:rPr>
                <w:b/>
                <w:color w:val="FFFFFF" w:themeColor="background1"/>
                <w:sz w:val="20"/>
                <w:lang w:eastAsia="en-AU"/>
              </w:rPr>
              <w:t>2024</w:t>
            </w:r>
          </w:p>
        </w:tc>
      </w:tr>
      <w:tr w:rsidR="002E0107" w:rsidRPr="0016103D" w:rsidTr="0016103D">
        <w:trPr>
          <w:trHeight w:val="300"/>
        </w:trPr>
        <w:tc>
          <w:tcPr>
            <w:tcW w:w="4111" w:type="dxa"/>
            <w:tcBorders>
              <w:top w:val="nil"/>
              <w:bottom w:val="nil"/>
              <w:right w:val="single" w:sz="4" w:space="0" w:color="1F497D" w:themeColor="text2"/>
            </w:tcBorders>
            <w:shd w:val="clear" w:color="auto" w:fill="C6D9F1" w:themeFill="text2" w:themeFillTint="33"/>
            <w:vAlign w:val="center"/>
            <w:hideMark/>
          </w:tcPr>
          <w:p w:rsidR="002E0107" w:rsidRPr="0016103D" w:rsidRDefault="002E0107" w:rsidP="00F75AA6">
            <w:pPr>
              <w:rPr>
                <w:b/>
                <w:bCs/>
                <w:color w:val="000000"/>
                <w:sz w:val="20"/>
                <w:lang w:eastAsia="en-AU"/>
              </w:rPr>
            </w:pPr>
            <w:r w:rsidRPr="0016103D">
              <w:rPr>
                <w:b/>
                <w:bCs/>
                <w:color w:val="000000"/>
                <w:sz w:val="20"/>
                <w:lang w:eastAsia="en-AU"/>
              </w:rPr>
              <w:t>Costs</w:t>
            </w:r>
          </w:p>
        </w:tc>
        <w:tc>
          <w:tcPr>
            <w:tcW w:w="884" w:type="dxa"/>
            <w:tcBorders>
              <w:left w:val="single" w:sz="4" w:space="0" w:color="1F497D" w:themeColor="text2"/>
            </w:tcBorders>
            <w:shd w:val="clear" w:color="auto" w:fill="C6D9F1" w:themeFill="text2" w:themeFillTint="33"/>
            <w:hideMark/>
          </w:tcPr>
          <w:p w:rsidR="002E0107" w:rsidRPr="0016103D" w:rsidRDefault="002E0107" w:rsidP="00F75AA6">
            <w:pPr>
              <w:rPr>
                <w:color w:val="000000"/>
                <w:sz w:val="20"/>
                <w:lang w:eastAsia="en-AU"/>
              </w:rPr>
            </w:pPr>
          </w:p>
        </w:tc>
        <w:tc>
          <w:tcPr>
            <w:tcW w:w="884" w:type="dxa"/>
            <w:shd w:val="clear" w:color="auto" w:fill="C6D9F1" w:themeFill="text2" w:themeFillTint="33"/>
            <w:hideMark/>
          </w:tcPr>
          <w:p w:rsidR="002E0107" w:rsidRPr="0016103D" w:rsidRDefault="002E0107" w:rsidP="00F75AA6">
            <w:pPr>
              <w:rPr>
                <w:color w:val="000000"/>
                <w:sz w:val="20"/>
                <w:lang w:eastAsia="en-AU"/>
              </w:rPr>
            </w:pPr>
          </w:p>
        </w:tc>
        <w:tc>
          <w:tcPr>
            <w:tcW w:w="884" w:type="dxa"/>
            <w:shd w:val="clear" w:color="auto" w:fill="C6D9F1" w:themeFill="text2" w:themeFillTint="33"/>
            <w:hideMark/>
          </w:tcPr>
          <w:p w:rsidR="002E0107" w:rsidRPr="0016103D" w:rsidRDefault="002E0107" w:rsidP="00F75AA6">
            <w:pPr>
              <w:rPr>
                <w:color w:val="000000"/>
                <w:sz w:val="20"/>
                <w:lang w:eastAsia="en-AU"/>
              </w:rPr>
            </w:pPr>
          </w:p>
        </w:tc>
        <w:tc>
          <w:tcPr>
            <w:tcW w:w="884" w:type="dxa"/>
            <w:shd w:val="clear" w:color="auto" w:fill="C6D9F1" w:themeFill="text2" w:themeFillTint="33"/>
            <w:hideMark/>
          </w:tcPr>
          <w:p w:rsidR="002E0107" w:rsidRPr="0016103D" w:rsidRDefault="002E0107" w:rsidP="00F75AA6">
            <w:pPr>
              <w:rPr>
                <w:color w:val="000000"/>
                <w:sz w:val="20"/>
                <w:lang w:eastAsia="en-AU"/>
              </w:rPr>
            </w:pPr>
          </w:p>
        </w:tc>
        <w:tc>
          <w:tcPr>
            <w:tcW w:w="884" w:type="dxa"/>
            <w:shd w:val="clear" w:color="auto" w:fill="C6D9F1" w:themeFill="text2" w:themeFillTint="33"/>
            <w:hideMark/>
          </w:tcPr>
          <w:p w:rsidR="002E0107" w:rsidRPr="0016103D" w:rsidRDefault="002E0107" w:rsidP="00F75AA6">
            <w:pPr>
              <w:rPr>
                <w:color w:val="000000"/>
                <w:sz w:val="20"/>
                <w:lang w:eastAsia="en-AU"/>
              </w:rPr>
            </w:pPr>
          </w:p>
        </w:tc>
        <w:tc>
          <w:tcPr>
            <w:tcW w:w="884" w:type="dxa"/>
            <w:shd w:val="clear" w:color="auto" w:fill="C6D9F1" w:themeFill="text2" w:themeFillTint="33"/>
            <w:hideMark/>
          </w:tcPr>
          <w:p w:rsidR="002E0107" w:rsidRPr="0016103D" w:rsidRDefault="002E0107" w:rsidP="00F75AA6">
            <w:pPr>
              <w:rPr>
                <w:color w:val="000000"/>
                <w:sz w:val="20"/>
                <w:lang w:eastAsia="en-AU"/>
              </w:rPr>
            </w:pPr>
          </w:p>
        </w:tc>
        <w:tc>
          <w:tcPr>
            <w:tcW w:w="884" w:type="dxa"/>
            <w:shd w:val="clear" w:color="auto" w:fill="C6D9F1" w:themeFill="text2" w:themeFillTint="33"/>
            <w:hideMark/>
          </w:tcPr>
          <w:p w:rsidR="002E0107" w:rsidRPr="0016103D" w:rsidRDefault="002E0107" w:rsidP="00F75AA6">
            <w:pPr>
              <w:rPr>
                <w:color w:val="000000"/>
                <w:sz w:val="20"/>
                <w:lang w:eastAsia="en-AU"/>
              </w:rPr>
            </w:pPr>
          </w:p>
        </w:tc>
        <w:tc>
          <w:tcPr>
            <w:tcW w:w="884" w:type="dxa"/>
            <w:shd w:val="clear" w:color="auto" w:fill="C6D9F1" w:themeFill="text2" w:themeFillTint="33"/>
            <w:hideMark/>
          </w:tcPr>
          <w:p w:rsidR="002E0107" w:rsidRPr="0016103D" w:rsidRDefault="002E0107" w:rsidP="00F75AA6">
            <w:pPr>
              <w:rPr>
                <w:color w:val="000000"/>
                <w:sz w:val="20"/>
                <w:lang w:eastAsia="en-AU"/>
              </w:rPr>
            </w:pPr>
          </w:p>
        </w:tc>
        <w:tc>
          <w:tcPr>
            <w:tcW w:w="884" w:type="dxa"/>
            <w:shd w:val="clear" w:color="auto" w:fill="C6D9F1" w:themeFill="text2" w:themeFillTint="33"/>
            <w:hideMark/>
          </w:tcPr>
          <w:p w:rsidR="002E0107" w:rsidRPr="0016103D" w:rsidRDefault="002E0107" w:rsidP="00F75AA6">
            <w:pPr>
              <w:rPr>
                <w:color w:val="000000"/>
                <w:sz w:val="20"/>
                <w:lang w:eastAsia="en-AU"/>
              </w:rPr>
            </w:pPr>
          </w:p>
        </w:tc>
        <w:tc>
          <w:tcPr>
            <w:tcW w:w="884" w:type="dxa"/>
            <w:shd w:val="clear" w:color="auto" w:fill="C6D9F1" w:themeFill="text2" w:themeFillTint="33"/>
            <w:hideMark/>
          </w:tcPr>
          <w:p w:rsidR="002E0107" w:rsidRPr="0016103D" w:rsidRDefault="002E0107" w:rsidP="00F75AA6">
            <w:pPr>
              <w:rPr>
                <w:color w:val="000000"/>
                <w:sz w:val="20"/>
                <w:lang w:eastAsia="en-AU"/>
              </w:rPr>
            </w:pPr>
          </w:p>
        </w:tc>
        <w:tc>
          <w:tcPr>
            <w:tcW w:w="884" w:type="dxa"/>
            <w:shd w:val="clear" w:color="auto" w:fill="C6D9F1" w:themeFill="text2" w:themeFillTint="33"/>
            <w:hideMark/>
          </w:tcPr>
          <w:p w:rsidR="002E0107" w:rsidRPr="0016103D" w:rsidRDefault="002E0107" w:rsidP="00F75AA6">
            <w:pPr>
              <w:rPr>
                <w:color w:val="000000"/>
                <w:sz w:val="20"/>
                <w:lang w:eastAsia="en-AU"/>
              </w:rPr>
            </w:pPr>
          </w:p>
        </w:tc>
      </w:tr>
      <w:tr w:rsidR="00DA6B3F" w:rsidRPr="0016103D" w:rsidTr="0016103D">
        <w:trPr>
          <w:trHeight w:val="300"/>
        </w:trPr>
        <w:tc>
          <w:tcPr>
            <w:tcW w:w="4111" w:type="dxa"/>
            <w:tcBorders>
              <w:top w:val="nil"/>
              <w:bottom w:val="nil"/>
              <w:right w:val="single" w:sz="4" w:space="0" w:color="1F497D" w:themeColor="text2"/>
            </w:tcBorders>
            <w:shd w:val="clear" w:color="auto" w:fill="auto"/>
            <w:vAlign w:val="center"/>
            <w:hideMark/>
          </w:tcPr>
          <w:p w:rsidR="00DA6B3F" w:rsidRPr="0016103D" w:rsidRDefault="00DA6B3F" w:rsidP="0016103D">
            <w:pPr>
              <w:rPr>
                <w:color w:val="000000"/>
                <w:sz w:val="20"/>
              </w:rPr>
            </w:pPr>
            <w:r w:rsidRPr="0016103D">
              <w:rPr>
                <w:color w:val="000000"/>
                <w:sz w:val="20"/>
              </w:rPr>
              <w:t>Cost of regulatory compliance – government</w:t>
            </w:r>
          </w:p>
        </w:tc>
        <w:tc>
          <w:tcPr>
            <w:tcW w:w="884" w:type="dxa"/>
            <w:tcBorders>
              <w:left w:val="single" w:sz="4" w:space="0" w:color="1F497D" w:themeColor="text2"/>
            </w:tcBorders>
            <w:shd w:val="clear" w:color="auto" w:fill="auto"/>
            <w:vAlign w:val="center"/>
            <w:hideMark/>
          </w:tcPr>
          <w:p w:rsidR="00DA6B3F" w:rsidRPr="0016103D" w:rsidRDefault="00DA6B3F" w:rsidP="0016103D">
            <w:pPr>
              <w:jc w:val="right"/>
              <w:rPr>
                <w:color w:val="000000"/>
                <w:sz w:val="20"/>
              </w:rPr>
            </w:pPr>
            <w:r>
              <w:rPr>
                <w:color w:val="000000"/>
                <w:sz w:val="20"/>
              </w:rPr>
              <w:t>3.4</w:t>
            </w:r>
          </w:p>
        </w:tc>
        <w:tc>
          <w:tcPr>
            <w:tcW w:w="884" w:type="dxa"/>
            <w:shd w:val="clear" w:color="auto" w:fill="auto"/>
            <w:vAlign w:val="center"/>
            <w:hideMark/>
          </w:tcPr>
          <w:p w:rsidR="00DA6B3F" w:rsidRPr="0016103D" w:rsidRDefault="00DA6B3F" w:rsidP="0016103D">
            <w:pPr>
              <w:jc w:val="right"/>
              <w:rPr>
                <w:color w:val="000000"/>
                <w:sz w:val="20"/>
              </w:rPr>
            </w:pPr>
            <w:r>
              <w:rPr>
                <w:color w:val="000000"/>
                <w:sz w:val="20"/>
              </w:rPr>
              <w:t>2.5</w:t>
            </w:r>
          </w:p>
        </w:tc>
        <w:tc>
          <w:tcPr>
            <w:tcW w:w="884" w:type="dxa"/>
            <w:shd w:val="clear" w:color="auto" w:fill="auto"/>
            <w:vAlign w:val="center"/>
            <w:hideMark/>
          </w:tcPr>
          <w:p w:rsidR="00DA6B3F" w:rsidRPr="0016103D" w:rsidRDefault="00DA6B3F" w:rsidP="0016103D">
            <w:pPr>
              <w:jc w:val="right"/>
              <w:rPr>
                <w:color w:val="000000"/>
                <w:sz w:val="20"/>
              </w:rPr>
            </w:pPr>
            <w:r>
              <w:rPr>
                <w:color w:val="000000"/>
                <w:sz w:val="20"/>
              </w:rPr>
              <w:t>2.5</w:t>
            </w:r>
          </w:p>
        </w:tc>
        <w:tc>
          <w:tcPr>
            <w:tcW w:w="884" w:type="dxa"/>
            <w:shd w:val="clear" w:color="auto" w:fill="auto"/>
            <w:vAlign w:val="center"/>
            <w:hideMark/>
          </w:tcPr>
          <w:p w:rsidR="00DA6B3F" w:rsidRPr="0016103D" w:rsidRDefault="00DA6B3F" w:rsidP="0016103D">
            <w:pPr>
              <w:jc w:val="right"/>
              <w:rPr>
                <w:color w:val="000000"/>
                <w:sz w:val="20"/>
              </w:rPr>
            </w:pPr>
            <w:r>
              <w:rPr>
                <w:color w:val="000000"/>
                <w:sz w:val="20"/>
              </w:rPr>
              <w:t>1.3</w:t>
            </w:r>
          </w:p>
        </w:tc>
        <w:tc>
          <w:tcPr>
            <w:tcW w:w="884" w:type="dxa"/>
            <w:shd w:val="clear" w:color="auto" w:fill="auto"/>
            <w:vAlign w:val="center"/>
            <w:hideMark/>
          </w:tcPr>
          <w:p w:rsidR="00DA6B3F" w:rsidRPr="0016103D" w:rsidRDefault="00DA6B3F" w:rsidP="0016103D">
            <w:pPr>
              <w:jc w:val="right"/>
              <w:rPr>
                <w:color w:val="000000"/>
                <w:sz w:val="20"/>
              </w:rPr>
            </w:pPr>
            <w:r>
              <w:rPr>
                <w:color w:val="000000"/>
                <w:sz w:val="20"/>
              </w:rPr>
              <w:t>1.3</w:t>
            </w:r>
          </w:p>
        </w:tc>
        <w:tc>
          <w:tcPr>
            <w:tcW w:w="884" w:type="dxa"/>
            <w:shd w:val="clear" w:color="auto" w:fill="auto"/>
            <w:vAlign w:val="center"/>
            <w:hideMark/>
          </w:tcPr>
          <w:p w:rsidR="00DA6B3F" w:rsidRPr="0016103D" w:rsidRDefault="00DA6B3F" w:rsidP="0016103D">
            <w:pPr>
              <w:jc w:val="right"/>
              <w:rPr>
                <w:color w:val="000000"/>
                <w:sz w:val="20"/>
              </w:rPr>
            </w:pPr>
            <w:r>
              <w:rPr>
                <w:color w:val="000000"/>
                <w:sz w:val="20"/>
              </w:rPr>
              <w:t>1.3</w:t>
            </w:r>
          </w:p>
        </w:tc>
        <w:tc>
          <w:tcPr>
            <w:tcW w:w="884" w:type="dxa"/>
            <w:shd w:val="clear" w:color="auto" w:fill="auto"/>
            <w:vAlign w:val="center"/>
            <w:hideMark/>
          </w:tcPr>
          <w:p w:rsidR="00DA6B3F" w:rsidRPr="0016103D" w:rsidRDefault="00DA6B3F" w:rsidP="0016103D">
            <w:pPr>
              <w:jc w:val="right"/>
              <w:rPr>
                <w:color w:val="000000"/>
                <w:sz w:val="20"/>
              </w:rPr>
            </w:pPr>
            <w:r>
              <w:rPr>
                <w:color w:val="000000"/>
                <w:sz w:val="20"/>
              </w:rPr>
              <w:t>1.3</w:t>
            </w:r>
          </w:p>
        </w:tc>
        <w:tc>
          <w:tcPr>
            <w:tcW w:w="884" w:type="dxa"/>
            <w:shd w:val="clear" w:color="auto" w:fill="auto"/>
            <w:vAlign w:val="center"/>
            <w:hideMark/>
          </w:tcPr>
          <w:p w:rsidR="00DA6B3F" w:rsidRPr="0016103D" w:rsidRDefault="00DA6B3F" w:rsidP="0016103D">
            <w:pPr>
              <w:jc w:val="right"/>
              <w:rPr>
                <w:color w:val="000000"/>
                <w:sz w:val="20"/>
              </w:rPr>
            </w:pPr>
            <w:r>
              <w:rPr>
                <w:color w:val="000000"/>
                <w:sz w:val="20"/>
              </w:rPr>
              <w:t>1.3</w:t>
            </w:r>
          </w:p>
        </w:tc>
        <w:tc>
          <w:tcPr>
            <w:tcW w:w="884" w:type="dxa"/>
            <w:shd w:val="clear" w:color="auto" w:fill="auto"/>
            <w:vAlign w:val="center"/>
            <w:hideMark/>
          </w:tcPr>
          <w:p w:rsidR="00DA6B3F" w:rsidRPr="0016103D" w:rsidRDefault="00DA6B3F" w:rsidP="0016103D">
            <w:pPr>
              <w:jc w:val="right"/>
              <w:rPr>
                <w:color w:val="000000"/>
                <w:sz w:val="20"/>
              </w:rPr>
            </w:pPr>
            <w:r>
              <w:rPr>
                <w:color w:val="000000"/>
                <w:sz w:val="20"/>
              </w:rPr>
              <w:t>1.3</w:t>
            </w:r>
          </w:p>
        </w:tc>
        <w:tc>
          <w:tcPr>
            <w:tcW w:w="884" w:type="dxa"/>
            <w:shd w:val="clear" w:color="auto" w:fill="auto"/>
            <w:vAlign w:val="center"/>
            <w:hideMark/>
          </w:tcPr>
          <w:p w:rsidR="00DA6B3F" w:rsidRPr="0016103D" w:rsidRDefault="00DA6B3F" w:rsidP="0016103D">
            <w:pPr>
              <w:jc w:val="right"/>
              <w:rPr>
                <w:color w:val="000000"/>
                <w:sz w:val="20"/>
              </w:rPr>
            </w:pPr>
            <w:r>
              <w:rPr>
                <w:color w:val="000000"/>
                <w:sz w:val="20"/>
              </w:rPr>
              <w:t>1.3</w:t>
            </w:r>
          </w:p>
        </w:tc>
        <w:tc>
          <w:tcPr>
            <w:tcW w:w="884" w:type="dxa"/>
            <w:shd w:val="clear" w:color="auto" w:fill="auto"/>
            <w:vAlign w:val="center"/>
            <w:hideMark/>
          </w:tcPr>
          <w:p w:rsidR="00DA6B3F" w:rsidRPr="0016103D" w:rsidRDefault="00DA6B3F" w:rsidP="0016103D">
            <w:pPr>
              <w:jc w:val="right"/>
              <w:rPr>
                <w:color w:val="000000"/>
                <w:sz w:val="20"/>
              </w:rPr>
            </w:pPr>
            <w:r>
              <w:rPr>
                <w:color w:val="000000"/>
                <w:sz w:val="20"/>
              </w:rPr>
              <w:t>1.3</w:t>
            </w:r>
          </w:p>
        </w:tc>
      </w:tr>
      <w:tr w:rsidR="00DA6B3F" w:rsidRPr="0016103D" w:rsidTr="0016103D">
        <w:trPr>
          <w:trHeight w:val="300"/>
        </w:trPr>
        <w:tc>
          <w:tcPr>
            <w:tcW w:w="4111" w:type="dxa"/>
            <w:tcBorders>
              <w:top w:val="nil"/>
              <w:bottom w:val="nil"/>
              <w:right w:val="single" w:sz="4" w:space="0" w:color="1F497D" w:themeColor="text2"/>
            </w:tcBorders>
            <w:shd w:val="clear" w:color="auto" w:fill="auto"/>
            <w:vAlign w:val="center"/>
            <w:hideMark/>
          </w:tcPr>
          <w:p w:rsidR="00DA6B3F" w:rsidRPr="0016103D" w:rsidRDefault="00DA6B3F" w:rsidP="0016103D">
            <w:pPr>
              <w:rPr>
                <w:color w:val="000000"/>
                <w:sz w:val="20"/>
              </w:rPr>
            </w:pPr>
            <w:r w:rsidRPr="0016103D">
              <w:rPr>
                <w:color w:val="000000"/>
                <w:sz w:val="20"/>
              </w:rPr>
              <w:t>Cost of regulatory compliance – industry</w:t>
            </w:r>
          </w:p>
        </w:tc>
        <w:tc>
          <w:tcPr>
            <w:tcW w:w="884" w:type="dxa"/>
            <w:tcBorders>
              <w:left w:val="single" w:sz="4" w:space="0" w:color="1F497D" w:themeColor="text2"/>
            </w:tcBorders>
            <w:shd w:val="clear" w:color="auto" w:fill="auto"/>
            <w:vAlign w:val="center"/>
            <w:hideMark/>
          </w:tcPr>
          <w:p w:rsidR="00DA6B3F" w:rsidRPr="0016103D" w:rsidRDefault="00DA6B3F" w:rsidP="0016103D">
            <w:pPr>
              <w:jc w:val="right"/>
              <w:rPr>
                <w:color w:val="000000"/>
                <w:sz w:val="20"/>
              </w:rPr>
            </w:pPr>
            <w:r>
              <w:rPr>
                <w:color w:val="000000"/>
                <w:sz w:val="20"/>
              </w:rPr>
              <w:t>1.9</w:t>
            </w:r>
          </w:p>
        </w:tc>
        <w:tc>
          <w:tcPr>
            <w:tcW w:w="884" w:type="dxa"/>
            <w:shd w:val="clear" w:color="auto" w:fill="auto"/>
            <w:vAlign w:val="center"/>
            <w:hideMark/>
          </w:tcPr>
          <w:p w:rsidR="00DA6B3F" w:rsidRPr="0016103D" w:rsidRDefault="00DA6B3F" w:rsidP="0016103D">
            <w:pPr>
              <w:jc w:val="right"/>
              <w:rPr>
                <w:color w:val="000000"/>
                <w:sz w:val="20"/>
              </w:rPr>
            </w:pPr>
            <w:r>
              <w:rPr>
                <w:color w:val="000000"/>
                <w:sz w:val="20"/>
              </w:rPr>
              <w:t>1.8</w:t>
            </w:r>
          </w:p>
        </w:tc>
        <w:tc>
          <w:tcPr>
            <w:tcW w:w="884" w:type="dxa"/>
            <w:shd w:val="clear" w:color="auto" w:fill="auto"/>
            <w:vAlign w:val="center"/>
            <w:hideMark/>
          </w:tcPr>
          <w:p w:rsidR="00DA6B3F" w:rsidRPr="0016103D" w:rsidRDefault="00DA6B3F" w:rsidP="0016103D">
            <w:pPr>
              <w:jc w:val="right"/>
              <w:rPr>
                <w:color w:val="000000"/>
                <w:sz w:val="20"/>
              </w:rPr>
            </w:pPr>
            <w:r>
              <w:rPr>
                <w:color w:val="000000"/>
                <w:sz w:val="20"/>
              </w:rPr>
              <w:t>1.8</w:t>
            </w:r>
          </w:p>
        </w:tc>
        <w:tc>
          <w:tcPr>
            <w:tcW w:w="884" w:type="dxa"/>
            <w:shd w:val="clear" w:color="auto" w:fill="auto"/>
            <w:vAlign w:val="center"/>
            <w:hideMark/>
          </w:tcPr>
          <w:p w:rsidR="00DA6B3F" w:rsidRPr="0016103D" w:rsidRDefault="00DA6B3F" w:rsidP="0016103D">
            <w:pPr>
              <w:jc w:val="right"/>
              <w:rPr>
                <w:color w:val="000000"/>
                <w:sz w:val="20"/>
              </w:rPr>
            </w:pPr>
            <w:r>
              <w:rPr>
                <w:color w:val="000000"/>
                <w:sz w:val="20"/>
              </w:rPr>
              <w:t>1.8</w:t>
            </w:r>
          </w:p>
        </w:tc>
        <w:tc>
          <w:tcPr>
            <w:tcW w:w="884" w:type="dxa"/>
            <w:shd w:val="clear" w:color="auto" w:fill="auto"/>
            <w:vAlign w:val="center"/>
            <w:hideMark/>
          </w:tcPr>
          <w:p w:rsidR="00DA6B3F" w:rsidRPr="0016103D" w:rsidRDefault="00DA6B3F" w:rsidP="0016103D">
            <w:pPr>
              <w:jc w:val="right"/>
              <w:rPr>
                <w:color w:val="000000"/>
                <w:sz w:val="20"/>
              </w:rPr>
            </w:pPr>
            <w:r>
              <w:rPr>
                <w:color w:val="000000"/>
                <w:sz w:val="20"/>
              </w:rPr>
              <w:t>1.8</w:t>
            </w:r>
          </w:p>
        </w:tc>
        <w:tc>
          <w:tcPr>
            <w:tcW w:w="884" w:type="dxa"/>
            <w:shd w:val="clear" w:color="auto" w:fill="auto"/>
            <w:vAlign w:val="center"/>
            <w:hideMark/>
          </w:tcPr>
          <w:p w:rsidR="00DA6B3F" w:rsidRPr="0016103D" w:rsidRDefault="00DA6B3F" w:rsidP="0016103D">
            <w:pPr>
              <w:jc w:val="right"/>
              <w:rPr>
                <w:color w:val="000000"/>
                <w:sz w:val="20"/>
              </w:rPr>
            </w:pPr>
            <w:r>
              <w:rPr>
                <w:color w:val="000000"/>
                <w:sz w:val="20"/>
              </w:rPr>
              <w:t>1.8</w:t>
            </w:r>
          </w:p>
        </w:tc>
        <w:tc>
          <w:tcPr>
            <w:tcW w:w="884" w:type="dxa"/>
            <w:shd w:val="clear" w:color="auto" w:fill="auto"/>
            <w:vAlign w:val="center"/>
            <w:hideMark/>
          </w:tcPr>
          <w:p w:rsidR="00DA6B3F" w:rsidRPr="0016103D" w:rsidRDefault="00DA6B3F" w:rsidP="0016103D">
            <w:pPr>
              <w:jc w:val="right"/>
              <w:rPr>
                <w:color w:val="000000"/>
                <w:sz w:val="20"/>
              </w:rPr>
            </w:pPr>
            <w:r>
              <w:rPr>
                <w:color w:val="000000"/>
                <w:sz w:val="20"/>
              </w:rPr>
              <w:t>1.8</w:t>
            </w:r>
          </w:p>
        </w:tc>
        <w:tc>
          <w:tcPr>
            <w:tcW w:w="884" w:type="dxa"/>
            <w:shd w:val="clear" w:color="auto" w:fill="auto"/>
            <w:vAlign w:val="center"/>
            <w:hideMark/>
          </w:tcPr>
          <w:p w:rsidR="00DA6B3F" w:rsidRPr="0016103D" w:rsidRDefault="00DA6B3F" w:rsidP="0016103D">
            <w:pPr>
              <w:jc w:val="right"/>
              <w:rPr>
                <w:color w:val="000000"/>
                <w:sz w:val="20"/>
              </w:rPr>
            </w:pPr>
            <w:r>
              <w:rPr>
                <w:color w:val="000000"/>
                <w:sz w:val="20"/>
              </w:rPr>
              <w:t>1.8</w:t>
            </w:r>
          </w:p>
        </w:tc>
        <w:tc>
          <w:tcPr>
            <w:tcW w:w="884" w:type="dxa"/>
            <w:shd w:val="clear" w:color="auto" w:fill="auto"/>
            <w:vAlign w:val="center"/>
            <w:hideMark/>
          </w:tcPr>
          <w:p w:rsidR="00DA6B3F" w:rsidRPr="0016103D" w:rsidRDefault="00DA6B3F" w:rsidP="0016103D">
            <w:pPr>
              <w:jc w:val="right"/>
              <w:rPr>
                <w:color w:val="000000"/>
                <w:sz w:val="20"/>
              </w:rPr>
            </w:pPr>
            <w:r>
              <w:rPr>
                <w:color w:val="000000"/>
                <w:sz w:val="20"/>
              </w:rPr>
              <w:t>1.8</w:t>
            </w:r>
          </w:p>
        </w:tc>
        <w:tc>
          <w:tcPr>
            <w:tcW w:w="884" w:type="dxa"/>
            <w:shd w:val="clear" w:color="auto" w:fill="auto"/>
            <w:vAlign w:val="center"/>
            <w:hideMark/>
          </w:tcPr>
          <w:p w:rsidR="00DA6B3F" w:rsidRPr="0016103D" w:rsidRDefault="00DA6B3F" w:rsidP="0016103D">
            <w:pPr>
              <w:jc w:val="right"/>
              <w:rPr>
                <w:color w:val="000000"/>
                <w:sz w:val="20"/>
              </w:rPr>
            </w:pPr>
            <w:r>
              <w:rPr>
                <w:color w:val="000000"/>
                <w:sz w:val="20"/>
              </w:rPr>
              <w:t>1.8</w:t>
            </w:r>
          </w:p>
        </w:tc>
        <w:tc>
          <w:tcPr>
            <w:tcW w:w="884" w:type="dxa"/>
            <w:shd w:val="clear" w:color="auto" w:fill="auto"/>
            <w:vAlign w:val="center"/>
            <w:hideMark/>
          </w:tcPr>
          <w:p w:rsidR="00DA6B3F" w:rsidRPr="0016103D" w:rsidRDefault="00DA6B3F" w:rsidP="0016103D">
            <w:pPr>
              <w:jc w:val="right"/>
              <w:rPr>
                <w:color w:val="000000"/>
                <w:sz w:val="20"/>
              </w:rPr>
            </w:pPr>
            <w:r>
              <w:rPr>
                <w:color w:val="000000"/>
                <w:sz w:val="20"/>
              </w:rPr>
              <w:t>1.8</w:t>
            </w:r>
          </w:p>
        </w:tc>
      </w:tr>
      <w:tr w:rsidR="00DA6B3F" w:rsidRPr="0016103D" w:rsidTr="0016103D">
        <w:trPr>
          <w:trHeight w:val="300"/>
        </w:trPr>
        <w:tc>
          <w:tcPr>
            <w:tcW w:w="4111" w:type="dxa"/>
            <w:tcBorders>
              <w:top w:val="nil"/>
              <w:bottom w:val="nil"/>
              <w:right w:val="single" w:sz="4" w:space="0" w:color="1F497D" w:themeColor="text2"/>
            </w:tcBorders>
            <w:shd w:val="clear" w:color="auto" w:fill="auto"/>
            <w:vAlign w:val="center"/>
            <w:hideMark/>
          </w:tcPr>
          <w:p w:rsidR="00DA6B3F" w:rsidRPr="0016103D" w:rsidRDefault="00DA6B3F" w:rsidP="0016103D">
            <w:pPr>
              <w:rPr>
                <w:color w:val="000000"/>
                <w:sz w:val="20"/>
              </w:rPr>
            </w:pPr>
            <w:r w:rsidRPr="0016103D">
              <w:rPr>
                <w:color w:val="000000"/>
                <w:sz w:val="20"/>
              </w:rPr>
              <w:t>Retailer take back scheme</w:t>
            </w:r>
          </w:p>
        </w:tc>
        <w:tc>
          <w:tcPr>
            <w:tcW w:w="884" w:type="dxa"/>
            <w:tcBorders>
              <w:left w:val="single" w:sz="4" w:space="0" w:color="1F497D" w:themeColor="text2"/>
            </w:tcBorders>
            <w:shd w:val="clear" w:color="auto" w:fill="auto"/>
            <w:vAlign w:val="center"/>
            <w:hideMark/>
          </w:tcPr>
          <w:p w:rsidR="00DA6B3F" w:rsidRPr="0016103D" w:rsidRDefault="00DA6B3F" w:rsidP="0016103D">
            <w:pPr>
              <w:jc w:val="right"/>
              <w:rPr>
                <w:color w:val="000000"/>
                <w:sz w:val="20"/>
              </w:rPr>
            </w:pPr>
            <w:r>
              <w:rPr>
                <w:color w:val="000000"/>
                <w:sz w:val="20"/>
              </w:rPr>
              <w:t>12.4</w:t>
            </w:r>
          </w:p>
        </w:tc>
        <w:tc>
          <w:tcPr>
            <w:tcW w:w="884" w:type="dxa"/>
            <w:shd w:val="clear" w:color="auto" w:fill="auto"/>
            <w:vAlign w:val="center"/>
            <w:hideMark/>
          </w:tcPr>
          <w:p w:rsidR="00DA6B3F" w:rsidRPr="0016103D" w:rsidRDefault="00DA6B3F" w:rsidP="0016103D">
            <w:pPr>
              <w:jc w:val="right"/>
              <w:rPr>
                <w:color w:val="000000"/>
                <w:sz w:val="20"/>
              </w:rPr>
            </w:pPr>
            <w:r>
              <w:rPr>
                <w:color w:val="000000"/>
                <w:sz w:val="20"/>
              </w:rPr>
              <w:t>12.7</w:t>
            </w:r>
          </w:p>
        </w:tc>
        <w:tc>
          <w:tcPr>
            <w:tcW w:w="884" w:type="dxa"/>
            <w:shd w:val="clear" w:color="auto" w:fill="auto"/>
            <w:vAlign w:val="center"/>
            <w:hideMark/>
          </w:tcPr>
          <w:p w:rsidR="00DA6B3F" w:rsidRPr="0016103D" w:rsidRDefault="00DA6B3F" w:rsidP="0016103D">
            <w:pPr>
              <w:jc w:val="right"/>
              <w:rPr>
                <w:color w:val="000000"/>
                <w:sz w:val="20"/>
              </w:rPr>
            </w:pPr>
            <w:r>
              <w:rPr>
                <w:color w:val="000000"/>
                <w:sz w:val="20"/>
              </w:rPr>
              <w:t>13.1</w:t>
            </w:r>
          </w:p>
        </w:tc>
        <w:tc>
          <w:tcPr>
            <w:tcW w:w="884" w:type="dxa"/>
            <w:shd w:val="clear" w:color="auto" w:fill="auto"/>
            <w:vAlign w:val="center"/>
            <w:hideMark/>
          </w:tcPr>
          <w:p w:rsidR="00DA6B3F" w:rsidRPr="0016103D" w:rsidRDefault="00DA6B3F" w:rsidP="0016103D">
            <w:pPr>
              <w:jc w:val="right"/>
              <w:rPr>
                <w:color w:val="000000"/>
                <w:sz w:val="20"/>
              </w:rPr>
            </w:pPr>
            <w:r>
              <w:rPr>
                <w:color w:val="000000"/>
                <w:sz w:val="20"/>
              </w:rPr>
              <w:t>13.6</w:t>
            </w:r>
          </w:p>
        </w:tc>
        <w:tc>
          <w:tcPr>
            <w:tcW w:w="884" w:type="dxa"/>
            <w:shd w:val="clear" w:color="auto" w:fill="auto"/>
            <w:vAlign w:val="center"/>
            <w:hideMark/>
          </w:tcPr>
          <w:p w:rsidR="00DA6B3F" w:rsidRPr="0016103D" w:rsidRDefault="00DA6B3F" w:rsidP="0016103D">
            <w:pPr>
              <w:jc w:val="right"/>
              <w:rPr>
                <w:color w:val="000000"/>
                <w:sz w:val="20"/>
              </w:rPr>
            </w:pPr>
            <w:r>
              <w:rPr>
                <w:color w:val="000000"/>
                <w:sz w:val="20"/>
              </w:rPr>
              <w:t>14.3</w:t>
            </w:r>
          </w:p>
        </w:tc>
        <w:tc>
          <w:tcPr>
            <w:tcW w:w="884" w:type="dxa"/>
            <w:shd w:val="clear" w:color="auto" w:fill="auto"/>
            <w:vAlign w:val="center"/>
            <w:hideMark/>
          </w:tcPr>
          <w:p w:rsidR="00DA6B3F" w:rsidRPr="0016103D" w:rsidRDefault="00DA6B3F" w:rsidP="0016103D">
            <w:pPr>
              <w:jc w:val="right"/>
              <w:rPr>
                <w:color w:val="000000"/>
                <w:sz w:val="20"/>
              </w:rPr>
            </w:pPr>
            <w:r>
              <w:rPr>
                <w:color w:val="000000"/>
                <w:sz w:val="20"/>
              </w:rPr>
              <w:t>15.0</w:t>
            </w:r>
          </w:p>
        </w:tc>
        <w:tc>
          <w:tcPr>
            <w:tcW w:w="884" w:type="dxa"/>
            <w:shd w:val="clear" w:color="auto" w:fill="auto"/>
            <w:vAlign w:val="center"/>
            <w:hideMark/>
          </w:tcPr>
          <w:p w:rsidR="00DA6B3F" w:rsidRPr="0016103D" w:rsidRDefault="00DA6B3F" w:rsidP="0016103D">
            <w:pPr>
              <w:jc w:val="right"/>
              <w:rPr>
                <w:color w:val="000000"/>
                <w:sz w:val="20"/>
              </w:rPr>
            </w:pPr>
            <w:r>
              <w:rPr>
                <w:color w:val="000000"/>
                <w:sz w:val="20"/>
              </w:rPr>
              <w:t>15.8</w:t>
            </w:r>
          </w:p>
        </w:tc>
        <w:tc>
          <w:tcPr>
            <w:tcW w:w="884" w:type="dxa"/>
            <w:shd w:val="clear" w:color="auto" w:fill="auto"/>
            <w:vAlign w:val="center"/>
            <w:hideMark/>
          </w:tcPr>
          <w:p w:rsidR="00DA6B3F" w:rsidRPr="0016103D" w:rsidRDefault="00DA6B3F" w:rsidP="0016103D">
            <w:pPr>
              <w:jc w:val="right"/>
              <w:rPr>
                <w:color w:val="000000"/>
                <w:sz w:val="20"/>
              </w:rPr>
            </w:pPr>
            <w:r>
              <w:rPr>
                <w:color w:val="000000"/>
                <w:sz w:val="20"/>
              </w:rPr>
              <w:t>16.6</w:t>
            </w:r>
          </w:p>
        </w:tc>
        <w:tc>
          <w:tcPr>
            <w:tcW w:w="884" w:type="dxa"/>
            <w:shd w:val="clear" w:color="auto" w:fill="auto"/>
            <w:vAlign w:val="center"/>
            <w:hideMark/>
          </w:tcPr>
          <w:p w:rsidR="00DA6B3F" w:rsidRPr="0016103D" w:rsidRDefault="00DA6B3F" w:rsidP="0016103D">
            <w:pPr>
              <w:jc w:val="right"/>
              <w:rPr>
                <w:color w:val="000000"/>
                <w:sz w:val="20"/>
              </w:rPr>
            </w:pPr>
            <w:r>
              <w:rPr>
                <w:color w:val="000000"/>
                <w:sz w:val="20"/>
              </w:rPr>
              <w:t>17.3</w:t>
            </w:r>
          </w:p>
        </w:tc>
        <w:tc>
          <w:tcPr>
            <w:tcW w:w="884" w:type="dxa"/>
            <w:shd w:val="clear" w:color="auto" w:fill="auto"/>
            <w:vAlign w:val="center"/>
            <w:hideMark/>
          </w:tcPr>
          <w:p w:rsidR="00DA6B3F" w:rsidRPr="0016103D" w:rsidRDefault="00DA6B3F" w:rsidP="0016103D">
            <w:pPr>
              <w:jc w:val="right"/>
              <w:rPr>
                <w:color w:val="000000"/>
                <w:sz w:val="20"/>
              </w:rPr>
            </w:pPr>
            <w:r>
              <w:rPr>
                <w:color w:val="000000"/>
                <w:sz w:val="20"/>
              </w:rPr>
              <w:t>17.9</w:t>
            </w:r>
          </w:p>
        </w:tc>
        <w:tc>
          <w:tcPr>
            <w:tcW w:w="884" w:type="dxa"/>
            <w:shd w:val="clear" w:color="auto" w:fill="auto"/>
            <w:vAlign w:val="center"/>
            <w:hideMark/>
          </w:tcPr>
          <w:p w:rsidR="00DA6B3F" w:rsidRPr="0016103D" w:rsidRDefault="00DA6B3F" w:rsidP="0016103D">
            <w:pPr>
              <w:jc w:val="right"/>
              <w:rPr>
                <w:color w:val="000000"/>
                <w:sz w:val="20"/>
              </w:rPr>
            </w:pPr>
            <w:r>
              <w:rPr>
                <w:color w:val="000000"/>
                <w:sz w:val="20"/>
              </w:rPr>
              <w:t>18.4</w:t>
            </w:r>
          </w:p>
        </w:tc>
      </w:tr>
      <w:tr w:rsidR="00DA6B3F" w:rsidRPr="0016103D" w:rsidTr="0016103D">
        <w:trPr>
          <w:trHeight w:val="300"/>
        </w:trPr>
        <w:tc>
          <w:tcPr>
            <w:tcW w:w="4111" w:type="dxa"/>
            <w:tcBorders>
              <w:top w:val="nil"/>
              <w:bottom w:val="nil"/>
              <w:right w:val="single" w:sz="4" w:space="0" w:color="1F497D" w:themeColor="text2"/>
            </w:tcBorders>
            <w:shd w:val="clear" w:color="auto" w:fill="auto"/>
            <w:vAlign w:val="center"/>
            <w:hideMark/>
          </w:tcPr>
          <w:p w:rsidR="00DA6B3F" w:rsidRPr="0016103D" w:rsidRDefault="00DA6B3F" w:rsidP="0016103D">
            <w:pPr>
              <w:rPr>
                <w:color w:val="000000"/>
                <w:sz w:val="20"/>
              </w:rPr>
            </w:pPr>
            <w:r w:rsidRPr="0016103D">
              <w:rPr>
                <w:color w:val="000000"/>
                <w:sz w:val="20"/>
              </w:rPr>
              <w:t>Cost of disassembly</w:t>
            </w:r>
          </w:p>
        </w:tc>
        <w:tc>
          <w:tcPr>
            <w:tcW w:w="884" w:type="dxa"/>
            <w:tcBorders>
              <w:left w:val="single" w:sz="4" w:space="0" w:color="1F497D" w:themeColor="text2"/>
            </w:tcBorders>
            <w:shd w:val="clear" w:color="auto" w:fill="auto"/>
            <w:vAlign w:val="center"/>
            <w:hideMark/>
          </w:tcPr>
          <w:p w:rsidR="00DA6B3F" w:rsidRPr="0016103D" w:rsidRDefault="00DA6B3F" w:rsidP="0016103D">
            <w:pPr>
              <w:jc w:val="right"/>
              <w:rPr>
                <w:color w:val="000000"/>
                <w:sz w:val="20"/>
              </w:rPr>
            </w:pPr>
            <w:r>
              <w:rPr>
                <w:color w:val="000000"/>
                <w:sz w:val="20"/>
              </w:rPr>
              <w:t>16.3</w:t>
            </w:r>
          </w:p>
        </w:tc>
        <w:tc>
          <w:tcPr>
            <w:tcW w:w="884" w:type="dxa"/>
            <w:shd w:val="clear" w:color="auto" w:fill="auto"/>
            <w:vAlign w:val="center"/>
            <w:hideMark/>
          </w:tcPr>
          <w:p w:rsidR="00DA6B3F" w:rsidRPr="0016103D" w:rsidRDefault="00DA6B3F" w:rsidP="0016103D">
            <w:pPr>
              <w:jc w:val="right"/>
              <w:rPr>
                <w:color w:val="000000"/>
                <w:sz w:val="20"/>
              </w:rPr>
            </w:pPr>
            <w:r>
              <w:rPr>
                <w:color w:val="000000"/>
                <w:sz w:val="20"/>
              </w:rPr>
              <w:t>17.8</w:t>
            </w:r>
          </w:p>
        </w:tc>
        <w:tc>
          <w:tcPr>
            <w:tcW w:w="884" w:type="dxa"/>
            <w:shd w:val="clear" w:color="auto" w:fill="auto"/>
            <w:vAlign w:val="center"/>
            <w:hideMark/>
          </w:tcPr>
          <w:p w:rsidR="00DA6B3F" w:rsidRPr="0016103D" w:rsidRDefault="00DA6B3F" w:rsidP="0016103D">
            <w:pPr>
              <w:jc w:val="right"/>
              <w:rPr>
                <w:color w:val="000000"/>
                <w:sz w:val="20"/>
              </w:rPr>
            </w:pPr>
            <w:r>
              <w:rPr>
                <w:color w:val="000000"/>
                <w:sz w:val="20"/>
              </w:rPr>
              <w:t>19.2</w:t>
            </w:r>
          </w:p>
        </w:tc>
        <w:tc>
          <w:tcPr>
            <w:tcW w:w="884" w:type="dxa"/>
            <w:shd w:val="clear" w:color="auto" w:fill="auto"/>
            <w:vAlign w:val="center"/>
            <w:hideMark/>
          </w:tcPr>
          <w:p w:rsidR="00DA6B3F" w:rsidRPr="0016103D" w:rsidRDefault="00DA6B3F" w:rsidP="0016103D">
            <w:pPr>
              <w:jc w:val="right"/>
              <w:rPr>
                <w:color w:val="000000"/>
                <w:sz w:val="20"/>
              </w:rPr>
            </w:pPr>
            <w:r>
              <w:rPr>
                <w:color w:val="000000"/>
                <w:sz w:val="20"/>
              </w:rPr>
              <w:t>20.4</w:t>
            </w:r>
          </w:p>
        </w:tc>
        <w:tc>
          <w:tcPr>
            <w:tcW w:w="884" w:type="dxa"/>
            <w:shd w:val="clear" w:color="auto" w:fill="auto"/>
            <w:vAlign w:val="center"/>
            <w:hideMark/>
          </w:tcPr>
          <w:p w:rsidR="00DA6B3F" w:rsidRPr="0016103D" w:rsidRDefault="00DA6B3F" w:rsidP="0016103D">
            <w:pPr>
              <w:jc w:val="right"/>
              <w:rPr>
                <w:color w:val="000000"/>
                <w:sz w:val="20"/>
              </w:rPr>
            </w:pPr>
            <w:r>
              <w:rPr>
                <w:color w:val="000000"/>
                <w:sz w:val="20"/>
              </w:rPr>
              <w:t>21.6</w:t>
            </w:r>
          </w:p>
        </w:tc>
        <w:tc>
          <w:tcPr>
            <w:tcW w:w="884" w:type="dxa"/>
            <w:shd w:val="clear" w:color="auto" w:fill="auto"/>
            <w:vAlign w:val="center"/>
            <w:hideMark/>
          </w:tcPr>
          <w:p w:rsidR="00DA6B3F" w:rsidRPr="0016103D" w:rsidRDefault="00DA6B3F" w:rsidP="0016103D">
            <w:pPr>
              <w:jc w:val="right"/>
              <w:rPr>
                <w:color w:val="000000"/>
                <w:sz w:val="20"/>
              </w:rPr>
            </w:pPr>
            <w:r>
              <w:rPr>
                <w:color w:val="000000"/>
                <w:sz w:val="20"/>
              </w:rPr>
              <w:t>22.7</w:t>
            </w:r>
          </w:p>
        </w:tc>
        <w:tc>
          <w:tcPr>
            <w:tcW w:w="884" w:type="dxa"/>
            <w:shd w:val="clear" w:color="auto" w:fill="auto"/>
            <w:vAlign w:val="center"/>
            <w:hideMark/>
          </w:tcPr>
          <w:p w:rsidR="00DA6B3F" w:rsidRPr="0016103D" w:rsidRDefault="00DA6B3F" w:rsidP="0016103D">
            <w:pPr>
              <w:jc w:val="right"/>
              <w:rPr>
                <w:color w:val="000000"/>
                <w:sz w:val="20"/>
              </w:rPr>
            </w:pPr>
            <w:r>
              <w:rPr>
                <w:color w:val="000000"/>
                <w:sz w:val="20"/>
              </w:rPr>
              <w:t>23.6</w:t>
            </w:r>
          </w:p>
        </w:tc>
        <w:tc>
          <w:tcPr>
            <w:tcW w:w="884" w:type="dxa"/>
            <w:shd w:val="clear" w:color="auto" w:fill="auto"/>
            <w:vAlign w:val="center"/>
            <w:hideMark/>
          </w:tcPr>
          <w:p w:rsidR="00DA6B3F" w:rsidRPr="0016103D" w:rsidRDefault="00DA6B3F" w:rsidP="0016103D">
            <w:pPr>
              <w:jc w:val="right"/>
              <w:rPr>
                <w:color w:val="000000"/>
                <w:sz w:val="20"/>
              </w:rPr>
            </w:pPr>
            <w:r>
              <w:rPr>
                <w:color w:val="000000"/>
                <w:sz w:val="20"/>
              </w:rPr>
              <w:t>24.3</w:t>
            </w:r>
          </w:p>
        </w:tc>
        <w:tc>
          <w:tcPr>
            <w:tcW w:w="884" w:type="dxa"/>
            <w:shd w:val="clear" w:color="auto" w:fill="auto"/>
            <w:vAlign w:val="center"/>
            <w:hideMark/>
          </w:tcPr>
          <w:p w:rsidR="00DA6B3F" w:rsidRPr="0016103D" w:rsidRDefault="00DA6B3F" w:rsidP="0016103D">
            <w:pPr>
              <w:jc w:val="right"/>
              <w:rPr>
                <w:color w:val="000000"/>
                <w:sz w:val="20"/>
              </w:rPr>
            </w:pPr>
            <w:r>
              <w:rPr>
                <w:color w:val="000000"/>
                <w:sz w:val="20"/>
              </w:rPr>
              <w:t>24.7</w:t>
            </w:r>
          </w:p>
        </w:tc>
        <w:tc>
          <w:tcPr>
            <w:tcW w:w="884" w:type="dxa"/>
            <w:shd w:val="clear" w:color="auto" w:fill="auto"/>
            <w:vAlign w:val="center"/>
            <w:hideMark/>
          </w:tcPr>
          <w:p w:rsidR="00DA6B3F" w:rsidRPr="0016103D" w:rsidRDefault="00DA6B3F" w:rsidP="0016103D">
            <w:pPr>
              <w:jc w:val="right"/>
              <w:rPr>
                <w:color w:val="000000"/>
                <w:sz w:val="20"/>
              </w:rPr>
            </w:pPr>
            <w:r>
              <w:rPr>
                <w:color w:val="000000"/>
                <w:sz w:val="20"/>
              </w:rPr>
              <w:t>24.9</w:t>
            </w:r>
          </w:p>
        </w:tc>
        <w:tc>
          <w:tcPr>
            <w:tcW w:w="884" w:type="dxa"/>
            <w:shd w:val="clear" w:color="auto" w:fill="auto"/>
            <w:vAlign w:val="center"/>
            <w:hideMark/>
          </w:tcPr>
          <w:p w:rsidR="00DA6B3F" w:rsidRPr="0016103D" w:rsidRDefault="00DA6B3F" w:rsidP="0016103D">
            <w:pPr>
              <w:jc w:val="right"/>
              <w:rPr>
                <w:color w:val="000000"/>
                <w:sz w:val="20"/>
              </w:rPr>
            </w:pPr>
            <w:r>
              <w:rPr>
                <w:color w:val="000000"/>
                <w:sz w:val="20"/>
              </w:rPr>
              <w:t>24.8</w:t>
            </w:r>
          </w:p>
        </w:tc>
      </w:tr>
      <w:tr w:rsidR="00DA6B3F" w:rsidRPr="0016103D" w:rsidTr="00EC1272">
        <w:trPr>
          <w:trHeight w:val="300"/>
        </w:trPr>
        <w:tc>
          <w:tcPr>
            <w:tcW w:w="4111" w:type="dxa"/>
            <w:tcBorders>
              <w:top w:val="nil"/>
              <w:bottom w:val="single" w:sz="4" w:space="0" w:color="1F497D" w:themeColor="text2"/>
              <w:right w:val="single" w:sz="4" w:space="0" w:color="1F497D" w:themeColor="text2"/>
            </w:tcBorders>
            <w:shd w:val="clear" w:color="auto" w:fill="auto"/>
            <w:vAlign w:val="center"/>
            <w:hideMark/>
          </w:tcPr>
          <w:p w:rsidR="00DA6B3F" w:rsidRPr="0016103D" w:rsidRDefault="00DA6B3F" w:rsidP="0016103D">
            <w:pPr>
              <w:rPr>
                <w:b/>
                <w:bCs/>
                <w:color w:val="000000"/>
                <w:sz w:val="20"/>
              </w:rPr>
            </w:pPr>
            <w:r w:rsidRPr="0016103D">
              <w:rPr>
                <w:b/>
                <w:bCs/>
                <w:color w:val="000000"/>
                <w:sz w:val="20"/>
              </w:rPr>
              <w:t>Total Costs</w:t>
            </w:r>
          </w:p>
        </w:tc>
        <w:tc>
          <w:tcPr>
            <w:tcW w:w="884" w:type="dxa"/>
            <w:tcBorders>
              <w:left w:val="single" w:sz="4" w:space="0" w:color="1F497D" w:themeColor="text2"/>
              <w:bottom w:val="single" w:sz="4" w:space="0" w:color="1F497D" w:themeColor="text2"/>
            </w:tcBorders>
            <w:shd w:val="clear" w:color="auto" w:fill="auto"/>
            <w:vAlign w:val="center"/>
            <w:hideMark/>
          </w:tcPr>
          <w:p w:rsidR="00DA6B3F" w:rsidRPr="0016103D" w:rsidRDefault="00DA6B3F" w:rsidP="0016103D">
            <w:pPr>
              <w:jc w:val="right"/>
              <w:rPr>
                <w:b/>
                <w:bCs/>
                <w:color w:val="000000"/>
                <w:sz w:val="20"/>
              </w:rPr>
            </w:pPr>
            <w:r>
              <w:rPr>
                <w:b/>
                <w:bCs/>
                <w:color w:val="000000"/>
                <w:sz w:val="20"/>
              </w:rPr>
              <w:t>34.0</w:t>
            </w:r>
          </w:p>
        </w:tc>
        <w:tc>
          <w:tcPr>
            <w:tcW w:w="884" w:type="dxa"/>
            <w:tcBorders>
              <w:bottom w:val="single" w:sz="4" w:space="0" w:color="1F497D" w:themeColor="text2"/>
            </w:tcBorders>
            <w:shd w:val="clear" w:color="auto" w:fill="auto"/>
            <w:vAlign w:val="center"/>
            <w:hideMark/>
          </w:tcPr>
          <w:p w:rsidR="00DA6B3F" w:rsidRPr="0016103D" w:rsidRDefault="00DA6B3F" w:rsidP="0016103D">
            <w:pPr>
              <w:jc w:val="right"/>
              <w:rPr>
                <w:b/>
                <w:bCs/>
                <w:color w:val="000000"/>
                <w:sz w:val="20"/>
              </w:rPr>
            </w:pPr>
            <w:r>
              <w:rPr>
                <w:b/>
                <w:bCs/>
                <w:color w:val="000000"/>
                <w:sz w:val="20"/>
              </w:rPr>
              <w:t>34.7</w:t>
            </w:r>
          </w:p>
        </w:tc>
        <w:tc>
          <w:tcPr>
            <w:tcW w:w="884" w:type="dxa"/>
            <w:tcBorders>
              <w:bottom w:val="single" w:sz="4" w:space="0" w:color="1F497D" w:themeColor="text2"/>
            </w:tcBorders>
            <w:shd w:val="clear" w:color="auto" w:fill="auto"/>
            <w:vAlign w:val="center"/>
            <w:hideMark/>
          </w:tcPr>
          <w:p w:rsidR="00DA6B3F" w:rsidRPr="0016103D" w:rsidRDefault="00DA6B3F" w:rsidP="0016103D">
            <w:pPr>
              <w:jc w:val="right"/>
              <w:rPr>
                <w:b/>
                <w:bCs/>
                <w:color w:val="000000"/>
                <w:sz w:val="20"/>
              </w:rPr>
            </w:pPr>
            <w:r>
              <w:rPr>
                <w:b/>
                <w:bCs/>
                <w:color w:val="000000"/>
                <w:sz w:val="20"/>
              </w:rPr>
              <w:t>36.5</w:t>
            </w:r>
          </w:p>
        </w:tc>
        <w:tc>
          <w:tcPr>
            <w:tcW w:w="884" w:type="dxa"/>
            <w:tcBorders>
              <w:bottom w:val="single" w:sz="4" w:space="0" w:color="1F497D" w:themeColor="text2"/>
            </w:tcBorders>
            <w:shd w:val="clear" w:color="auto" w:fill="auto"/>
            <w:vAlign w:val="center"/>
            <w:hideMark/>
          </w:tcPr>
          <w:p w:rsidR="00DA6B3F" w:rsidRPr="0016103D" w:rsidRDefault="00DA6B3F" w:rsidP="0016103D">
            <w:pPr>
              <w:jc w:val="right"/>
              <w:rPr>
                <w:b/>
                <w:bCs/>
                <w:color w:val="000000"/>
                <w:sz w:val="20"/>
              </w:rPr>
            </w:pPr>
            <w:r>
              <w:rPr>
                <w:b/>
                <w:bCs/>
                <w:color w:val="000000"/>
                <w:sz w:val="20"/>
              </w:rPr>
              <w:t>37.1</w:t>
            </w:r>
          </w:p>
        </w:tc>
        <w:tc>
          <w:tcPr>
            <w:tcW w:w="884" w:type="dxa"/>
            <w:tcBorders>
              <w:bottom w:val="single" w:sz="4" w:space="0" w:color="1F497D" w:themeColor="text2"/>
            </w:tcBorders>
            <w:shd w:val="clear" w:color="auto" w:fill="auto"/>
            <w:vAlign w:val="center"/>
            <w:hideMark/>
          </w:tcPr>
          <w:p w:rsidR="00DA6B3F" w:rsidRPr="0016103D" w:rsidRDefault="00DA6B3F" w:rsidP="0016103D">
            <w:pPr>
              <w:jc w:val="right"/>
              <w:rPr>
                <w:b/>
                <w:bCs/>
                <w:color w:val="000000"/>
                <w:sz w:val="20"/>
              </w:rPr>
            </w:pPr>
            <w:r>
              <w:rPr>
                <w:b/>
                <w:bCs/>
                <w:color w:val="000000"/>
                <w:sz w:val="20"/>
              </w:rPr>
              <w:t>39.0</w:t>
            </w:r>
          </w:p>
        </w:tc>
        <w:tc>
          <w:tcPr>
            <w:tcW w:w="884" w:type="dxa"/>
            <w:tcBorders>
              <w:bottom w:val="single" w:sz="4" w:space="0" w:color="1F497D" w:themeColor="text2"/>
            </w:tcBorders>
            <w:shd w:val="clear" w:color="auto" w:fill="auto"/>
            <w:vAlign w:val="center"/>
            <w:hideMark/>
          </w:tcPr>
          <w:p w:rsidR="00DA6B3F" w:rsidRPr="0016103D" w:rsidRDefault="00DA6B3F" w:rsidP="0016103D">
            <w:pPr>
              <w:jc w:val="right"/>
              <w:rPr>
                <w:b/>
                <w:bCs/>
                <w:color w:val="000000"/>
                <w:sz w:val="20"/>
              </w:rPr>
            </w:pPr>
            <w:r>
              <w:rPr>
                <w:b/>
                <w:bCs/>
                <w:color w:val="000000"/>
                <w:sz w:val="20"/>
              </w:rPr>
              <w:t>40.8</w:t>
            </w:r>
          </w:p>
        </w:tc>
        <w:tc>
          <w:tcPr>
            <w:tcW w:w="884" w:type="dxa"/>
            <w:tcBorders>
              <w:bottom w:val="single" w:sz="4" w:space="0" w:color="1F497D" w:themeColor="text2"/>
            </w:tcBorders>
            <w:shd w:val="clear" w:color="auto" w:fill="auto"/>
            <w:vAlign w:val="center"/>
            <w:hideMark/>
          </w:tcPr>
          <w:p w:rsidR="00DA6B3F" w:rsidRPr="0016103D" w:rsidRDefault="00DA6B3F" w:rsidP="0016103D">
            <w:pPr>
              <w:jc w:val="right"/>
              <w:rPr>
                <w:b/>
                <w:bCs/>
                <w:color w:val="000000"/>
                <w:sz w:val="20"/>
              </w:rPr>
            </w:pPr>
            <w:r>
              <w:rPr>
                <w:b/>
                <w:bCs/>
                <w:color w:val="000000"/>
                <w:sz w:val="20"/>
              </w:rPr>
              <w:t>42.5</w:t>
            </w:r>
          </w:p>
        </w:tc>
        <w:tc>
          <w:tcPr>
            <w:tcW w:w="884" w:type="dxa"/>
            <w:tcBorders>
              <w:bottom w:val="single" w:sz="4" w:space="0" w:color="1F497D" w:themeColor="text2"/>
            </w:tcBorders>
            <w:shd w:val="clear" w:color="auto" w:fill="auto"/>
            <w:vAlign w:val="center"/>
            <w:hideMark/>
          </w:tcPr>
          <w:p w:rsidR="00DA6B3F" w:rsidRPr="0016103D" w:rsidRDefault="00DA6B3F" w:rsidP="0016103D">
            <w:pPr>
              <w:jc w:val="right"/>
              <w:rPr>
                <w:b/>
                <w:bCs/>
                <w:color w:val="000000"/>
                <w:sz w:val="20"/>
              </w:rPr>
            </w:pPr>
            <w:r>
              <w:rPr>
                <w:b/>
                <w:bCs/>
                <w:color w:val="000000"/>
                <w:sz w:val="20"/>
              </w:rPr>
              <w:t>43.9</w:t>
            </w:r>
          </w:p>
        </w:tc>
        <w:tc>
          <w:tcPr>
            <w:tcW w:w="884" w:type="dxa"/>
            <w:tcBorders>
              <w:bottom w:val="single" w:sz="4" w:space="0" w:color="1F497D" w:themeColor="text2"/>
            </w:tcBorders>
            <w:shd w:val="clear" w:color="auto" w:fill="auto"/>
            <w:vAlign w:val="center"/>
            <w:hideMark/>
          </w:tcPr>
          <w:p w:rsidR="00DA6B3F" w:rsidRPr="0016103D" w:rsidRDefault="00DA6B3F" w:rsidP="0016103D">
            <w:pPr>
              <w:jc w:val="right"/>
              <w:rPr>
                <w:b/>
                <w:bCs/>
                <w:color w:val="000000"/>
                <w:sz w:val="20"/>
              </w:rPr>
            </w:pPr>
            <w:r>
              <w:rPr>
                <w:b/>
                <w:bCs/>
                <w:color w:val="000000"/>
                <w:sz w:val="20"/>
              </w:rPr>
              <w:t>45.1</w:t>
            </w:r>
          </w:p>
        </w:tc>
        <w:tc>
          <w:tcPr>
            <w:tcW w:w="884" w:type="dxa"/>
            <w:tcBorders>
              <w:bottom w:val="single" w:sz="4" w:space="0" w:color="1F497D" w:themeColor="text2"/>
            </w:tcBorders>
            <w:shd w:val="clear" w:color="auto" w:fill="auto"/>
            <w:vAlign w:val="center"/>
            <w:hideMark/>
          </w:tcPr>
          <w:p w:rsidR="00DA6B3F" w:rsidRPr="0016103D" w:rsidRDefault="00DA6B3F" w:rsidP="0016103D">
            <w:pPr>
              <w:jc w:val="right"/>
              <w:rPr>
                <w:b/>
                <w:bCs/>
                <w:color w:val="000000"/>
                <w:sz w:val="20"/>
              </w:rPr>
            </w:pPr>
            <w:r>
              <w:rPr>
                <w:b/>
                <w:bCs/>
                <w:color w:val="000000"/>
                <w:sz w:val="20"/>
              </w:rPr>
              <w:t>45.9</w:t>
            </w:r>
          </w:p>
        </w:tc>
        <w:tc>
          <w:tcPr>
            <w:tcW w:w="884" w:type="dxa"/>
            <w:tcBorders>
              <w:bottom w:val="single" w:sz="4" w:space="0" w:color="1F497D" w:themeColor="text2"/>
            </w:tcBorders>
            <w:shd w:val="clear" w:color="auto" w:fill="auto"/>
            <w:vAlign w:val="center"/>
            <w:hideMark/>
          </w:tcPr>
          <w:p w:rsidR="00DA6B3F" w:rsidRPr="0016103D" w:rsidRDefault="00DA6B3F" w:rsidP="0016103D">
            <w:pPr>
              <w:jc w:val="right"/>
              <w:rPr>
                <w:b/>
                <w:bCs/>
                <w:color w:val="000000"/>
                <w:sz w:val="20"/>
              </w:rPr>
            </w:pPr>
            <w:r>
              <w:rPr>
                <w:b/>
                <w:bCs/>
                <w:color w:val="000000"/>
                <w:sz w:val="20"/>
              </w:rPr>
              <w:t>46.3</w:t>
            </w:r>
          </w:p>
        </w:tc>
      </w:tr>
      <w:tr w:rsidR="002E0107" w:rsidRPr="0016103D" w:rsidTr="00EC1272">
        <w:trPr>
          <w:trHeight w:val="300"/>
        </w:trPr>
        <w:tc>
          <w:tcPr>
            <w:tcW w:w="4111" w:type="dxa"/>
            <w:tcBorders>
              <w:top w:val="single" w:sz="4" w:space="0" w:color="1F497D" w:themeColor="text2"/>
              <w:left w:val="single" w:sz="4" w:space="0" w:color="1F497D" w:themeColor="text2"/>
              <w:bottom w:val="nil"/>
              <w:right w:val="single" w:sz="4" w:space="0" w:color="1F497D" w:themeColor="text2"/>
            </w:tcBorders>
            <w:shd w:val="clear" w:color="auto" w:fill="C6D9F1" w:themeFill="text2" w:themeFillTint="33"/>
            <w:vAlign w:val="center"/>
            <w:hideMark/>
          </w:tcPr>
          <w:p w:rsidR="002E0107" w:rsidRPr="0016103D" w:rsidRDefault="002E0107" w:rsidP="0016103D">
            <w:pPr>
              <w:rPr>
                <w:b/>
                <w:bCs/>
                <w:color w:val="000000"/>
                <w:sz w:val="20"/>
                <w:lang w:eastAsia="en-AU"/>
              </w:rPr>
            </w:pPr>
            <w:r w:rsidRPr="0016103D">
              <w:rPr>
                <w:b/>
                <w:bCs/>
                <w:color w:val="000000"/>
                <w:sz w:val="20"/>
                <w:lang w:eastAsia="en-AU"/>
              </w:rPr>
              <w:t>Benefits</w:t>
            </w:r>
          </w:p>
        </w:tc>
        <w:tc>
          <w:tcPr>
            <w:tcW w:w="884" w:type="dxa"/>
            <w:tcBorders>
              <w:top w:val="single" w:sz="4" w:space="0" w:color="1F497D" w:themeColor="text2"/>
              <w:left w:val="single" w:sz="4" w:space="0" w:color="1F497D" w:themeColor="text2"/>
              <w:bottom w:val="nil"/>
              <w:right w:val="nil"/>
            </w:tcBorders>
            <w:shd w:val="clear" w:color="auto" w:fill="C6D9F1" w:themeFill="text2" w:themeFillTint="33"/>
            <w:noWrap/>
            <w:vAlign w:val="center"/>
            <w:hideMark/>
          </w:tcPr>
          <w:p w:rsidR="002E0107" w:rsidRPr="0016103D" w:rsidRDefault="002E0107" w:rsidP="0016103D">
            <w:pPr>
              <w:jc w:val="right"/>
              <w:rPr>
                <w:color w:val="000000"/>
                <w:sz w:val="20"/>
                <w:lang w:eastAsia="en-AU"/>
              </w:rPr>
            </w:pPr>
          </w:p>
        </w:tc>
        <w:tc>
          <w:tcPr>
            <w:tcW w:w="884" w:type="dxa"/>
            <w:tcBorders>
              <w:top w:val="single" w:sz="4" w:space="0" w:color="1F497D" w:themeColor="text2"/>
              <w:left w:val="nil"/>
              <w:bottom w:val="nil"/>
              <w:right w:val="nil"/>
            </w:tcBorders>
            <w:shd w:val="clear" w:color="auto" w:fill="C6D9F1" w:themeFill="text2" w:themeFillTint="33"/>
            <w:noWrap/>
            <w:vAlign w:val="center"/>
            <w:hideMark/>
          </w:tcPr>
          <w:p w:rsidR="002E0107" w:rsidRPr="0016103D" w:rsidRDefault="002E0107" w:rsidP="0016103D">
            <w:pPr>
              <w:jc w:val="right"/>
              <w:rPr>
                <w:color w:val="000000"/>
                <w:sz w:val="20"/>
                <w:lang w:eastAsia="en-AU"/>
              </w:rPr>
            </w:pPr>
          </w:p>
        </w:tc>
        <w:tc>
          <w:tcPr>
            <w:tcW w:w="884" w:type="dxa"/>
            <w:tcBorders>
              <w:top w:val="single" w:sz="4" w:space="0" w:color="1F497D" w:themeColor="text2"/>
              <w:left w:val="nil"/>
              <w:bottom w:val="nil"/>
              <w:right w:val="nil"/>
            </w:tcBorders>
            <w:shd w:val="clear" w:color="auto" w:fill="C6D9F1" w:themeFill="text2" w:themeFillTint="33"/>
            <w:noWrap/>
            <w:vAlign w:val="center"/>
            <w:hideMark/>
          </w:tcPr>
          <w:p w:rsidR="002E0107" w:rsidRPr="0016103D" w:rsidRDefault="002E0107" w:rsidP="0016103D">
            <w:pPr>
              <w:jc w:val="right"/>
              <w:rPr>
                <w:color w:val="000000"/>
                <w:sz w:val="20"/>
                <w:lang w:eastAsia="en-AU"/>
              </w:rPr>
            </w:pPr>
          </w:p>
        </w:tc>
        <w:tc>
          <w:tcPr>
            <w:tcW w:w="884" w:type="dxa"/>
            <w:tcBorders>
              <w:top w:val="single" w:sz="4" w:space="0" w:color="1F497D" w:themeColor="text2"/>
              <w:left w:val="nil"/>
              <w:bottom w:val="nil"/>
              <w:right w:val="nil"/>
            </w:tcBorders>
            <w:shd w:val="clear" w:color="auto" w:fill="C6D9F1" w:themeFill="text2" w:themeFillTint="33"/>
            <w:noWrap/>
            <w:vAlign w:val="center"/>
            <w:hideMark/>
          </w:tcPr>
          <w:p w:rsidR="002E0107" w:rsidRPr="0016103D" w:rsidRDefault="002E0107" w:rsidP="0016103D">
            <w:pPr>
              <w:jc w:val="right"/>
              <w:rPr>
                <w:color w:val="000000"/>
                <w:sz w:val="20"/>
                <w:lang w:eastAsia="en-AU"/>
              </w:rPr>
            </w:pPr>
          </w:p>
        </w:tc>
        <w:tc>
          <w:tcPr>
            <w:tcW w:w="884" w:type="dxa"/>
            <w:tcBorders>
              <w:top w:val="single" w:sz="4" w:space="0" w:color="1F497D" w:themeColor="text2"/>
              <w:left w:val="nil"/>
              <w:bottom w:val="nil"/>
              <w:right w:val="nil"/>
            </w:tcBorders>
            <w:shd w:val="clear" w:color="auto" w:fill="C6D9F1" w:themeFill="text2" w:themeFillTint="33"/>
            <w:noWrap/>
            <w:vAlign w:val="center"/>
            <w:hideMark/>
          </w:tcPr>
          <w:p w:rsidR="002E0107" w:rsidRPr="0016103D" w:rsidRDefault="002E0107" w:rsidP="0016103D">
            <w:pPr>
              <w:jc w:val="right"/>
              <w:rPr>
                <w:color w:val="000000"/>
                <w:sz w:val="20"/>
                <w:lang w:eastAsia="en-AU"/>
              </w:rPr>
            </w:pPr>
          </w:p>
        </w:tc>
        <w:tc>
          <w:tcPr>
            <w:tcW w:w="884" w:type="dxa"/>
            <w:tcBorders>
              <w:top w:val="single" w:sz="4" w:space="0" w:color="1F497D" w:themeColor="text2"/>
              <w:left w:val="nil"/>
              <w:bottom w:val="nil"/>
              <w:right w:val="nil"/>
            </w:tcBorders>
            <w:shd w:val="clear" w:color="auto" w:fill="C6D9F1" w:themeFill="text2" w:themeFillTint="33"/>
            <w:noWrap/>
            <w:vAlign w:val="center"/>
            <w:hideMark/>
          </w:tcPr>
          <w:p w:rsidR="002E0107" w:rsidRPr="0016103D" w:rsidRDefault="002E0107" w:rsidP="0016103D">
            <w:pPr>
              <w:jc w:val="right"/>
              <w:rPr>
                <w:color w:val="000000"/>
                <w:sz w:val="20"/>
                <w:lang w:eastAsia="en-AU"/>
              </w:rPr>
            </w:pPr>
          </w:p>
        </w:tc>
        <w:tc>
          <w:tcPr>
            <w:tcW w:w="884" w:type="dxa"/>
            <w:tcBorders>
              <w:top w:val="single" w:sz="4" w:space="0" w:color="1F497D" w:themeColor="text2"/>
              <w:left w:val="nil"/>
              <w:bottom w:val="nil"/>
              <w:right w:val="nil"/>
            </w:tcBorders>
            <w:shd w:val="clear" w:color="auto" w:fill="C6D9F1" w:themeFill="text2" w:themeFillTint="33"/>
            <w:noWrap/>
            <w:vAlign w:val="center"/>
            <w:hideMark/>
          </w:tcPr>
          <w:p w:rsidR="002E0107" w:rsidRPr="0016103D" w:rsidRDefault="002E0107" w:rsidP="0016103D">
            <w:pPr>
              <w:jc w:val="right"/>
              <w:rPr>
                <w:color w:val="000000"/>
                <w:sz w:val="20"/>
                <w:lang w:eastAsia="en-AU"/>
              </w:rPr>
            </w:pPr>
          </w:p>
        </w:tc>
        <w:tc>
          <w:tcPr>
            <w:tcW w:w="884" w:type="dxa"/>
            <w:tcBorders>
              <w:top w:val="single" w:sz="4" w:space="0" w:color="1F497D" w:themeColor="text2"/>
              <w:left w:val="nil"/>
              <w:bottom w:val="nil"/>
              <w:right w:val="nil"/>
            </w:tcBorders>
            <w:shd w:val="clear" w:color="auto" w:fill="C6D9F1" w:themeFill="text2" w:themeFillTint="33"/>
            <w:noWrap/>
            <w:vAlign w:val="center"/>
            <w:hideMark/>
          </w:tcPr>
          <w:p w:rsidR="002E0107" w:rsidRPr="0016103D" w:rsidRDefault="002E0107" w:rsidP="0016103D">
            <w:pPr>
              <w:jc w:val="right"/>
              <w:rPr>
                <w:color w:val="000000"/>
                <w:sz w:val="20"/>
                <w:lang w:eastAsia="en-AU"/>
              </w:rPr>
            </w:pPr>
          </w:p>
        </w:tc>
        <w:tc>
          <w:tcPr>
            <w:tcW w:w="884" w:type="dxa"/>
            <w:tcBorders>
              <w:top w:val="single" w:sz="4" w:space="0" w:color="1F497D" w:themeColor="text2"/>
              <w:left w:val="nil"/>
              <w:bottom w:val="nil"/>
              <w:right w:val="nil"/>
            </w:tcBorders>
            <w:shd w:val="clear" w:color="auto" w:fill="C6D9F1" w:themeFill="text2" w:themeFillTint="33"/>
            <w:noWrap/>
            <w:vAlign w:val="center"/>
            <w:hideMark/>
          </w:tcPr>
          <w:p w:rsidR="002E0107" w:rsidRPr="0016103D" w:rsidRDefault="002E0107" w:rsidP="0016103D">
            <w:pPr>
              <w:jc w:val="right"/>
              <w:rPr>
                <w:color w:val="000000"/>
                <w:sz w:val="20"/>
                <w:lang w:eastAsia="en-AU"/>
              </w:rPr>
            </w:pPr>
          </w:p>
        </w:tc>
        <w:tc>
          <w:tcPr>
            <w:tcW w:w="884" w:type="dxa"/>
            <w:tcBorders>
              <w:top w:val="single" w:sz="4" w:space="0" w:color="1F497D" w:themeColor="text2"/>
              <w:left w:val="nil"/>
              <w:bottom w:val="nil"/>
              <w:right w:val="nil"/>
            </w:tcBorders>
            <w:shd w:val="clear" w:color="auto" w:fill="C6D9F1" w:themeFill="text2" w:themeFillTint="33"/>
            <w:noWrap/>
            <w:vAlign w:val="center"/>
            <w:hideMark/>
          </w:tcPr>
          <w:p w:rsidR="002E0107" w:rsidRPr="0016103D" w:rsidRDefault="002E0107" w:rsidP="0016103D">
            <w:pPr>
              <w:jc w:val="right"/>
              <w:rPr>
                <w:color w:val="000000"/>
                <w:sz w:val="20"/>
                <w:lang w:eastAsia="en-AU"/>
              </w:rPr>
            </w:pPr>
          </w:p>
        </w:tc>
        <w:tc>
          <w:tcPr>
            <w:tcW w:w="884" w:type="dxa"/>
            <w:tcBorders>
              <w:top w:val="single" w:sz="4" w:space="0" w:color="1F497D" w:themeColor="text2"/>
              <w:left w:val="nil"/>
              <w:bottom w:val="nil"/>
              <w:right w:val="single" w:sz="4" w:space="0" w:color="1F497D" w:themeColor="text2"/>
            </w:tcBorders>
            <w:shd w:val="clear" w:color="auto" w:fill="C6D9F1" w:themeFill="text2" w:themeFillTint="33"/>
            <w:noWrap/>
            <w:vAlign w:val="center"/>
            <w:hideMark/>
          </w:tcPr>
          <w:p w:rsidR="002E0107" w:rsidRPr="0016103D" w:rsidRDefault="002E0107" w:rsidP="0016103D">
            <w:pPr>
              <w:jc w:val="right"/>
              <w:rPr>
                <w:color w:val="000000"/>
                <w:sz w:val="20"/>
                <w:lang w:eastAsia="en-AU"/>
              </w:rPr>
            </w:pPr>
          </w:p>
        </w:tc>
      </w:tr>
      <w:tr w:rsidR="00DA6B3F" w:rsidRPr="0016103D" w:rsidTr="00EC1272">
        <w:trPr>
          <w:trHeight w:val="300"/>
        </w:trPr>
        <w:tc>
          <w:tcPr>
            <w:tcW w:w="4111" w:type="dxa"/>
            <w:tcBorders>
              <w:top w:val="nil"/>
              <w:left w:val="single" w:sz="4" w:space="0" w:color="1F497D" w:themeColor="text2"/>
              <w:bottom w:val="nil"/>
              <w:right w:val="single" w:sz="4" w:space="0" w:color="1F497D" w:themeColor="text2"/>
            </w:tcBorders>
            <w:shd w:val="clear" w:color="auto" w:fill="auto"/>
            <w:vAlign w:val="center"/>
            <w:hideMark/>
          </w:tcPr>
          <w:p w:rsidR="00DA6B3F" w:rsidRPr="0016103D" w:rsidRDefault="00DA6B3F" w:rsidP="0016103D">
            <w:pPr>
              <w:rPr>
                <w:color w:val="000000"/>
                <w:sz w:val="20"/>
              </w:rPr>
            </w:pPr>
            <w:r>
              <w:rPr>
                <w:color w:val="000000"/>
                <w:sz w:val="20"/>
              </w:rPr>
              <w:t>Avoided landfill costs – waste management</w:t>
            </w:r>
          </w:p>
        </w:tc>
        <w:tc>
          <w:tcPr>
            <w:tcW w:w="884" w:type="dxa"/>
            <w:tcBorders>
              <w:top w:val="nil"/>
              <w:left w:val="single" w:sz="4" w:space="0" w:color="1F497D" w:themeColor="text2"/>
              <w:bottom w:val="nil"/>
              <w:right w:val="nil"/>
            </w:tcBorders>
            <w:shd w:val="clear" w:color="auto" w:fill="auto"/>
            <w:vAlign w:val="center"/>
            <w:hideMark/>
          </w:tcPr>
          <w:p w:rsidR="00DA6B3F" w:rsidRPr="0016103D" w:rsidRDefault="00DA6B3F" w:rsidP="0016103D">
            <w:pPr>
              <w:jc w:val="right"/>
              <w:rPr>
                <w:color w:val="000000"/>
                <w:sz w:val="20"/>
              </w:rPr>
            </w:pPr>
            <w:r>
              <w:rPr>
                <w:color w:val="000000"/>
                <w:sz w:val="20"/>
              </w:rPr>
              <w:t>1.4</w:t>
            </w:r>
          </w:p>
        </w:tc>
        <w:tc>
          <w:tcPr>
            <w:tcW w:w="884" w:type="dxa"/>
            <w:tcBorders>
              <w:top w:val="nil"/>
              <w:left w:val="nil"/>
              <w:bottom w:val="nil"/>
              <w:right w:val="nil"/>
            </w:tcBorders>
            <w:shd w:val="clear" w:color="auto" w:fill="auto"/>
            <w:vAlign w:val="center"/>
            <w:hideMark/>
          </w:tcPr>
          <w:p w:rsidR="00DA6B3F" w:rsidRPr="0016103D" w:rsidRDefault="00DA6B3F" w:rsidP="0016103D">
            <w:pPr>
              <w:jc w:val="right"/>
              <w:rPr>
                <w:color w:val="000000"/>
                <w:sz w:val="20"/>
              </w:rPr>
            </w:pPr>
            <w:r>
              <w:rPr>
                <w:color w:val="000000"/>
                <w:sz w:val="20"/>
              </w:rPr>
              <w:t>1.6</w:t>
            </w:r>
          </w:p>
        </w:tc>
        <w:tc>
          <w:tcPr>
            <w:tcW w:w="884" w:type="dxa"/>
            <w:tcBorders>
              <w:top w:val="nil"/>
              <w:left w:val="nil"/>
              <w:bottom w:val="nil"/>
              <w:right w:val="nil"/>
            </w:tcBorders>
            <w:shd w:val="clear" w:color="auto" w:fill="auto"/>
            <w:vAlign w:val="center"/>
            <w:hideMark/>
          </w:tcPr>
          <w:p w:rsidR="00DA6B3F" w:rsidRPr="0016103D" w:rsidRDefault="00DA6B3F" w:rsidP="0016103D">
            <w:pPr>
              <w:jc w:val="right"/>
              <w:rPr>
                <w:color w:val="000000"/>
                <w:sz w:val="20"/>
              </w:rPr>
            </w:pPr>
            <w:r>
              <w:rPr>
                <w:color w:val="000000"/>
                <w:sz w:val="20"/>
              </w:rPr>
              <w:t>1.7</w:t>
            </w:r>
          </w:p>
        </w:tc>
        <w:tc>
          <w:tcPr>
            <w:tcW w:w="884" w:type="dxa"/>
            <w:tcBorders>
              <w:top w:val="nil"/>
              <w:left w:val="nil"/>
              <w:bottom w:val="nil"/>
              <w:right w:val="nil"/>
            </w:tcBorders>
            <w:shd w:val="clear" w:color="auto" w:fill="auto"/>
            <w:vAlign w:val="center"/>
            <w:hideMark/>
          </w:tcPr>
          <w:p w:rsidR="00DA6B3F" w:rsidRPr="0016103D" w:rsidRDefault="00DA6B3F" w:rsidP="0016103D">
            <w:pPr>
              <w:jc w:val="right"/>
              <w:rPr>
                <w:color w:val="000000"/>
                <w:sz w:val="20"/>
              </w:rPr>
            </w:pPr>
            <w:r>
              <w:rPr>
                <w:color w:val="000000"/>
                <w:sz w:val="20"/>
              </w:rPr>
              <w:t>1.8</w:t>
            </w:r>
          </w:p>
        </w:tc>
        <w:tc>
          <w:tcPr>
            <w:tcW w:w="884" w:type="dxa"/>
            <w:tcBorders>
              <w:top w:val="nil"/>
              <w:left w:val="nil"/>
              <w:bottom w:val="nil"/>
              <w:right w:val="nil"/>
            </w:tcBorders>
            <w:shd w:val="clear" w:color="auto" w:fill="auto"/>
            <w:vAlign w:val="center"/>
            <w:hideMark/>
          </w:tcPr>
          <w:p w:rsidR="00DA6B3F" w:rsidRPr="0016103D" w:rsidRDefault="00DA6B3F" w:rsidP="0016103D">
            <w:pPr>
              <w:jc w:val="right"/>
              <w:rPr>
                <w:color w:val="000000"/>
                <w:sz w:val="20"/>
              </w:rPr>
            </w:pPr>
            <w:r>
              <w:rPr>
                <w:color w:val="000000"/>
                <w:sz w:val="20"/>
              </w:rPr>
              <w:t>1.9</w:t>
            </w:r>
          </w:p>
        </w:tc>
        <w:tc>
          <w:tcPr>
            <w:tcW w:w="884" w:type="dxa"/>
            <w:tcBorders>
              <w:top w:val="nil"/>
              <w:left w:val="nil"/>
              <w:bottom w:val="nil"/>
              <w:right w:val="nil"/>
            </w:tcBorders>
            <w:shd w:val="clear" w:color="auto" w:fill="auto"/>
            <w:vAlign w:val="center"/>
            <w:hideMark/>
          </w:tcPr>
          <w:p w:rsidR="00DA6B3F" w:rsidRPr="0016103D" w:rsidRDefault="00DA6B3F" w:rsidP="0016103D">
            <w:pPr>
              <w:jc w:val="right"/>
              <w:rPr>
                <w:color w:val="000000"/>
                <w:sz w:val="20"/>
              </w:rPr>
            </w:pPr>
            <w:r>
              <w:rPr>
                <w:color w:val="000000"/>
                <w:sz w:val="20"/>
              </w:rPr>
              <w:t>1.9</w:t>
            </w:r>
          </w:p>
        </w:tc>
        <w:tc>
          <w:tcPr>
            <w:tcW w:w="884" w:type="dxa"/>
            <w:tcBorders>
              <w:top w:val="nil"/>
              <w:left w:val="nil"/>
              <w:bottom w:val="nil"/>
              <w:right w:val="nil"/>
            </w:tcBorders>
            <w:shd w:val="clear" w:color="auto" w:fill="auto"/>
            <w:vAlign w:val="center"/>
            <w:hideMark/>
          </w:tcPr>
          <w:p w:rsidR="00DA6B3F" w:rsidRPr="0016103D" w:rsidRDefault="00DA6B3F" w:rsidP="0016103D">
            <w:pPr>
              <w:jc w:val="right"/>
              <w:rPr>
                <w:color w:val="000000"/>
                <w:sz w:val="20"/>
              </w:rPr>
            </w:pPr>
            <w:r>
              <w:rPr>
                <w:color w:val="000000"/>
                <w:sz w:val="20"/>
              </w:rPr>
              <w:t>2.0</w:t>
            </w:r>
          </w:p>
        </w:tc>
        <w:tc>
          <w:tcPr>
            <w:tcW w:w="884" w:type="dxa"/>
            <w:tcBorders>
              <w:top w:val="nil"/>
              <w:left w:val="nil"/>
              <w:bottom w:val="nil"/>
              <w:right w:val="nil"/>
            </w:tcBorders>
            <w:shd w:val="clear" w:color="auto" w:fill="auto"/>
            <w:vAlign w:val="center"/>
            <w:hideMark/>
          </w:tcPr>
          <w:p w:rsidR="00DA6B3F" w:rsidRPr="0016103D" w:rsidRDefault="00DA6B3F" w:rsidP="0016103D">
            <w:pPr>
              <w:jc w:val="right"/>
              <w:rPr>
                <w:color w:val="000000"/>
                <w:sz w:val="20"/>
              </w:rPr>
            </w:pPr>
            <w:r>
              <w:rPr>
                <w:color w:val="000000"/>
                <w:sz w:val="20"/>
              </w:rPr>
              <w:t>2.1</w:t>
            </w:r>
          </w:p>
        </w:tc>
        <w:tc>
          <w:tcPr>
            <w:tcW w:w="884" w:type="dxa"/>
            <w:tcBorders>
              <w:top w:val="nil"/>
              <w:left w:val="nil"/>
              <w:bottom w:val="nil"/>
              <w:right w:val="nil"/>
            </w:tcBorders>
            <w:shd w:val="clear" w:color="auto" w:fill="auto"/>
            <w:vAlign w:val="center"/>
            <w:hideMark/>
          </w:tcPr>
          <w:p w:rsidR="00DA6B3F" w:rsidRPr="0016103D" w:rsidRDefault="00DA6B3F" w:rsidP="0016103D">
            <w:pPr>
              <w:jc w:val="right"/>
              <w:rPr>
                <w:color w:val="000000"/>
                <w:sz w:val="20"/>
              </w:rPr>
            </w:pPr>
            <w:r>
              <w:rPr>
                <w:color w:val="000000"/>
                <w:sz w:val="20"/>
              </w:rPr>
              <w:t>2.1</w:t>
            </w:r>
          </w:p>
        </w:tc>
        <w:tc>
          <w:tcPr>
            <w:tcW w:w="884" w:type="dxa"/>
            <w:tcBorders>
              <w:top w:val="nil"/>
              <w:left w:val="nil"/>
              <w:bottom w:val="nil"/>
              <w:right w:val="nil"/>
            </w:tcBorders>
            <w:shd w:val="clear" w:color="auto" w:fill="auto"/>
            <w:vAlign w:val="center"/>
            <w:hideMark/>
          </w:tcPr>
          <w:p w:rsidR="00DA6B3F" w:rsidRPr="0016103D" w:rsidRDefault="00DA6B3F" w:rsidP="0016103D">
            <w:pPr>
              <w:jc w:val="right"/>
              <w:rPr>
                <w:color w:val="000000"/>
                <w:sz w:val="20"/>
              </w:rPr>
            </w:pPr>
            <w:r>
              <w:rPr>
                <w:color w:val="000000"/>
                <w:sz w:val="20"/>
              </w:rPr>
              <w:t>2.2</w:t>
            </w:r>
          </w:p>
        </w:tc>
        <w:tc>
          <w:tcPr>
            <w:tcW w:w="884" w:type="dxa"/>
            <w:tcBorders>
              <w:top w:val="nil"/>
              <w:left w:val="nil"/>
              <w:bottom w:val="nil"/>
              <w:right w:val="single" w:sz="4" w:space="0" w:color="1F497D" w:themeColor="text2"/>
            </w:tcBorders>
            <w:shd w:val="clear" w:color="auto" w:fill="auto"/>
            <w:vAlign w:val="center"/>
            <w:hideMark/>
          </w:tcPr>
          <w:p w:rsidR="00DA6B3F" w:rsidRPr="0016103D" w:rsidRDefault="00DA6B3F" w:rsidP="0016103D">
            <w:pPr>
              <w:jc w:val="right"/>
              <w:rPr>
                <w:color w:val="000000"/>
                <w:sz w:val="20"/>
              </w:rPr>
            </w:pPr>
            <w:r>
              <w:rPr>
                <w:color w:val="000000"/>
                <w:sz w:val="20"/>
              </w:rPr>
              <w:t>2.2</w:t>
            </w:r>
          </w:p>
        </w:tc>
      </w:tr>
      <w:tr w:rsidR="00DA6B3F" w:rsidRPr="0016103D" w:rsidTr="00EC1272">
        <w:trPr>
          <w:trHeight w:val="300"/>
        </w:trPr>
        <w:tc>
          <w:tcPr>
            <w:tcW w:w="4111" w:type="dxa"/>
            <w:tcBorders>
              <w:top w:val="nil"/>
              <w:left w:val="single" w:sz="4" w:space="0" w:color="1F497D" w:themeColor="text2"/>
              <w:bottom w:val="nil"/>
              <w:right w:val="single" w:sz="4" w:space="0" w:color="1F497D" w:themeColor="text2"/>
            </w:tcBorders>
            <w:shd w:val="clear" w:color="auto" w:fill="auto"/>
            <w:vAlign w:val="center"/>
            <w:hideMark/>
          </w:tcPr>
          <w:p w:rsidR="00DA6B3F" w:rsidRPr="0016103D" w:rsidRDefault="00DA6B3F" w:rsidP="0016103D">
            <w:pPr>
              <w:rPr>
                <w:color w:val="000000"/>
                <w:sz w:val="20"/>
              </w:rPr>
            </w:pPr>
            <w:r>
              <w:rPr>
                <w:color w:val="000000"/>
                <w:sz w:val="20"/>
              </w:rPr>
              <w:t>Avoided landfill costs – environmental</w:t>
            </w:r>
          </w:p>
        </w:tc>
        <w:tc>
          <w:tcPr>
            <w:tcW w:w="884" w:type="dxa"/>
            <w:tcBorders>
              <w:top w:val="nil"/>
              <w:left w:val="single" w:sz="4" w:space="0" w:color="1F497D" w:themeColor="text2"/>
              <w:bottom w:val="nil"/>
              <w:right w:val="nil"/>
            </w:tcBorders>
            <w:shd w:val="clear" w:color="auto" w:fill="auto"/>
            <w:vAlign w:val="center"/>
            <w:hideMark/>
          </w:tcPr>
          <w:p w:rsidR="00DA6B3F" w:rsidRPr="0016103D" w:rsidRDefault="00DA6B3F" w:rsidP="0016103D">
            <w:pPr>
              <w:jc w:val="right"/>
              <w:rPr>
                <w:color w:val="000000"/>
                <w:sz w:val="20"/>
              </w:rPr>
            </w:pPr>
            <w:r>
              <w:rPr>
                <w:color w:val="000000"/>
                <w:sz w:val="20"/>
              </w:rPr>
              <w:t>0.3</w:t>
            </w:r>
          </w:p>
        </w:tc>
        <w:tc>
          <w:tcPr>
            <w:tcW w:w="884" w:type="dxa"/>
            <w:tcBorders>
              <w:top w:val="nil"/>
              <w:left w:val="nil"/>
              <w:bottom w:val="nil"/>
              <w:right w:val="nil"/>
            </w:tcBorders>
            <w:shd w:val="clear" w:color="auto" w:fill="auto"/>
            <w:vAlign w:val="center"/>
            <w:hideMark/>
          </w:tcPr>
          <w:p w:rsidR="00DA6B3F" w:rsidRPr="0016103D" w:rsidRDefault="00DA6B3F" w:rsidP="0016103D">
            <w:pPr>
              <w:jc w:val="right"/>
              <w:rPr>
                <w:color w:val="000000"/>
                <w:sz w:val="20"/>
              </w:rPr>
            </w:pPr>
            <w:r>
              <w:rPr>
                <w:color w:val="000000"/>
                <w:sz w:val="20"/>
              </w:rPr>
              <w:t>0.3</w:t>
            </w:r>
          </w:p>
        </w:tc>
        <w:tc>
          <w:tcPr>
            <w:tcW w:w="884" w:type="dxa"/>
            <w:tcBorders>
              <w:top w:val="nil"/>
              <w:left w:val="nil"/>
              <w:bottom w:val="nil"/>
              <w:right w:val="nil"/>
            </w:tcBorders>
            <w:shd w:val="clear" w:color="auto" w:fill="auto"/>
            <w:vAlign w:val="center"/>
            <w:hideMark/>
          </w:tcPr>
          <w:p w:rsidR="00DA6B3F" w:rsidRPr="0016103D" w:rsidRDefault="00DA6B3F" w:rsidP="0016103D">
            <w:pPr>
              <w:jc w:val="right"/>
              <w:rPr>
                <w:color w:val="000000"/>
                <w:sz w:val="20"/>
              </w:rPr>
            </w:pPr>
            <w:r>
              <w:rPr>
                <w:color w:val="000000"/>
                <w:sz w:val="20"/>
              </w:rPr>
              <w:t>0.3</w:t>
            </w:r>
          </w:p>
        </w:tc>
        <w:tc>
          <w:tcPr>
            <w:tcW w:w="884" w:type="dxa"/>
            <w:tcBorders>
              <w:top w:val="nil"/>
              <w:left w:val="nil"/>
              <w:bottom w:val="nil"/>
              <w:right w:val="nil"/>
            </w:tcBorders>
            <w:shd w:val="clear" w:color="auto" w:fill="auto"/>
            <w:vAlign w:val="center"/>
            <w:hideMark/>
          </w:tcPr>
          <w:p w:rsidR="00DA6B3F" w:rsidRPr="0016103D" w:rsidRDefault="00DA6B3F" w:rsidP="0016103D">
            <w:pPr>
              <w:jc w:val="right"/>
              <w:rPr>
                <w:color w:val="000000"/>
                <w:sz w:val="20"/>
              </w:rPr>
            </w:pPr>
            <w:r>
              <w:rPr>
                <w:color w:val="000000"/>
                <w:sz w:val="20"/>
              </w:rPr>
              <w:t>0.4</w:t>
            </w:r>
          </w:p>
        </w:tc>
        <w:tc>
          <w:tcPr>
            <w:tcW w:w="884" w:type="dxa"/>
            <w:tcBorders>
              <w:top w:val="nil"/>
              <w:left w:val="nil"/>
              <w:bottom w:val="nil"/>
              <w:right w:val="nil"/>
            </w:tcBorders>
            <w:shd w:val="clear" w:color="auto" w:fill="auto"/>
            <w:vAlign w:val="center"/>
            <w:hideMark/>
          </w:tcPr>
          <w:p w:rsidR="00DA6B3F" w:rsidRPr="0016103D" w:rsidRDefault="00DA6B3F" w:rsidP="0016103D">
            <w:pPr>
              <w:jc w:val="right"/>
              <w:rPr>
                <w:color w:val="000000"/>
                <w:sz w:val="20"/>
              </w:rPr>
            </w:pPr>
            <w:r>
              <w:rPr>
                <w:color w:val="000000"/>
                <w:sz w:val="20"/>
              </w:rPr>
              <w:t>0.4</w:t>
            </w:r>
          </w:p>
        </w:tc>
        <w:tc>
          <w:tcPr>
            <w:tcW w:w="884" w:type="dxa"/>
            <w:tcBorders>
              <w:top w:val="nil"/>
              <w:left w:val="nil"/>
              <w:bottom w:val="nil"/>
              <w:right w:val="nil"/>
            </w:tcBorders>
            <w:shd w:val="clear" w:color="auto" w:fill="auto"/>
            <w:vAlign w:val="center"/>
            <w:hideMark/>
          </w:tcPr>
          <w:p w:rsidR="00DA6B3F" w:rsidRPr="0016103D" w:rsidRDefault="00DA6B3F" w:rsidP="0016103D">
            <w:pPr>
              <w:jc w:val="right"/>
              <w:rPr>
                <w:color w:val="000000"/>
                <w:sz w:val="20"/>
              </w:rPr>
            </w:pPr>
            <w:r>
              <w:rPr>
                <w:color w:val="000000"/>
                <w:sz w:val="20"/>
              </w:rPr>
              <w:t>0.4</w:t>
            </w:r>
          </w:p>
        </w:tc>
        <w:tc>
          <w:tcPr>
            <w:tcW w:w="884" w:type="dxa"/>
            <w:tcBorders>
              <w:top w:val="nil"/>
              <w:left w:val="nil"/>
              <w:bottom w:val="nil"/>
              <w:right w:val="nil"/>
            </w:tcBorders>
            <w:shd w:val="clear" w:color="auto" w:fill="auto"/>
            <w:vAlign w:val="center"/>
            <w:hideMark/>
          </w:tcPr>
          <w:p w:rsidR="00DA6B3F" w:rsidRPr="0016103D" w:rsidRDefault="00DA6B3F" w:rsidP="0016103D">
            <w:pPr>
              <w:jc w:val="right"/>
              <w:rPr>
                <w:color w:val="000000"/>
                <w:sz w:val="20"/>
              </w:rPr>
            </w:pPr>
            <w:r>
              <w:rPr>
                <w:color w:val="000000"/>
                <w:sz w:val="20"/>
              </w:rPr>
              <w:t>0.4</w:t>
            </w:r>
          </w:p>
        </w:tc>
        <w:tc>
          <w:tcPr>
            <w:tcW w:w="884" w:type="dxa"/>
            <w:tcBorders>
              <w:top w:val="nil"/>
              <w:left w:val="nil"/>
              <w:bottom w:val="nil"/>
              <w:right w:val="nil"/>
            </w:tcBorders>
            <w:shd w:val="clear" w:color="auto" w:fill="auto"/>
            <w:vAlign w:val="center"/>
            <w:hideMark/>
          </w:tcPr>
          <w:p w:rsidR="00DA6B3F" w:rsidRPr="0016103D" w:rsidRDefault="00DA6B3F" w:rsidP="0016103D">
            <w:pPr>
              <w:jc w:val="right"/>
              <w:rPr>
                <w:color w:val="000000"/>
                <w:sz w:val="20"/>
              </w:rPr>
            </w:pPr>
            <w:r>
              <w:rPr>
                <w:color w:val="000000"/>
                <w:sz w:val="20"/>
              </w:rPr>
              <w:t>0.4</w:t>
            </w:r>
          </w:p>
        </w:tc>
        <w:tc>
          <w:tcPr>
            <w:tcW w:w="884" w:type="dxa"/>
            <w:tcBorders>
              <w:top w:val="nil"/>
              <w:left w:val="nil"/>
              <w:bottom w:val="nil"/>
              <w:right w:val="nil"/>
            </w:tcBorders>
            <w:shd w:val="clear" w:color="auto" w:fill="auto"/>
            <w:vAlign w:val="center"/>
            <w:hideMark/>
          </w:tcPr>
          <w:p w:rsidR="00DA6B3F" w:rsidRPr="0016103D" w:rsidRDefault="00DA6B3F" w:rsidP="0016103D">
            <w:pPr>
              <w:jc w:val="right"/>
              <w:rPr>
                <w:color w:val="000000"/>
                <w:sz w:val="20"/>
              </w:rPr>
            </w:pPr>
            <w:r>
              <w:rPr>
                <w:color w:val="000000"/>
                <w:sz w:val="20"/>
              </w:rPr>
              <w:t>0.4</w:t>
            </w:r>
          </w:p>
        </w:tc>
        <w:tc>
          <w:tcPr>
            <w:tcW w:w="884" w:type="dxa"/>
            <w:tcBorders>
              <w:top w:val="nil"/>
              <w:left w:val="nil"/>
              <w:bottom w:val="nil"/>
              <w:right w:val="nil"/>
            </w:tcBorders>
            <w:shd w:val="clear" w:color="auto" w:fill="auto"/>
            <w:vAlign w:val="center"/>
            <w:hideMark/>
          </w:tcPr>
          <w:p w:rsidR="00DA6B3F" w:rsidRPr="0016103D" w:rsidRDefault="00DA6B3F" w:rsidP="0016103D">
            <w:pPr>
              <w:jc w:val="right"/>
              <w:rPr>
                <w:color w:val="000000"/>
                <w:sz w:val="20"/>
              </w:rPr>
            </w:pPr>
            <w:r>
              <w:rPr>
                <w:color w:val="000000"/>
                <w:sz w:val="20"/>
              </w:rPr>
              <w:t>0.4</w:t>
            </w:r>
          </w:p>
        </w:tc>
        <w:tc>
          <w:tcPr>
            <w:tcW w:w="884" w:type="dxa"/>
            <w:tcBorders>
              <w:top w:val="nil"/>
              <w:left w:val="nil"/>
              <w:bottom w:val="nil"/>
              <w:right w:val="single" w:sz="4" w:space="0" w:color="1F497D" w:themeColor="text2"/>
            </w:tcBorders>
            <w:shd w:val="clear" w:color="auto" w:fill="auto"/>
            <w:vAlign w:val="center"/>
            <w:hideMark/>
          </w:tcPr>
          <w:p w:rsidR="00DA6B3F" w:rsidRPr="0016103D" w:rsidRDefault="00DA6B3F" w:rsidP="0016103D">
            <w:pPr>
              <w:jc w:val="right"/>
              <w:rPr>
                <w:color w:val="000000"/>
                <w:sz w:val="20"/>
              </w:rPr>
            </w:pPr>
            <w:r>
              <w:rPr>
                <w:color w:val="000000"/>
                <w:sz w:val="20"/>
              </w:rPr>
              <w:t>0.4</w:t>
            </w:r>
          </w:p>
        </w:tc>
      </w:tr>
      <w:tr w:rsidR="00DA6B3F" w:rsidRPr="0016103D" w:rsidTr="00EC1272">
        <w:trPr>
          <w:trHeight w:val="300"/>
        </w:trPr>
        <w:tc>
          <w:tcPr>
            <w:tcW w:w="4111" w:type="dxa"/>
            <w:tcBorders>
              <w:top w:val="nil"/>
              <w:left w:val="single" w:sz="4" w:space="0" w:color="1F497D" w:themeColor="text2"/>
              <w:bottom w:val="nil"/>
              <w:right w:val="single" w:sz="4" w:space="0" w:color="1F497D" w:themeColor="text2"/>
            </w:tcBorders>
            <w:shd w:val="clear" w:color="auto" w:fill="auto"/>
            <w:vAlign w:val="center"/>
            <w:hideMark/>
          </w:tcPr>
          <w:p w:rsidR="00DA6B3F" w:rsidRPr="0016103D" w:rsidRDefault="00DA6B3F" w:rsidP="0016103D">
            <w:pPr>
              <w:rPr>
                <w:color w:val="000000"/>
                <w:sz w:val="20"/>
              </w:rPr>
            </w:pPr>
            <w:r>
              <w:rPr>
                <w:color w:val="000000"/>
                <w:sz w:val="20"/>
              </w:rPr>
              <w:t xml:space="preserve">Metal resource recovery </w:t>
            </w:r>
          </w:p>
        </w:tc>
        <w:tc>
          <w:tcPr>
            <w:tcW w:w="884" w:type="dxa"/>
            <w:tcBorders>
              <w:top w:val="nil"/>
              <w:left w:val="single" w:sz="4" w:space="0" w:color="1F497D" w:themeColor="text2"/>
              <w:bottom w:val="nil"/>
              <w:right w:val="nil"/>
            </w:tcBorders>
            <w:shd w:val="clear" w:color="auto" w:fill="auto"/>
            <w:vAlign w:val="center"/>
            <w:hideMark/>
          </w:tcPr>
          <w:p w:rsidR="00DA6B3F" w:rsidRPr="0016103D" w:rsidRDefault="00DA6B3F" w:rsidP="0016103D">
            <w:pPr>
              <w:jc w:val="right"/>
              <w:rPr>
                <w:color w:val="000000"/>
                <w:sz w:val="20"/>
              </w:rPr>
            </w:pPr>
            <w:r>
              <w:rPr>
                <w:color w:val="000000"/>
                <w:sz w:val="20"/>
              </w:rPr>
              <w:t>2.6</w:t>
            </w:r>
          </w:p>
        </w:tc>
        <w:tc>
          <w:tcPr>
            <w:tcW w:w="884" w:type="dxa"/>
            <w:tcBorders>
              <w:top w:val="nil"/>
              <w:left w:val="nil"/>
              <w:bottom w:val="nil"/>
              <w:right w:val="nil"/>
            </w:tcBorders>
            <w:shd w:val="clear" w:color="auto" w:fill="auto"/>
            <w:vAlign w:val="center"/>
            <w:hideMark/>
          </w:tcPr>
          <w:p w:rsidR="00DA6B3F" w:rsidRPr="0016103D" w:rsidRDefault="00DA6B3F" w:rsidP="0016103D">
            <w:pPr>
              <w:jc w:val="right"/>
              <w:rPr>
                <w:color w:val="000000"/>
                <w:sz w:val="20"/>
              </w:rPr>
            </w:pPr>
            <w:r>
              <w:rPr>
                <w:color w:val="000000"/>
                <w:sz w:val="20"/>
              </w:rPr>
              <w:t>3.1</w:t>
            </w:r>
          </w:p>
        </w:tc>
        <w:tc>
          <w:tcPr>
            <w:tcW w:w="884" w:type="dxa"/>
            <w:tcBorders>
              <w:top w:val="nil"/>
              <w:left w:val="nil"/>
              <w:bottom w:val="nil"/>
              <w:right w:val="nil"/>
            </w:tcBorders>
            <w:shd w:val="clear" w:color="auto" w:fill="auto"/>
            <w:vAlign w:val="center"/>
            <w:hideMark/>
          </w:tcPr>
          <w:p w:rsidR="00DA6B3F" w:rsidRPr="0016103D" w:rsidRDefault="00DA6B3F" w:rsidP="0016103D">
            <w:pPr>
              <w:jc w:val="right"/>
              <w:rPr>
                <w:color w:val="000000"/>
                <w:sz w:val="20"/>
              </w:rPr>
            </w:pPr>
            <w:r>
              <w:rPr>
                <w:color w:val="000000"/>
                <w:sz w:val="20"/>
              </w:rPr>
              <w:t>3.5</w:t>
            </w:r>
          </w:p>
        </w:tc>
        <w:tc>
          <w:tcPr>
            <w:tcW w:w="884" w:type="dxa"/>
            <w:tcBorders>
              <w:top w:val="nil"/>
              <w:left w:val="nil"/>
              <w:bottom w:val="nil"/>
              <w:right w:val="nil"/>
            </w:tcBorders>
            <w:shd w:val="clear" w:color="auto" w:fill="auto"/>
            <w:vAlign w:val="center"/>
            <w:hideMark/>
          </w:tcPr>
          <w:p w:rsidR="00DA6B3F" w:rsidRPr="0016103D" w:rsidRDefault="00DA6B3F" w:rsidP="0016103D">
            <w:pPr>
              <w:jc w:val="right"/>
              <w:rPr>
                <w:color w:val="000000"/>
                <w:sz w:val="20"/>
              </w:rPr>
            </w:pPr>
            <w:r>
              <w:rPr>
                <w:color w:val="000000"/>
                <w:sz w:val="20"/>
              </w:rPr>
              <w:t>3.9</w:t>
            </w:r>
          </w:p>
        </w:tc>
        <w:tc>
          <w:tcPr>
            <w:tcW w:w="884" w:type="dxa"/>
            <w:tcBorders>
              <w:top w:val="nil"/>
              <w:left w:val="nil"/>
              <w:bottom w:val="nil"/>
              <w:right w:val="nil"/>
            </w:tcBorders>
            <w:shd w:val="clear" w:color="auto" w:fill="auto"/>
            <w:vAlign w:val="center"/>
            <w:hideMark/>
          </w:tcPr>
          <w:p w:rsidR="00DA6B3F" w:rsidRPr="0016103D" w:rsidRDefault="00DA6B3F" w:rsidP="0016103D">
            <w:pPr>
              <w:jc w:val="right"/>
              <w:rPr>
                <w:color w:val="000000"/>
                <w:sz w:val="20"/>
              </w:rPr>
            </w:pPr>
            <w:r>
              <w:rPr>
                <w:color w:val="000000"/>
                <w:sz w:val="20"/>
              </w:rPr>
              <w:t>4.1</w:t>
            </w:r>
          </w:p>
        </w:tc>
        <w:tc>
          <w:tcPr>
            <w:tcW w:w="884" w:type="dxa"/>
            <w:tcBorders>
              <w:top w:val="nil"/>
              <w:left w:val="nil"/>
              <w:bottom w:val="nil"/>
              <w:right w:val="nil"/>
            </w:tcBorders>
            <w:shd w:val="clear" w:color="auto" w:fill="auto"/>
            <w:vAlign w:val="center"/>
            <w:hideMark/>
          </w:tcPr>
          <w:p w:rsidR="00DA6B3F" w:rsidRPr="0016103D" w:rsidRDefault="00DA6B3F" w:rsidP="0016103D">
            <w:pPr>
              <w:jc w:val="right"/>
              <w:rPr>
                <w:color w:val="000000"/>
                <w:sz w:val="20"/>
              </w:rPr>
            </w:pPr>
            <w:r>
              <w:rPr>
                <w:color w:val="000000"/>
                <w:sz w:val="20"/>
              </w:rPr>
              <w:t>4.3</w:t>
            </w:r>
          </w:p>
        </w:tc>
        <w:tc>
          <w:tcPr>
            <w:tcW w:w="884" w:type="dxa"/>
            <w:tcBorders>
              <w:top w:val="nil"/>
              <w:left w:val="nil"/>
              <w:bottom w:val="nil"/>
              <w:right w:val="nil"/>
            </w:tcBorders>
            <w:shd w:val="clear" w:color="auto" w:fill="auto"/>
            <w:vAlign w:val="center"/>
            <w:hideMark/>
          </w:tcPr>
          <w:p w:rsidR="00DA6B3F" w:rsidRPr="0016103D" w:rsidRDefault="00DA6B3F" w:rsidP="0016103D">
            <w:pPr>
              <w:jc w:val="right"/>
              <w:rPr>
                <w:color w:val="000000"/>
                <w:sz w:val="20"/>
              </w:rPr>
            </w:pPr>
            <w:r>
              <w:rPr>
                <w:color w:val="000000"/>
                <w:sz w:val="20"/>
              </w:rPr>
              <w:t>4.4</w:t>
            </w:r>
          </w:p>
        </w:tc>
        <w:tc>
          <w:tcPr>
            <w:tcW w:w="884" w:type="dxa"/>
            <w:tcBorders>
              <w:top w:val="nil"/>
              <w:left w:val="nil"/>
              <w:bottom w:val="nil"/>
              <w:right w:val="nil"/>
            </w:tcBorders>
            <w:shd w:val="clear" w:color="auto" w:fill="auto"/>
            <w:vAlign w:val="center"/>
            <w:hideMark/>
          </w:tcPr>
          <w:p w:rsidR="00DA6B3F" w:rsidRPr="0016103D" w:rsidRDefault="00DA6B3F" w:rsidP="0016103D">
            <w:pPr>
              <w:jc w:val="right"/>
              <w:rPr>
                <w:color w:val="000000"/>
                <w:sz w:val="20"/>
              </w:rPr>
            </w:pPr>
            <w:r>
              <w:rPr>
                <w:color w:val="000000"/>
                <w:sz w:val="20"/>
              </w:rPr>
              <w:t>4.5</w:t>
            </w:r>
          </w:p>
        </w:tc>
        <w:tc>
          <w:tcPr>
            <w:tcW w:w="884" w:type="dxa"/>
            <w:tcBorders>
              <w:top w:val="nil"/>
              <w:left w:val="nil"/>
              <w:bottom w:val="nil"/>
              <w:right w:val="nil"/>
            </w:tcBorders>
            <w:shd w:val="clear" w:color="auto" w:fill="auto"/>
            <w:vAlign w:val="center"/>
            <w:hideMark/>
          </w:tcPr>
          <w:p w:rsidR="00DA6B3F" w:rsidRPr="0016103D" w:rsidRDefault="00DA6B3F" w:rsidP="0016103D">
            <w:pPr>
              <w:jc w:val="right"/>
              <w:rPr>
                <w:color w:val="000000"/>
                <w:sz w:val="20"/>
              </w:rPr>
            </w:pPr>
            <w:r>
              <w:rPr>
                <w:color w:val="000000"/>
                <w:sz w:val="20"/>
              </w:rPr>
              <w:t>4.4</w:t>
            </w:r>
          </w:p>
        </w:tc>
        <w:tc>
          <w:tcPr>
            <w:tcW w:w="884" w:type="dxa"/>
            <w:tcBorders>
              <w:top w:val="nil"/>
              <w:left w:val="nil"/>
              <w:bottom w:val="nil"/>
              <w:right w:val="nil"/>
            </w:tcBorders>
            <w:shd w:val="clear" w:color="auto" w:fill="auto"/>
            <w:vAlign w:val="center"/>
            <w:hideMark/>
          </w:tcPr>
          <w:p w:rsidR="00DA6B3F" w:rsidRPr="0016103D" w:rsidRDefault="00DA6B3F" w:rsidP="0016103D">
            <w:pPr>
              <w:jc w:val="right"/>
              <w:rPr>
                <w:color w:val="000000"/>
                <w:sz w:val="20"/>
              </w:rPr>
            </w:pPr>
            <w:r>
              <w:rPr>
                <w:color w:val="000000"/>
                <w:sz w:val="20"/>
              </w:rPr>
              <w:t>4.2</w:t>
            </w:r>
          </w:p>
        </w:tc>
        <w:tc>
          <w:tcPr>
            <w:tcW w:w="884" w:type="dxa"/>
            <w:tcBorders>
              <w:top w:val="nil"/>
              <w:left w:val="nil"/>
              <w:bottom w:val="nil"/>
              <w:right w:val="single" w:sz="4" w:space="0" w:color="1F497D" w:themeColor="text2"/>
            </w:tcBorders>
            <w:shd w:val="clear" w:color="auto" w:fill="auto"/>
            <w:vAlign w:val="center"/>
            <w:hideMark/>
          </w:tcPr>
          <w:p w:rsidR="00DA6B3F" w:rsidRPr="0016103D" w:rsidRDefault="00DA6B3F" w:rsidP="0016103D">
            <w:pPr>
              <w:jc w:val="right"/>
              <w:rPr>
                <w:color w:val="000000"/>
                <w:sz w:val="20"/>
              </w:rPr>
            </w:pPr>
            <w:r>
              <w:rPr>
                <w:color w:val="000000"/>
                <w:sz w:val="20"/>
              </w:rPr>
              <w:t>4.0</w:t>
            </w:r>
          </w:p>
        </w:tc>
      </w:tr>
      <w:tr w:rsidR="00DA6B3F" w:rsidRPr="0016103D" w:rsidTr="00EC1272">
        <w:trPr>
          <w:trHeight w:val="300"/>
        </w:trPr>
        <w:tc>
          <w:tcPr>
            <w:tcW w:w="4111" w:type="dxa"/>
            <w:tcBorders>
              <w:top w:val="nil"/>
              <w:left w:val="single" w:sz="4" w:space="0" w:color="1F497D" w:themeColor="text2"/>
              <w:bottom w:val="nil"/>
              <w:right w:val="single" w:sz="4" w:space="0" w:color="1F497D" w:themeColor="text2"/>
            </w:tcBorders>
            <w:shd w:val="clear" w:color="auto" w:fill="auto"/>
            <w:vAlign w:val="center"/>
            <w:hideMark/>
          </w:tcPr>
          <w:p w:rsidR="00DA6B3F" w:rsidRPr="0016103D" w:rsidRDefault="00DA6B3F" w:rsidP="0016103D">
            <w:pPr>
              <w:rPr>
                <w:color w:val="000000"/>
                <w:sz w:val="20"/>
              </w:rPr>
            </w:pPr>
            <w:r>
              <w:rPr>
                <w:color w:val="000000"/>
                <w:sz w:val="20"/>
              </w:rPr>
              <w:t>Refrigerant gas recovery (emissions reduction)</w:t>
            </w:r>
          </w:p>
        </w:tc>
        <w:tc>
          <w:tcPr>
            <w:tcW w:w="884" w:type="dxa"/>
            <w:tcBorders>
              <w:top w:val="nil"/>
              <w:left w:val="single" w:sz="4" w:space="0" w:color="1F497D" w:themeColor="text2"/>
              <w:bottom w:val="nil"/>
              <w:right w:val="nil"/>
            </w:tcBorders>
            <w:shd w:val="clear" w:color="auto" w:fill="auto"/>
            <w:vAlign w:val="center"/>
            <w:hideMark/>
          </w:tcPr>
          <w:p w:rsidR="00DA6B3F" w:rsidRPr="0016103D" w:rsidRDefault="00DA6B3F" w:rsidP="0016103D">
            <w:pPr>
              <w:jc w:val="right"/>
              <w:rPr>
                <w:color w:val="000000"/>
                <w:sz w:val="20"/>
              </w:rPr>
            </w:pPr>
            <w:r>
              <w:rPr>
                <w:color w:val="000000"/>
                <w:sz w:val="20"/>
              </w:rPr>
              <w:t>0.8</w:t>
            </w:r>
          </w:p>
        </w:tc>
        <w:tc>
          <w:tcPr>
            <w:tcW w:w="884" w:type="dxa"/>
            <w:tcBorders>
              <w:top w:val="nil"/>
              <w:left w:val="nil"/>
              <w:bottom w:val="nil"/>
              <w:right w:val="nil"/>
            </w:tcBorders>
            <w:shd w:val="clear" w:color="auto" w:fill="auto"/>
            <w:vAlign w:val="center"/>
            <w:hideMark/>
          </w:tcPr>
          <w:p w:rsidR="00DA6B3F" w:rsidRPr="0016103D" w:rsidRDefault="00DA6B3F" w:rsidP="0016103D">
            <w:pPr>
              <w:jc w:val="right"/>
              <w:rPr>
                <w:color w:val="000000"/>
                <w:sz w:val="20"/>
              </w:rPr>
            </w:pPr>
            <w:r>
              <w:rPr>
                <w:color w:val="000000"/>
                <w:sz w:val="20"/>
              </w:rPr>
              <w:t>0.9</w:t>
            </w:r>
          </w:p>
        </w:tc>
        <w:tc>
          <w:tcPr>
            <w:tcW w:w="884" w:type="dxa"/>
            <w:tcBorders>
              <w:top w:val="nil"/>
              <w:left w:val="nil"/>
              <w:bottom w:val="nil"/>
              <w:right w:val="nil"/>
            </w:tcBorders>
            <w:shd w:val="clear" w:color="auto" w:fill="auto"/>
            <w:vAlign w:val="center"/>
            <w:hideMark/>
          </w:tcPr>
          <w:p w:rsidR="00DA6B3F" w:rsidRPr="0016103D" w:rsidRDefault="00DA6B3F" w:rsidP="0016103D">
            <w:pPr>
              <w:jc w:val="right"/>
              <w:rPr>
                <w:color w:val="000000"/>
                <w:sz w:val="20"/>
              </w:rPr>
            </w:pPr>
            <w:r>
              <w:rPr>
                <w:color w:val="000000"/>
                <w:sz w:val="20"/>
              </w:rPr>
              <w:t>0.9</w:t>
            </w:r>
          </w:p>
        </w:tc>
        <w:tc>
          <w:tcPr>
            <w:tcW w:w="884" w:type="dxa"/>
            <w:tcBorders>
              <w:top w:val="nil"/>
              <w:left w:val="nil"/>
              <w:bottom w:val="nil"/>
              <w:right w:val="nil"/>
            </w:tcBorders>
            <w:shd w:val="clear" w:color="auto" w:fill="auto"/>
            <w:vAlign w:val="center"/>
            <w:hideMark/>
          </w:tcPr>
          <w:p w:rsidR="00DA6B3F" w:rsidRPr="0016103D" w:rsidRDefault="00DA6B3F" w:rsidP="0016103D">
            <w:pPr>
              <w:jc w:val="right"/>
              <w:rPr>
                <w:color w:val="000000"/>
                <w:sz w:val="20"/>
              </w:rPr>
            </w:pPr>
            <w:r>
              <w:rPr>
                <w:color w:val="000000"/>
                <w:sz w:val="20"/>
              </w:rPr>
              <w:t>1.0</w:t>
            </w:r>
          </w:p>
        </w:tc>
        <w:tc>
          <w:tcPr>
            <w:tcW w:w="884" w:type="dxa"/>
            <w:tcBorders>
              <w:top w:val="nil"/>
              <w:left w:val="nil"/>
              <w:bottom w:val="nil"/>
              <w:right w:val="nil"/>
            </w:tcBorders>
            <w:shd w:val="clear" w:color="auto" w:fill="auto"/>
            <w:vAlign w:val="center"/>
            <w:hideMark/>
          </w:tcPr>
          <w:p w:rsidR="00DA6B3F" w:rsidRPr="0016103D" w:rsidRDefault="00DA6B3F" w:rsidP="0016103D">
            <w:pPr>
              <w:jc w:val="right"/>
              <w:rPr>
                <w:color w:val="000000"/>
                <w:sz w:val="20"/>
              </w:rPr>
            </w:pPr>
            <w:r>
              <w:rPr>
                <w:color w:val="000000"/>
                <w:sz w:val="20"/>
              </w:rPr>
              <w:t>1.1</w:t>
            </w:r>
          </w:p>
        </w:tc>
        <w:tc>
          <w:tcPr>
            <w:tcW w:w="884" w:type="dxa"/>
            <w:tcBorders>
              <w:top w:val="nil"/>
              <w:left w:val="nil"/>
              <w:bottom w:val="nil"/>
              <w:right w:val="nil"/>
            </w:tcBorders>
            <w:shd w:val="clear" w:color="auto" w:fill="auto"/>
            <w:vAlign w:val="center"/>
            <w:hideMark/>
          </w:tcPr>
          <w:p w:rsidR="00DA6B3F" w:rsidRPr="0016103D" w:rsidRDefault="00DA6B3F" w:rsidP="0016103D">
            <w:pPr>
              <w:jc w:val="right"/>
              <w:rPr>
                <w:color w:val="000000"/>
                <w:sz w:val="20"/>
              </w:rPr>
            </w:pPr>
            <w:r>
              <w:rPr>
                <w:color w:val="000000"/>
                <w:sz w:val="20"/>
              </w:rPr>
              <w:t>1.2</w:t>
            </w:r>
          </w:p>
        </w:tc>
        <w:tc>
          <w:tcPr>
            <w:tcW w:w="884" w:type="dxa"/>
            <w:tcBorders>
              <w:top w:val="nil"/>
              <w:left w:val="nil"/>
              <w:bottom w:val="nil"/>
              <w:right w:val="nil"/>
            </w:tcBorders>
            <w:shd w:val="clear" w:color="auto" w:fill="auto"/>
            <w:vAlign w:val="center"/>
            <w:hideMark/>
          </w:tcPr>
          <w:p w:rsidR="00DA6B3F" w:rsidRPr="0016103D" w:rsidRDefault="00DA6B3F" w:rsidP="0016103D">
            <w:pPr>
              <w:jc w:val="right"/>
              <w:rPr>
                <w:color w:val="000000"/>
                <w:sz w:val="20"/>
              </w:rPr>
            </w:pPr>
            <w:r>
              <w:rPr>
                <w:color w:val="000000"/>
                <w:sz w:val="20"/>
              </w:rPr>
              <w:t>1.3</w:t>
            </w:r>
          </w:p>
        </w:tc>
        <w:tc>
          <w:tcPr>
            <w:tcW w:w="884" w:type="dxa"/>
            <w:tcBorders>
              <w:top w:val="nil"/>
              <w:left w:val="nil"/>
              <w:bottom w:val="nil"/>
              <w:right w:val="nil"/>
            </w:tcBorders>
            <w:shd w:val="clear" w:color="auto" w:fill="auto"/>
            <w:vAlign w:val="center"/>
            <w:hideMark/>
          </w:tcPr>
          <w:p w:rsidR="00DA6B3F" w:rsidRPr="0016103D" w:rsidRDefault="00DA6B3F" w:rsidP="0016103D">
            <w:pPr>
              <w:jc w:val="right"/>
              <w:rPr>
                <w:color w:val="000000"/>
                <w:sz w:val="20"/>
              </w:rPr>
            </w:pPr>
            <w:r>
              <w:rPr>
                <w:color w:val="000000"/>
                <w:sz w:val="20"/>
              </w:rPr>
              <w:t>1.4</w:t>
            </w:r>
          </w:p>
        </w:tc>
        <w:tc>
          <w:tcPr>
            <w:tcW w:w="884" w:type="dxa"/>
            <w:tcBorders>
              <w:top w:val="nil"/>
              <w:left w:val="nil"/>
              <w:bottom w:val="nil"/>
              <w:right w:val="nil"/>
            </w:tcBorders>
            <w:shd w:val="clear" w:color="auto" w:fill="auto"/>
            <w:vAlign w:val="center"/>
            <w:hideMark/>
          </w:tcPr>
          <w:p w:rsidR="00DA6B3F" w:rsidRPr="0016103D" w:rsidRDefault="00DA6B3F" w:rsidP="0016103D">
            <w:pPr>
              <w:jc w:val="right"/>
              <w:rPr>
                <w:color w:val="000000"/>
                <w:sz w:val="20"/>
              </w:rPr>
            </w:pPr>
            <w:r>
              <w:rPr>
                <w:color w:val="000000"/>
                <w:sz w:val="20"/>
              </w:rPr>
              <w:t>1.5</w:t>
            </w:r>
          </w:p>
        </w:tc>
        <w:tc>
          <w:tcPr>
            <w:tcW w:w="884" w:type="dxa"/>
            <w:tcBorders>
              <w:top w:val="nil"/>
              <w:left w:val="nil"/>
              <w:bottom w:val="nil"/>
              <w:right w:val="nil"/>
            </w:tcBorders>
            <w:shd w:val="clear" w:color="auto" w:fill="auto"/>
            <w:vAlign w:val="center"/>
            <w:hideMark/>
          </w:tcPr>
          <w:p w:rsidR="00DA6B3F" w:rsidRPr="0016103D" w:rsidRDefault="00DA6B3F" w:rsidP="0016103D">
            <w:pPr>
              <w:jc w:val="right"/>
              <w:rPr>
                <w:color w:val="000000"/>
                <w:sz w:val="20"/>
              </w:rPr>
            </w:pPr>
            <w:r>
              <w:rPr>
                <w:color w:val="000000"/>
                <w:sz w:val="20"/>
              </w:rPr>
              <w:t>1.5</w:t>
            </w:r>
          </w:p>
        </w:tc>
        <w:tc>
          <w:tcPr>
            <w:tcW w:w="884" w:type="dxa"/>
            <w:tcBorders>
              <w:top w:val="nil"/>
              <w:left w:val="nil"/>
              <w:bottom w:val="nil"/>
              <w:right w:val="single" w:sz="4" w:space="0" w:color="1F497D" w:themeColor="text2"/>
            </w:tcBorders>
            <w:shd w:val="clear" w:color="auto" w:fill="auto"/>
            <w:vAlign w:val="center"/>
            <w:hideMark/>
          </w:tcPr>
          <w:p w:rsidR="00DA6B3F" w:rsidRPr="0016103D" w:rsidRDefault="00DA6B3F" w:rsidP="0016103D">
            <w:pPr>
              <w:jc w:val="right"/>
              <w:rPr>
                <w:color w:val="000000"/>
                <w:sz w:val="20"/>
              </w:rPr>
            </w:pPr>
            <w:r>
              <w:rPr>
                <w:color w:val="000000"/>
                <w:sz w:val="20"/>
              </w:rPr>
              <w:t>1.6</w:t>
            </w:r>
          </w:p>
        </w:tc>
      </w:tr>
      <w:tr w:rsidR="00DA6B3F" w:rsidRPr="0016103D" w:rsidTr="00EC1272">
        <w:trPr>
          <w:trHeight w:val="300"/>
        </w:trPr>
        <w:tc>
          <w:tcPr>
            <w:tcW w:w="4111" w:type="dxa"/>
            <w:tcBorders>
              <w:top w:val="nil"/>
              <w:left w:val="single" w:sz="4" w:space="0" w:color="1F497D" w:themeColor="text2"/>
              <w:bottom w:val="nil"/>
              <w:right w:val="single" w:sz="4" w:space="0" w:color="1F497D" w:themeColor="text2"/>
            </w:tcBorders>
            <w:shd w:val="clear" w:color="auto" w:fill="auto"/>
            <w:vAlign w:val="center"/>
            <w:hideMark/>
          </w:tcPr>
          <w:p w:rsidR="00DA6B3F" w:rsidRPr="0016103D" w:rsidRDefault="00DA6B3F" w:rsidP="0016103D">
            <w:pPr>
              <w:rPr>
                <w:color w:val="000000"/>
                <w:sz w:val="20"/>
              </w:rPr>
            </w:pPr>
            <w:r>
              <w:rPr>
                <w:color w:val="000000"/>
                <w:sz w:val="20"/>
              </w:rPr>
              <w:t>Plastic resource recovery</w:t>
            </w:r>
          </w:p>
        </w:tc>
        <w:tc>
          <w:tcPr>
            <w:tcW w:w="884" w:type="dxa"/>
            <w:tcBorders>
              <w:top w:val="nil"/>
              <w:left w:val="single" w:sz="4" w:space="0" w:color="1F497D" w:themeColor="text2"/>
              <w:bottom w:val="nil"/>
              <w:right w:val="nil"/>
            </w:tcBorders>
            <w:shd w:val="clear" w:color="auto" w:fill="auto"/>
            <w:vAlign w:val="center"/>
            <w:hideMark/>
          </w:tcPr>
          <w:p w:rsidR="00DA6B3F" w:rsidRPr="0016103D" w:rsidRDefault="00DA6B3F" w:rsidP="0016103D">
            <w:pPr>
              <w:jc w:val="right"/>
              <w:rPr>
                <w:color w:val="000000"/>
                <w:sz w:val="20"/>
              </w:rPr>
            </w:pPr>
            <w:r>
              <w:rPr>
                <w:color w:val="000000"/>
                <w:sz w:val="20"/>
              </w:rPr>
              <w:t>5.9</w:t>
            </w:r>
          </w:p>
        </w:tc>
        <w:tc>
          <w:tcPr>
            <w:tcW w:w="884" w:type="dxa"/>
            <w:tcBorders>
              <w:top w:val="nil"/>
              <w:left w:val="nil"/>
              <w:bottom w:val="nil"/>
              <w:right w:val="nil"/>
            </w:tcBorders>
            <w:shd w:val="clear" w:color="auto" w:fill="auto"/>
            <w:vAlign w:val="center"/>
            <w:hideMark/>
          </w:tcPr>
          <w:p w:rsidR="00DA6B3F" w:rsidRPr="0016103D" w:rsidRDefault="00DA6B3F" w:rsidP="0016103D">
            <w:pPr>
              <w:jc w:val="right"/>
              <w:rPr>
                <w:color w:val="000000"/>
                <w:sz w:val="20"/>
              </w:rPr>
            </w:pPr>
            <w:r>
              <w:rPr>
                <w:color w:val="000000"/>
                <w:sz w:val="20"/>
              </w:rPr>
              <w:t>6.4</w:t>
            </w:r>
          </w:p>
        </w:tc>
        <w:tc>
          <w:tcPr>
            <w:tcW w:w="884" w:type="dxa"/>
            <w:tcBorders>
              <w:top w:val="nil"/>
              <w:left w:val="nil"/>
              <w:bottom w:val="nil"/>
              <w:right w:val="nil"/>
            </w:tcBorders>
            <w:shd w:val="clear" w:color="auto" w:fill="auto"/>
            <w:vAlign w:val="center"/>
            <w:hideMark/>
          </w:tcPr>
          <w:p w:rsidR="00DA6B3F" w:rsidRPr="0016103D" w:rsidRDefault="00DA6B3F" w:rsidP="0016103D">
            <w:pPr>
              <w:jc w:val="right"/>
              <w:rPr>
                <w:color w:val="000000"/>
                <w:sz w:val="20"/>
              </w:rPr>
            </w:pPr>
            <w:r>
              <w:rPr>
                <w:color w:val="000000"/>
                <w:sz w:val="20"/>
              </w:rPr>
              <w:t>6.9</w:t>
            </w:r>
          </w:p>
        </w:tc>
        <w:tc>
          <w:tcPr>
            <w:tcW w:w="884" w:type="dxa"/>
            <w:tcBorders>
              <w:top w:val="nil"/>
              <w:left w:val="nil"/>
              <w:bottom w:val="nil"/>
              <w:right w:val="nil"/>
            </w:tcBorders>
            <w:shd w:val="clear" w:color="auto" w:fill="auto"/>
            <w:vAlign w:val="center"/>
            <w:hideMark/>
          </w:tcPr>
          <w:p w:rsidR="00DA6B3F" w:rsidRPr="0016103D" w:rsidRDefault="00DA6B3F" w:rsidP="0016103D">
            <w:pPr>
              <w:jc w:val="right"/>
              <w:rPr>
                <w:color w:val="000000"/>
                <w:sz w:val="20"/>
              </w:rPr>
            </w:pPr>
            <w:r>
              <w:rPr>
                <w:color w:val="000000"/>
                <w:sz w:val="20"/>
              </w:rPr>
              <w:t>7.4</w:t>
            </w:r>
          </w:p>
        </w:tc>
        <w:tc>
          <w:tcPr>
            <w:tcW w:w="884" w:type="dxa"/>
            <w:tcBorders>
              <w:top w:val="nil"/>
              <w:left w:val="nil"/>
              <w:bottom w:val="nil"/>
              <w:right w:val="nil"/>
            </w:tcBorders>
            <w:shd w:val="clear" w:color="auto" w:fill="auto"/>
            <w:vAlign w:val="center"/>
            <w:hideMark/>
          </w:tcPr>
          <w:p w:rsidR="00DA6B3F" w:rsidRPr="0016103D" w:rsidRDefault="00DA6B3F" w:rsidP="0016103D">
            <w:pPr>
              <w:jc w:val="right"/>
              <w:rPr>
                <w:color w:val="000000"/>
                <w:sz w:val="20"/>
              </w:rPr>
            </w:pPr>
            <w:r>
              <w:rPr>
                <w:color w:val="000000"/>
                <w:sz w:val="20"/>
              </w:rPr>
              <w:t>7.8</w:t>
            </w:r>
          </w:p>
        </w:tc>
        <w:tc>
          <w:tcPr>
            <w:tcW w:w="884" w:type="dxa"/>
            <w:tcBorders>
              <w:top w:val="nil"/>
              <w:left w:val="nil"/>
              <w:bottom w:val="nil"/>
              <w:right w:val="nil"/>
            </w:tcBorders>
            <w:shd w:val="clear" w:color="auto" w:fill="auto"/>
            <w:vAlign w:val="center"/>
            <w:hideMark/>
          </w:tcPr>
          <w:p w:rsidR="00DA6B3F" w:rsidRPr="0016103D" w:rsidRDefault="00DA6B3F" w:rsidP="0016103D">
            <w:pPr>
              <w:jc w:val="right"/>
              <w:rPr>
                <w:color w:val="000000"/>
                <w:sz w:val="20"/>
              </w:rPr>
            </w:pPr>
            <w:r>
              <w:rPr>
                <w:color w:val="000000"/>
                <w:sz w:val="20"/>
              </w:rPr>
              <w:t>8.2</w:t>
            </w:r>
          </w:p>
        </w:tc>
        <w:tc>
          <w:tcPr>
            <w:tcW w:w="884" w:type="dxa"/>
            <w:tcBorders>
              <w:top w:val="nil"/>
              <w:left w:val="nil"/>
              <w:bottom w:val="nil"/>
              <w:right w:val="nil"/>
            </w:tcBorders>
            <w:shd w:val="clear" w:color="auto" w:fill="auto"/>
            <w:vAlign w:val="center"/>
            <w:hideMark/>
          </w:tcPr>
          <w:p w:rsidR="00DA6B3F" w:rsidRPr="0016103D" w:rsidRDefault="00DA6B3F" w:rsidP="0016103D">
            <w:pPr>
              <w:jc w:val="right"/>
              <w:rPr>
                <w:color w:val="000000"/>
                <w:sz w:val="20"/>
              </w:rPr>
            </w:pPr>
            <w:r>
              <w:rPr>
                <w:color w:val="000000"/>
                <w:sz w:val="20"/>
              </w:rPr>
              <w:t>8.5</w:t>
            </w:r>
          </w:p>
        </w:tc>
        <w:tc>
          <w:tcPr>
            <w:tcW w:w="884" w:type="dxa"/>
            <w:tcBorders>
              <w:top w:val="nil"/>
              <w:left w:val="nil"/>
              <w:bottom w:val="nil"/>
              <w:right w:val="nil"/>
            </w:tcBorders>
            <w:shd w:val="clear" w:color="auto" w:fill="auto"/>
            <w:vAlign w:val="center"/>
            <w:hideMark/>
          </w:tcPr>
          <w:p w:rsidR="00DA6B3F" w:rsidRPr="0016103D" w:rsidRDefault="00DA6B3F" w:rsidP="0016103D">
            <w:pPr>
              <w:jc w:val="right"/>
              <w:rPr>
                <w:color w:val="000000"/>
                <w:sz w:val="20"/>
              </w:rPr>
            </w:pPr>
            <w:r>
              <w:rPr>
                <w:color w:val="000000"/>
                <w:sz w:val="20"/>
              </w:rPr>
              <w:t>8.7</w:t>
            </w:r>
          </w:p>
        </w:tc>
        <w:tc>
          <w:tcPr>
            <w:tcW w:w="884" w:type="dxa"/>
            <w:tcBorders>
              <w:top w:val="nil"/>
              <w:left w:val="nil"/>
              <w:bottom w:val="nil"/>
              <w:right w:val="nil"/>
            </w:tcBorders>
            <w:shd w:val="clear" w:color="auto" w:fill="auto"/>
            <w:vAlign w:val="center"/>
            <w:hideMark/>
          </w:tcPr>
          <w:p w:rsidR="00DA6B3F" w:rsidRPr="0016103D" w:rsidRDefault="00DA6B3F" w:rsidP="0016103D">
            <w:pPr>
              <w:jc w:val="right"/>
              <w:rPr>
                <w:color w:val="000000"/>
                <w:sz w:val="20"/>
              </w:rPr>
            </w:pPr>
            <w:r>
              <w:rPr>
                <w:color w:val="000000"/>
                <w:sz w:val="20"/>
              </w:rPr>
              <w:t>8.8</w:t>
            </w:r>
          </w:p>
        </w:tc>
        <w:tc>
          <w:tcPr>
            <w:tcW w:w="884" w:type="dxa"/>
            <w:tcBorders>
              <w:top w:val="nil"/>
              <w:left w:val="nil"/>
              <w:bottom w:val="nil"/>
              <w:right w:val="nil"/>
            </w:tcBorders>
            <w:shd w:val="clear" w:color="auto" w:fill="auto"/>
            <w:vAlign w:val="center"/>
            <w:hideMark/>
          </w:tcPr>
          <w:p w:rsidR="00DA6B3F" w:rsidRPr="0016103D" w:rsidRDefault="00DA6B3F" w:rsidP="0016103D">
            <w:pPr>
              <w:jc w:val="right"/>
              <w:rPr>
                <w:color w:val="000000"/>
                <w:sz w:val="20"/>
              </w:rPr>
            </w:pPr>
            <w:r>
              <w:rPr>
                <w:color w:val="000000"/>
                <w:sz w:val="20"/>
              </w:rPr>
              <w:t>8.8</w:t>
            </w:r>
          </w:p>
        </w:tc>
        <w:tc>
          <w:tcPr>
            <w:tcW w:w="884" w:type="dxa"/>
            <w:tcBorders>
              <w:top w:val="nil"/>
              <w:left w:val="nil"/>
              <w:bottom w:val="nil"/>
              <w:right w:val="single" w:sz="4" w:space="0" w:color="1F497D" w:themeColor="text2"/>
            </w:tcBorders>
            <w:shd w:val="clear" w:color="auto" w:fill="auto"/>
            <w:vAlign w:val="center"/>
            <w:hideMark/>
          </w:tcPr>
          <w:p w:rsidR="00DA6B3F" w:rsidRPr="0016103D" w:rsidRDefault="00DA6B3F" w:rsidP="0016103D">
            <w:pPr>
              <w:jc w:val="right"/>
              <w:rPr>
                <w:color w:val="000000"/>
                <w:sz w:val="20"/>
              </w:rPr>
            </w:pPr>
            <w:r>
              <w:rPr>
                <w:color w:val="000000"/>
                <w:sz w:val="20"/>
              </w:rPr>
              <w:t>8.8</w:t>
            </w:r>
          </w:p>
        </w:tc>
      </w:tr>
      <w:tr w:rsidR="00DA6B3F" w:rsidRPr="0016103D" w:rsidTr="00EC1272">
        <w:trPr>
          <w:trHeight w:val="300"/>
        </w:trPr>
        <w:tc>
          <w:tcPr>
            <w:tcW w:w="4111" w:type="dxa"/>
            <w:tcBorders>
              <w:top w:val="nil"/>
              <w:left w:val="single" w:sz="4" w:space="0" w:color="1F497D" w:themeColor="text2"/>
              <w:bottom w:val="nil"/>
              <w:right w:val="single" w:sz="4" w:space="0" w:color="1F497D" w:themeColor="text2"/>
            </w:tcBorders>
            <w:shd w:val="clear" w:color="auto" w:fill="auto"/>
            <w:vAlign w:val="center"/>
            <w:hideMark/>
          </w:tcPr>
          <w:p w:rsidR="00DA6B3F" w:rsidRPr="0016103D" w:rsidRDefault="00DA6B3F" w:rsidP="0016103D">
            <w:pPr>
              <w:rPr>
                <w:b/>
                <w:bCs/>
                <w:color w:val="000000"/>
                <w:sz w:val="20"/>
              </w:rPr>
            </w:pPr>
            <w:r>
              <w:rPr>
                <w:color w:val="000000"/>
                <w:sz w:val="20"/>
              </w:rPr>
              <w:t>Value of additional recycling (WTP)</w:t>
            </w:r>
          </w:p>
        </w:tc>
        <w:tc>
          <w:tcPr>
            <w:tcW w:w="884" w:type="dxa"/>
            <w:tcBorders>
              <w:top w:val="nil"/>
              <w:left w:val="single" w:sz="4" w:space="0" w:color="1F497D" w:themeColor="text2"/>
              <w:bottom w:val="nil"/>
              <w:right w:val="nil"/>
            </w:tcBorders>
            <w:shd w:val="clear" w:color="auto" w:fill="auto"/>
            <w:vAlign w:val="center"/>
            <w:hideMark/>
          </w:tcPr>
          <w:p w:rsidR="00DA6B3F" w:rsidRPr="0016103D" w:rsidRDefault="00DA6B3F" w:rsidP="0016103D">
            <w:pPr>
              <w:jc w:val="right"/>
              <w:rPr>
                <w:b/>
                <w:bCs/>
                <w:color w:val="000000"/>
                <w:sz w:val="20"/>
              </w:rPr>
            </w:pPr>
            <w:r>
              <w:rPr>
                <w:color w:val="000000"/>
                <w:sz w:val="20"/>
              </w:rPr>
              <w:t>4.5</w:t>
            </w:r>
          </w:p>
        </w:tc>
        <w:tc>
          <w:tcPr>
            <w:tcW w:w="884" w:type="dxa"/>
            <w:tcBorders>
              <w:top w:val="nil"/>
              <w:left w:val="nil"/>
              <w:bottom w:val="nil"/>
              <w:right w:val="nil"/>
            </w:tcBorders>
            <w:shd w:val="clear" w:color="auto" w:fill="auto"/>
            <w:vAlign w:val="center"/>
            <w:hideMark/>
          </w:tcPr>
          <w:p w:rsidR="00DA6B3F" w:rsidRPr="0016103D" w:rsidRDefault="00DA6B3F" w:rsidP="0016103D">
            <w:pPr>
              <w:jc w:val="right"/>
              <w:rPr>
                <w:b/>
                <w:bCs/>
                <w:color w:val="000000"/>
                <w:sz w:val="20"/>
              </w:rPr>
            </w:pPr>
            <w:r>
              <w:rPr>
                <w:color w:val="000000"/>
                <w:sz w:val="20"/>
              </w:rPr>
              <w:t>4.9</w:t>
            </w:r>
          </w:p>
        </w:tc>
        <w:tc>
          <w:tcPr>
            <w:tcW w:w="884" w:type="dxa"/>
            <w:tcBorders>
              <w:top w:val="nil"/>
              <w:left w:val="nil"/>
              <w:bottom w:val="nil"/>
              <w:right w:val="nil"/>
            </w:tcBorders>
            <w:shd w:val="clear" w:color="auto" w:fill="auto"/>
            <w:vAlign w:val="center"/>
            <w:hideMark/>
          </w:tcPr>
          <w:p w:rsidR="00DA6B3F" w:rsidRPr="0016103D" w:rsidRDefault="00DA6B3F" w:rsidP="0016103D">
            <w:pPr>
              <w:jc w:val="right"/>
              <w:rPr>
                <w:b/>
                <w:bCs/>
                <w:color w:val="000000"/>
                <w:sz w:val="20"/>
              </w:rPr>
            </w:pPr>
            <w:r>
              <w:rPr>
                <w:color w:val="000000"/>
                <w:sz w:val="20"/>
              </w:rPr>
              <w:t>5.3</w:t>
            </w:r>
          </w:p>
        </w:tc>
        <w:tc>
          <w:tcPr>
            <w:tcW w:w="884" w:type="dxa"/>
            <w:tcBorders>
              <w:top w:val="nil"/>
              <w:left w:val="nil"/>
              <w:bottom w:val="nil"/>
              <w:right w:val="nil"/>
            </w:tcBorders>
            <w:shd w:val="clear" w:color="auto" w:fill="auto"/>
            <w:vAlign w:val="center"/>
            <w:hideMark/>
          </w:tcPr>
          <w:p w:rsidR="00DA6B3F" w:rsidRPr="0016103D" w:rsidRDefault="00DA6B3F" w:rsidP="0016103D">
            <w:pPr>
              <w:jc w:val="right"/>
              <w:rPr>
                <w:b/>
                <w:bCs/>
                <w:color w:val="000000"/>
                <w:sz w:val="20"/>
              </w:rPr>
            </w:pPr>
            <w:r>
              <w:rPr>
                <w:color w:val="000000"/>
                <w:sz w:val="20"/>
              </w:rPr>
              <w:t>5.8</w:t>
            </w:r>
          </w:p>
        </w:tc>
        <w:tc>
          <w:tcPr>
            <w:tcW w:w="884" w:type="dxa"/>
            <w:tcBorders>
              <w:top w:val="nil"/>
              <w:left w:val="nil"/>
              <w:bottom w:val="nil"/>
              <w:right w:val="nil"/>
            </w:tcBorders>
            <w:shd w:val="clear" w:color="auto" w:fill="auto"/>
            <w:vAlign w:val="center"/>
            <w:hideMark/>
          </w:tcPr>
          <w:p w:rsidR="00DA6B3F" w:rsidRPr="0016103D" w:rsidRDefault="00DA6B3F" w:rsidP="0016103D">
            <w:pPr>
              <w:jc w:val="right"/>
              <w:rPr>
                <w:b/>
                <w:bCs/>
                <w:color w:val="000000"/>
                <w:sz w:val="20"/>
              </w:rPr>
            </w:pPr>
            <w:r>
              <w:rPr>
                <w:color w:val="000000"/>
                <w:sz w:val="20"/>
              </w:rPr>
              <w:t>6.3</w:t>
            </w:r>
          </w:p>
        </w:tc>
        <w:tc>
          <w:tcPr>
            <w:tcW w:w="884" w:type="dxa"/>
            <w:tcBorders>
              <w:top w:val="nil"/>
              <w:left w:val="nil"/>
              <w:bottom w:val="nil"/>
              <w:right w:val="nil"/>
            </w:tcBorders>
            <w:shd w:val="clear" w:color="auto" w:fill="auto"/>
            <w:vAlign w:val="center"/>
            <w:hideMark/>
          </w:tcPr>
          <w:p w:rsidR="00DA6B3F" w:rsidRPr="0016103D" w:rsidRDefault="00DA6B3F" w:rsidP="0016103D">
            <w:pPr>
              <w:jc w:val="right"/>
              <w:rPr>
                <w:b/>
                <w:bCs/>
                <w:color w:val="000000"/>
                <w:sz w:val="20"/>
              </w:rPr>
            </w:pPr>
            <w:r>
              <w:rPr>
                <w:color w:val="000000"/>
                <w:sz w:val="20"/>
              </w:rPr>
              <w:t>6.8</w:t>
            </w:r>
          </w:p>
        </w:tc>
        <w:tc>
          <w:tcPr>
            <w:tcW w:w="884" w:type="dxa"/>
            <w:tcBorders>
              <w:top w:val="nil"/>
              <w:left w:val="nil"/>
              <w:bottom w:val="nil"/>
              <w:right w:val="nil"/>
            </w:tcBorders>
            <w:shd w:val="clear" w:color="auto" w:fill="auto"/>
            <w:vAlign w:val="center"/>
            <w:hideMark/>
          </w:tcPr>
          <w:p w:rsidR="00DA6B3F" w:rsidRPr="0016103D" w:rsidRDefault="00DA6B3F" w:rsidP="0016103D">
            <w:pPr>
              <w:jc w:val="right"/>
              <w:rPr>
                <w:b/>
                <w:bCs/>
                <w:color w:val="000000"/>
                <w:sz w:val="20"/>
              </w:rPr>
            </w:pPr>
            <w:r>
              <w:rPr>
                <w:color w:val="000000"/>
                <w:sz w:val="20"/>
              </w:rPr>
              <w:t>7.3</w:t>
            </w:r>
          </w:p>
        </w:tc>
        <w:tc>
          <w:tcPr>
            <w:tcW w:w="884" w:type="dxa"/>
            <w:tcBorders>
              <w:top w:val="nil"/>
              <w:left w:val="nil"/>
              <w:bottom w:val="nil"/>
              <w:right w:val="nil"/>
            </w:tcBorders>
            <w:shd w:val="clear" w:color="auto" w:fill="auto"/>
            <w:vAlign w:val="center"/>
            <w:hideMark/>
          </w:tcPr>
          <w:p w:rsidR="00DA6B3F" w:rsidRPr="0016103D" w:rsidRDefault="00DA6B3F" w:rsidP="0016103D">
            <w:pPr>
              <w:jc w:val="right"/>
              <w:rPr>
                <w:b/>
                <w:bCs/>
                <w:color w:val="000000"/>
                <w:sz w:val="20"/>
              </w:rPr>
            </w:pPr>
            <w:r>
              <w:rPr>
                <w:color w:val="000000"/>
                <w:sz w:val="20"/>
              </w:rPr>
              <w:t>7.8</w:t>
            </w:r>
          </w:p>
        </w:tc>
        <w:tc>
          <w:tcPr>
            <w:tcW w:w="884" w:type="dxa"/>
            <w:tcBorders>
              <w:top w:val="nil"/>
              <w:left w:val="nil"/>
              <w:bottom w:val="nil"/>
              <w:right w:val="nil"/>
            </w:tcBorders>
            <w:shd w:val="clear" w:color="auto" w:fill="auto"/>
            <w:vAlign w:val="center"/>
            <w:hideMark/>
          </w:tcPr>
          <w:p w:rsidR="00DA6B3F" w:rsidRPr="0016103D" w:rsidRDefault="00DA6B3F" w:rsidP="0016103D">
            <w:pPr>
              <w:jc w:val="right"/>
              <w:rPr>
                <w:b/>
                <w:bCs/>
                <w:color w:val="000000"/>
                <w:sz w:val="20"/>
              </w:rPr>
            </w:pPr>
            <w:r>
              <w:rPr>
                <w:color w:val="000000"/>
                <w:sz w:val="20"/>
              </w:rPr>
              <w:t>8.3</w:t>
            </w:r>
          </w:p>
        </w:tc>
        <w:tc>
          <w:tcPr>
            <w:tcW w:w="884" w:type="dxa"/>
            <w:tcBorders>
              <w:top w:val="nil"/>
              <w:left w:val="nil"/>
              <w:bottom w:val="nil"/>
              <w:right w:val="nil"/>
            </w:tcBorders>
            <w:shd w:val="clear" w:color="auto" w:fill="auto"/>
            <w:vAlign w:val="center"/>
            <w:hideMark/>
          </w:tcPr>
          <w:p w:rsidR="00DA6B3F" w:rsidRPr="0016103D" w:rsidRDefault="00DA6B3F" w:rsidP="0016103D">
            <w:pPr>
              <w:jc w:val="right"/>
              <w:rPr>
                <w:b/>
                <w:bCs/>
                <w:color w:val="000000"/>
                <w:sz w:val="20"/>
              </w:rPr>
            </w:pPr>
            <w:r>
              <w:rPr>
                <w:color w:val="000000"/>
                <w:sz w:val="20"/>
              </w:rPr>
              <w:t>8.7</w:t>
            </w:r>
          </w:p>
        </w:tc>
        <w:tc>
          <w:tcPr>
            <w:tcW w:w="884" w:type="dxa"/>
            <w:tcBorders>
              <w:top w:val="nil"/>
              <w:left w:val="nil"/>
              <w:bottom w:val="nil"/>
              <w:right w:val="single" w:sz="4" w:space="0" w:color="1F497D" w:themeColor="text2"/>
            </w:tcBorders>
            <w:shd w:val="clear" w:color="auto" w:fill="auto"/>
            <w:vAlign w:val="center"/>
            <w:hideMark/>
          </w:tcPr>
          <w:p w:rsidR="00DA6B3F" w:rsidRPr="0016103D" w:rsidRDefault="00DA6B3F" w:rsidP="0016103D">
            <w:pPr>
              <w:jc w:val="right"/>
              <w:rPr>
                <w:b/>
                <w:bCs/>
                <w:color w:val="000000"/>
                <w:sz w:val="20"/>
              </w:rPr>
            </w:pPr>
            <w:r>
              <w:rPr>
                <w:color w:val="000000"/>
                <w:sz w:val="20"/>
              </w:rPr>
              <w:t>9.0</w:t>
            </w:r>
          </w:p>
        </w:tc>
      </w:tr>
      <w:tr w:rsidR="00DA6B3F" w:rsidRPr="0016103D" w:rsidTr="00EC1272">
        <w:trPr>
          <w:trHeight w:val="300"/>
        </w:trPr>
        <w:tc>
          <w:tcPr>
            <w:tcW w:w="4111" w:type="dxa"/>
            <w:tcBorders>
              <w:top w:val="nil"/>
              <w:left w:val="single" w:sz="4" w:space="0" w:color="1F497D" w:themeColor="text2"/>
              <w:bottom w:val="single" w:sz="4" w:space="0" w:color="1F497D" w:themeColor="text2"/>
              <w:right w:val="single" w:sz="4" w:space="0" w:color="1F497D" w:themeColor="text2"/>
            </w:tcBorders>
            <w:shd w:val="clear" w:color="auto" w:fill="auto"/>
            <w:vAlign w:val="center"/>
            <w:hideMark/>
          </w:tcPr>
          <w:p w:rsidR="00DA6B3F" w:rsidRPr="0016103D" w:rsidRDefault="00DA6B3F" w:rsidP="0016103D">
            <w:pPr>
              <w:rPr>
                <w:b/>
                <w:bCs/>
                <w:color w:val="000000"/>
                <w:sz w:val="20"/>
              </w:rPr>
            </w:pPr>
            <w:r>
              <w:rPr>
                <w:b/>
                <w:bCs/>
                <w:color w:val="000000"/>
                <w:sz w:val="20"/>
              </w:rPr>
              <w:t>Total Benefits</w:t>
            </w:r>
          </w:p>
        </w:tc>
        <w:tc>
          <w:tcPr>
            <w:tcW w:w="884" w:type="dxa"/>
            <w:tcBorders>
              <w:top w:val="nil"/>
              <w:left w:val="single" w:sz="4" w:space="0" w:color="1F497D" w:themeColor="text2"/>
              <w:bottom w:val="single" w:sz="4" w:space="0" w:color="1F497D" w:themeColor="text2"/>
              <w:right w:val="nil"/>
            </w:tcBorders>
            <w:shd w:val="clear" w:color="auto" w:fill="auto"/>
            <w:vAlign w:val="center"/>
            <w:hideMark/>
          </w:tcPr>
          <w:p w:rsidR="00DA6B3F" w:rsidRPr="0016103D" w:rsidRDefault="00DA6B3F" w:rsidP="0016103D">
            <w:pPr>
              <w:jc w:val="right"/>
              <w:rPr>
                <w:b/>
                <w:bCs/>
                <w:color w:val="000000"/>
                <w:sz w:val="20"/>
              </w:rPr>
            </w:pPr>
            <w:r>
              <w:rPr>
                <w:b/>
                <w:bCs/>
                <w:color w:val="000000"/>
                <w:sz w:val="20"/>
              </w:rPr>
              <w:t>11.0</w:t>
            </w:r>
          </w:p>
        </w:tc>
        <w:tc>
          <w:tcPr>
            <w:tcW w:w="884" w:type="dxa"/>
            <w:tcBorders>
              <w:top w:val="nil"/>
              <w:left w:val="nil"/>
              <w:bottom w:val="single" w:sz="4" w:space="0" w:color="1F497D" w:themeColor="text2"/>
              <w:right w:val="nil"/>
            </w:tcBorders>
            <w:shd w:val="clear" w:color="auto" w:fill="auto"/>
            <w:vAlign w:val="center"/>
            <w:hideMark/>
          </w:tcPr>
          <w:p w:rsidR="00DA6B3F" w:rsidRPr="0016103D" w:rsidRDefault="00DA6B3F" w:rsidP="0016103D">
            <w:pPr>
              <w:jc w:val="right"/>
              <w:rPr>
                <w:b/>
                <w:bCs/>
                <w:color w:val="000000"/>
                <w:sz w:val="20"/>
              </w:rPr>
            </w:pPr>
            <w:r>
              <w:rPr>
                <w:b/>
                <w:bCs/>
                <w:color w:val="000000"/>
                <w:sz w:val="20"/>
              </w:rPr>
              <w:t>12.2</w:t>
            </w:r>
          </w:p>
        </w:tc>
        <w:tc>
          <w:tcPr>
            <w:tcW w:w="884" w:type="dxa"/>
            <w:tcBorders>
              <w:top w:val="nil"/>
              <w:left w:val="nil"/>
              <w:bottom w:val="single" w:sz="4" w:space="0" w:color="1F497D" w:themeColor="text2"/>
              <w:right w:val="nil"/>
            </w:tcBorders>
            <w:shd w:val="clear" w:color="auto" w:fill="auto"/>
            <w:vAlign w:val="center"/>
            <w:hideMark/>
          </w:tcPr>
          <w:p w:rsidR="00DA6B3F" w:rsidRPr="0016103D" w:rsidRDefault="00DA6B3F" w:rsidP="0016103D">
            <w:pPr>
              <w:jc w:val="right"/>
              <w:rPr>
                <w:b/>
                <w:bCs/>
                <w:color w:val="000000"/>
                <w:sz w:val="20"/>
              </w:rPr>
            </w:pPr>
            <w:r>
              <w:rPr>
                <w:b/>
                <w:bCs/>
                <w:color w:val="000000"/>
                <w:sz w:val="20"/>
              </w:rPr>
              <w:t>13.4</w:t>
            </w:r>
          </w:p>
        </w:tc>
        <w:tc>
          <w:tcPr>
            <w:tcW w:w="884" w:type="dxa"/>
            <w:tcBorders>
              <w:top w:val="nil"/>
              <w:left w:val="nil"/>
              <w:bottom w:val="single" w:sz="4" w:space="0" w:color="1F497D" w:themeColor="text2"/>
              <w:right w:val="nil"/>
            </w:tcBorders>
            <w:shd w:val="clear" w:color="auto" w:fill="auto"/>
            <w:vAlign w:val="center"/>
            <w:hideMark/>
          </w:tcPr>
          <w:p w:rsidR="00DA6B3F" w:rsidRPr="0016103D" w:rsidRDefault="00DA6B3F" w:rsidP="0016103D">
            <w:pPr>
              <w:jc w:val="right"/>
              <w:rPr>
                <w:b/>
                <w:bCs/>
                <w:color w:val="000000"/>
                <w:sz w:val="20"/>
              </w:rPr>
            </w:pPr>
            <w:r>
              <w:rPr>
                <w:b/>
                <w:bCs/>
                <w:color w:val="000000"/>
                <w:sz w:val="20"/>
              </w:rPr>
              <w:t>14.4</w:t>
            </w:r>
          </w:p>
        </w:tc>
        <w:tc>
          <w:tcPr>
            <w:tcW w:w="884" w:type="dxa"/>
            <w:tcBorders>
              <w:top w:val="nil"/>
              <w:left w:val="nil"/>
              <w:bottom w:val="single" w:sz="4" w:space="0" w:color="1F497D" w:themeColor="text2"/>
              <w:right w:val="nil"/>
            </w:tcBorders>
            <w:shd w:val="clear" w:color="auto" w:fill="auto"/>
            <w:vAlign w:val="center"/>
            <w:hideMark/>
          </w:tcPr>
          <w:p w:rsidR="00DA6B3F" w:rsidRPr="0016103D" w:rsidRDefault="00DA6B3F" w:rsidP="0016103D">
            <w:pPr>
              <w:jc w:val="right"/>
              <w:rPr>
                <w:b/>
                <w:bCs/>
                <w:color w:val="000000"/>
                <w:sz w:val="20"/>
              </w:rPr>
            </w:pPr>
            <w:r>
              <w:rPr>
                <w:b/>
                <w:bCs/>
                <w:color w:val="000000"/>
                <w:sz w:val="20"/>
              </w:rPr>
              <w:t>15.3</w:t>
            </w:r>
          </w:p>
        </w:tc>
        <w:tc>
          <w:tcPr>
            <w:tcW w:w="884" w:type="dxa"/>
            <w:tcBorders>
              <w:top w:val="nil"/>
              <w:left w:val="nil"/>
              <w:bottom w:val="single" w:sz="4" w:space="0" w:color="1F497D" w:themeColor="text2"/>
              <w:right w:val="nil"/>
            </w:tcBorders>
            <w:shd w:val="clear" w:color="auto" w:fill="auto"/>
            <w:vAlign w:val="center"/>
            <w:hideMark/>
          </w:tcPr>
          <w:p w:rsidR="00DA6B3F" w:rsidRPr="0016103D" w:rsidRDefault="00DA6B3F" w:rsidP="0016103D">
            <w:pPr>
              <w:jc w:val="right"/>
              <w:rPr>
                <w:b/>
                <w:bCs/>
                <w:color w:val="000000"/>
                <w:sz w:val="20"/>
              </w:rPr>
            </w:pPr>
            <w:r>
              <w:rPr>
                <w:b/>
                <w:bCs/>
                <w:color w:val="000000"/>
                <w:sz w:val="20"/>
              </w:rPr>
              <w:t>16.0</w:t>
            </w:r>
          </w:p>
        </w:tc>
        <w:tc>
          <w:tcPr>
            <w:tcW w:w="884" w:type="dxa"/>
            <w:tcBorders>
              <w:top w:val="nil"/>
              <w:left w:val="nil"/>
              <w:bottom w:val="single" w:sz="4" w:space="0" w:color="1F497D" w:themeColor="text2"/>
              <w:right w:val="nil"/>
            </w:tcBorders>
            <w:shd w:val="clear" w:color="auto" w:fill="auto"/>
            <w:vAlign w:val="center"/>
            <w:hideMark/>
          </w:tcPr>
          <w:p w:rsidR="00DA6B3F" w:rsidRPr="0016103D" w:rsidRDefault="00DA6B3F" w:rsidP="0016103D">
            <w:pPr>
              <w:jc w:val="right"/>
              <w:rPr>
                <w:b/>
                <w:bCs/>
                <w:color w:val="000000"/>
                <w:sz w:val="20"/>
              </w:rPr>
            </w:pPr>
            <w:r>
              <w:rPr>
                <w:b/>
                <w:bCs/>
                <w:color w:val="000000"/>
                <w:sz w:val="20"/>
              </w:rPr>
              <w:t>16.6</w:t>
            </w:r>
          </w:p>
        </w:tc>
        <w:tc>
          <w:tcPr>
            <w:tcW w:w="884" w:type="dxa"/>
            <w:tcBorders>
              <w:top w:val="nil"/>
              <w:left w:val="nil"/>
              <w:bottom w:val="single" w:sz="4" w:space="0" w:color="1F497D" w:themeColor="text2"/>
              <w:right w:val="nil"/>
            </w:tcBorders>
            <w:shd w:val="clear" w:color="auto" w:fill="auto"/>
            <w:vAlign w:val="center"/>
            <w:hideMark/>
          </w:tcPr>
          <w:p w:rsidR="00DA6B3F" w:rsidRPr="0016103D" w:rsidRDefault="00DA6B3F" w:rsidP="0016103D">
            <w:pPr>
              <w:jc w:val="right"/>
              <w:rPr>
                <w:b/>
                <w:bCs/>
                <w:color w:val="000000"/>
                <w:sz w:val="20"/>
              </w:rPr>
            </w:pPr>
            <w:r>
              <w:rPr>
                <w:b/>
                <w:bCs/>
                <w:color w:val="000000"/>
                <w:sz w:val="20"/>
              </w:rPr>
              <w:t>17.0</w:t>
            </w:r>
          </w:p>
        </w:tc>
        <w:tc>
          <w:tcPr>
            <w:tcW w:w="884" w:type="dxa"/>
            <w:tcBorders>
              <w:top w:val="nil"/>
              <w:left w:val="nil"/>
              <w:bottom w:val="single" w:sz="4" w:space="0" w:color="1F497D" w:themeColor="text2"/>
              <w:right w:val="nil"/>
            </w:tcBorders>
            <w:shd w:val="clear" w:color="auto" w:fill="auto"/>
            <w:vAlign w:val="center"/>
            <w:hideMark/>
          </w:tcPr>
          <w:p w:rsidR="00DA6B3F" w:rsidRPr="0016103D" w:rsidRDefault="00DA6B3F" w:rsidP="0016103D">
            <w:pPr>
              <w:jc w:val="right"/>
              <w:rPr>
                <w:b/>
                <w:bCs/>
                <w:color w:val="000000"/>
                <w:sz w:val="20"/>
              </w:rPr>
            </w:pPr>
            <w:r>
              <w:rPr>
                <w:b/>
                <w:bCs/>
                <w:color w:val="000000"/>
                <w:sz w:val="20"/>
              </w:rPr>
              <w:t>17.2</w:t>
            </w:r>
          </w:p>
        </w:tc>
        <w:tc>
          <w:tcPr>
            <w:tcW w:w="884" w:type="dxa"/>
            <w:tcBorders>
              <w:top w:val="nil"/>
              <w:left w:val="nil"/>
              <w:bottom w:val="single" w:sz="4" w:space="0" w:color="1F497D" w:themeColor="text2"/>
              <w:right w:val="nil"/>
            </w:tcBorders>
            <w:shd w:val="clear" w:color="auto" w:fill="auto"/>
            <w:vAlign w:val="center"/>
            <w:hideMark/>
          </w:tcPr>
          <w:p w:rsidR="00DA6B3F" w:rsidRPr="0016103D" w:rsidRDefault="00DA6B3F" w:rsidP="0016103D">
            <w:pPr>
              <w:jc w:val="right"/>
              <w:rPr>
                <w:b/>
                <w:bCs/>
                <w:color w:val="000000"/>
                <w:sz w:val="20"/>
              </w:rPr>
            </w:pPr>
            <w:r>
              <w:rPr>
                <w:b/>
                <w:bCs/>
                <w:color w:val="000000"/>
                <w:sz w:val="20"/>
              </w:rPr>
              <w:t>17.2</w:t>
            </w:r>
          </w:p>
        </w:tc>
        <w:tc>
          <w:tcPr>
            <w:tcW w:w="884" w:type="dxa"/>
            <w:tcBorders>
              <w:top w:val="nil"/>
              <w:left w:val="nil"/>
              <w:bottom w:val="single" w:sz="4" w:space="0" w:color="1F497D" w:themeColor="text2"/>
              <w:right w:val="single" w:sz="4" w:space="0" w:color="1F497D" w:themeColor="text2"/>
            </w:tcBorders>
            <w:shd w:val="clear" w:color="auto" w:fill="auto"/>
            <w:vAlign w:val="center"/>
            <w:hideMark/>
          </w:tcPr>
          <w:p w:rsidR="00DA6B3F" w:rsidRPr="0016103D" w:rsidRDefault="00DA6B3F" w:rsidP="0016103D">
            <w:pPr>
              <w:jc w:val="right"/>
              <w:rPr>
                <w:b/>
                <w:bCs/>
                <w:color w:val="000000"/>
                <w:sz w:val="20"/>
              </w:rPr>
            </w:pPr>
            <w:r>
              <w:rPr>
                <w:b/>
                <w:bCs/>
                <w:color w:val="000000"/>
                <w:sz w:val="20"/>
              </w:rPr>
              <w:t>17.0</w:t>
            </w:r>
          </w:p>
        </w:tc>
      </w:tr>
    </w:tbl>
    <w:p w:rsidR="002E0107" w:rsidRDefault="002E0107" w:rsidP="002E0107">
      <w:pPr>
        <w:pStyle w:val="Source"/>
      </w:pPr>
      <w:r>
        <w:t>Source: KPMG analysis</w:t>
      </w:r>
    </w:p>
    <w:p w:rsidR="0085085D" w:rsidRDefault="0085085D">
      <w:pPr>
        <w:pStyle w:val="BodyText"/>
      </w:pPr>
    </w:p>
    <w:sectPr w:rsidR="0085085D" w:rsidSect="00013197">
      <w:pgSz w:w="16840" w:h="11907" w:orient="landscape" w:code="9"/>
      <w:pgMar w:top="1474" w:right="2835" w:bottom="1474" w:left="1588" w:header="1077" w:footer="1304" w:gutter="454"/>
      <w:cols w:space="737"/>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55F48" w:rsidRDefault="00055F48">
      <w:r>
        <w:separator/>
      </w:r>
    </w:p>
  </w:endnote>
  <w:endnote w:type="continuationSeparator" w:id="0">
    <w:p w:rsidR="00055F48" w:rsidRDefault="00055F48">
      <w:r>
        <w:continuationSeparator/>
      </w:r>
    </w:p>
  </w:endnote>
</w:endnotes>
</file>

<file path=word/fontTable.xml><?xml version="1.0" encoding="utf-8"?>
<w:fonts xmlns:r="http://schemas.openxmlformats.org/officeDocument/2006/relationships" xmlns:w="http://schemas.openxmlformats.org/wordprocessingml/2006/main">
  <w:font w:name="9999999">
    <w:altName w:val="Times New Roman"/>
    <w:panose1 w:val="00000000000000000000"/>
    <w:charset w:val="00"/>
    <w:family w:val="roman"/>
    <w:notTrueType/>
    <w:pitch w:val="default"/>
    <w:sig w:usb0="00000000" w:usb1="00000000" w:usb2="00000000" w:usb3="00000000" w:csb0="0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Univers 45 Light">
    <w:charset w:val="00"/>
    <w:family w:val="auto"/>
    <w:pitch w:val="variable"/>
    <w:sig w:usb0="8000002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KPMG Logo">
    <w:altName w:val="Courier"/>
    <w:charset w:val="00"/>
    <w:family w:val="auto"/>
    <w:pitch w:val="variable"/>
    <w:sig w:usb0="00000003" w:usb1="00000000" w:usb2="00000000" w:usb3="00000000" w:csb0="00000001" w:csb1="00000000"/>
  </w:font>
  <w:font w:name="Univers 55">
    <w:altName w:val="Times New Roman"/>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5F48" w:rsidRDefault="00586F30">
    <w:pPr>
      <w:pStyle w:val="Footer"/>
      <w:framePr w:hSpace="181" w:wrap="around" w:vAnchor="text" w:hAnchor="text" w:xAlign="right" w:y="1"/>
    </w:pPr>
    <w:r>
      <w:fldChar w:fldCharType="begin"/>
    </w:r>
    <w:r w:rsidR="00C478AE">
      <w:instrText xml:space="preserve"> FILENAME </w:instrText>
    </w:r>
    <w:r>
      <w:fldChar w:fldCharType="separate"/>
    </w:r>
    <w:r w:rsidR="00055F48">
      <w:rPr>
        <w:noProof/>
      </w:rPr>
      <w:t>KPMG_RAC EOL CBA_Final Report_250914</w:t>
    </w:r>
    <w:r>
      <w:rPr>
        <w:noProof/>
      </w:rPr>
      <w:fldChar w:fldCharType="end"/>
    </w:r>
    <w:r w:rsidR="00055F48">
      <w:t xml:space="preserve"> - </w:t>
    </w:r>
    <w:r>
      <w:fldChar w:fldCharType="begin"/>
    </w:r>
    <w:r w:rsidR="00055F48">
      <w:instrText xml:space="preserve"> SAVEDATE  \@ </w:instrText>
    </w:r>
    <w:r>
      <w:fldChar w:fldCharType="begin"/>
    </w:r>
    <w:r w:rsidR="00C478AE">
      <w:instrText xml:space="preserve"> DOCPROPERTY "KISDateFmt" </w:instrText>
    </w:r>
    <w:r>
      <w:fldChar w:fldCharType="separate"/>
    </w:r>
    <w:r w:rsidR="00055F48">
      <w:instrText>d MMMM yyyy</w:instrText>
    </w:r>
    <w:r>
      <w:fldChar w:fldCharType="end"/>
    </w:r>
    <w:r w:rsidR="00055F48">
      <w:instrText xml:space="preserve"> </w:instrText>
    </w:r>
    <w:r>
      <w:fldChar w:fldCharType="separate"/>
    </w:r>
    <w:r w:rsidR="00096E01">
      <w:rPr>
        <w:noProof/>
      </w:rPr>
      <w:t>16 January 2015</w:t>
    </w:r>
    <w:r>
      <w:fldChar w:fldCharType="end"/>
    </w:r>
  </w:p>
  <w:p w:rsidR="00055F48" w:rsidRDefault="00586F30">
    <w:pPr>
      <w:pStyle w:val="Footer"/>
    </w:pPr>
    <w:r w:rsidRPr="00586F30">
      <w:rPr>
        <w:noProof/>
        <w:sz w:val="20"/>
        <w:lang w:eastAsia="en-AU"/>
      </w:rPr>
      <w:pict>
        <v:shapetype id="_x0000_t202" coordsize="21600,21600" o:spt="202" path="m,l,21600r21600,l21600,xe">
          <v:stroke joinstyle="miter"/>
          <v:path gradientshapeok="t" o:connecttype="rect"/>
        </v:shapetype>
        <v:shape id="Text Box 1" o:spid="_x0000_s2057" type="#_x0000_t202" style="position:absolute;margin-left:0;margin-top:0;width:383.55pt;height:58.7pt;z-index:251657216;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" filled="f" stroked="f">
          <v:textbox>
            <w:txbxContent>
              <w:p w:rsidR="00055F48" w:rsidRDefault="00586F30" w:rsidP="00077C9D">
                <w:pPr>
                  <w:jc w:val="center"/>
                  <w:rPr>
                    <w:rFonts w:ascii="Univers 55" w:hAnsi="Univers 55"/>
                    <w:sz w:val="12"/>
                  </w:rPr>
                </w:pPr>
                <w:r w:rsidRPr="00F64ABE">
                  <w:rPr>
                    <w:rFonts w:ascii="Univers 55" w:hAnsi="Univers 55"/>
                    <w:sz w:val="15"/>
                    <w:szCs w:val="15"/>
                  </w:rPr>
                  <w:fldChar w:fldCharType="begin"/>
                </w:r>
                <w:r w:rsidR="00055F48" w:rsidRPr="00F64ABE">
                  <w:rPr>
                    <w:rFonts w:ascii="Univers 55" w:hAnsi="Univers 55"/>
                    <w:sz w:val="15"/>
                    <w:szCs w:val="15"/>
                  </w:rPr>
                  <w:instrText xml:space="preserve"> DOCPROPERTY  KISFirmCopyright </w:instrText>
                </w:r>
                <w:r w:rsidRPr="00F64ABE">
                  <w:rPr>
                    <w:rFonts w:ascii="Univers 55" w:hAnsi="Univers 55"/>
                    <w:sz w:val="15"/>
                    <w:szCs w:val="15"/>
                  </w:rPr>
                  <w:fldChar w:fldCharType="separate"/>
                </w:r>
                <w:r w:rsidR="00055F48">
                  <w:rPr>
                    <w:rFonts w:ascii="Univers 55" w:hAnsi="Univers 55"/>
                    <w:sz w:val="15"/>
                    <w:szCs w:val="15"/>
                  </w:rPr>
                  <w:t xml:space="preserve">© 2014 KPMG, an Australian partnership and a member firm of the KPMG network of independent member firms affiliated with KPMG International Cooperative (“KPMG International”), a Swiss entity. </w:t>
                </w:r>
                <w:r w:rsidR="00055F48">
                  <w:rPr>
                    <w:rFonts w:ascii="Univers 55" w:hAnsi="Univers 55"/>
                    <w:sz w:val="15"/>
                    <w:szCs w:val="15"/>
                  </w:rPr>
                  <w:br/>
                  <w:t xml:space="preserve">All rights reserved.                                    </w:t>
                </w:r>
                <w:r w:rsidRPr="00F64ABE">
                  <w:rPr>
                    <w:rFonts w:ascii="Univers 55" w:hAnsi="Univers 55"/>
                    <w:sz w:val="15"/>
                    <w:szCs w:val="15"/>
                  </w:rPr>
                  <w:fldChar w:fldCharType="end"/>
                </w:r>
                <w:r>
                  <w:rPr>
                    <w:rFonts w:ascii="Univers 55" w:hAnsi="Univers 55"/>
                    <w:sz w:val="12"/>
                  </w:rPr>
                  <w:fldChar w:fldCharType="begin"/>
                </w:r>
                <w:r w:rsidR="00055F48">
                  <w:rPr>
                    <w:rFonts w:ascii="Univers 55" w:hAnsi="Univers 55"/>
                    <w:sz w:val="12"/>
                  </w:rPr>
                  <w:instrText xml:space="preserve"> DOCPROPERTY  KISFirmCopyright2 </w:instrText>
                </w:r>
                <w:r>
                  <w:rPr>
                    <w:rFonts w:ascii="Univers 55" w:hAnsi="Univers 55"/>
                    <w:sz w:val="12"/>
                  </w:rPr>
                  <w:fldChar w:fldCharType="separate"/>
                </w:r>
                <w:r w:rsidR="00055F48">
                  <w:rPr>
                    <w:rFonts w:ascii="Univers 55" w:hAnsi="Univers 55"/>
                    <w:sz w:val="12"/>
                  </w:rPr>
                  <w:br/>
                  <w:t>KPMG and the KPMG logo are registered trademarks of KPMG International.</w:t>
                </w:r>
                <w:r>
                  <w:rPr>
                    <w:rFonts w:ascii="Univers 55" w:hAnsi="Univers 55"/>
                    <w:sz w:val="12"/>
                  </w:rPr>
                  <w:fldChar w:fldCharType="end"/>
                </w:r>
                <w:r w:rsidRPr="002336D9">
                  <w:rPr>
                    <w:rFonts w:ascii="Univers 55" w:hAnsi="Univers 55"/>
                    <w:sz w:val="15"/>
                    <w:szCs w:val="15"/>
                  </w:rPr>
                  <w:fldChar w:fldCharType="begin"/>
                </w:r>
                <w:r w:rsidR="00055F48" w:rsidRPr="002336D9">
                  <w:rPr>
                    <w:rFonts w:ascii="Univers 55" w:hAnsi="Univers 55"/>
                    <w:sz w:val="15"/>
                    <w:szCs w:val="15"/>
                  </w:rPr>
                  <w:instrText xml:space="preserve"> IF </w:instrText>
                </w:r>
                <w:r w:rsidRPr="002336D9">
                  <w:rPr>
                    <w:rFonts w:ascii="Univers 55" w:hAnsi="Univers 55"/>
                    <w:sz w:val="15"/>
                    <w:szCs w:val="15"/>
                  </w:rPr>
                  <w:fldChar w:fldCharType="begin"/>
                </w:r>
                <w:r w:rsidR="00055F48" w:rsidRPr="002336D9">
                  <w:rPr>
                    <w:rFonts w:ascii="Univers 55" w:hAnsi="Univers 55"/>
                    <w:sz w:val="15"/>
                    <w:szCs w:val="15"/>
                  </w:rPr>
                  <w:instrText xml:space="preserve"> DOCPROPERTY  KISSvcInfoC </w:instrText>
                </w:r>
                <w:r w:rsidRPr="002336D9">
                  <w:rPr>
                    <w:rFonts w:ascii="Univers 55" w:hAnsi="Univers 55"/>
                    <w:sz w:val="15"/>
                    <w:szCs w:val="15"/>
                  </w:rPr>
                  <w:fldChar w:fldCharType="separate"/>
                </w:r>
                <w:r w:rsidR="00055F48">
                  <w:rPr>
                    <w:rFonts w:ascii="Univers 55" w:hAnsi="Univers 55"/>
                    <w:sz w:val="15"/>
                    <w:szCs w:val="15"/>
                  </w:rPr>
                  <w:instrText>Liability limited by a scheme approved under Professional Standards Legislation.</w:instrText>
                </w:r>
                <w:r w:rsidRPr="002336D9">
                  <w:rPr>
                    <w:rFonts w:ascii="Univers 55" w:hAnsi="Univers 55"/>
                    <w:sz w:val="15"/>
                    <w:szCs w:val="15"/>
                  </w:rPr>
                  <w:fldChar w:fldCharType="end"/>
                </w:r>
                <w:r w:rsidR="00055F48" w:rsidRPr="002336D9">
                  <w:rPr>
                    <w:rFonts w:ascii="Univers 55" w:hAnsi="Univers 55"/>
                    <w:sz w:val="15"/>
                    <w:szCs w:val="15"/>
                  </w:rPr>
                  <w:instrText xml:space="preserve"> &lt;&gt; """</w:instrText>
                </w:r>
                <w:r w:rsidR="00055F48" w:rsidRPr="002336D9">
                  <w:rPr>
                    <w:rFonts w:ascii="Univers 55" w:hAnsi="Univers 55"/>
                    <w:sz w:val="15"/>
                    <w:szCs w:val="15"/>
                  </w:rPr>
                  <w:br/>
                  <w:instrText xml:space="preserve"> </w:instrText>
                </w:r>
                <w:r w:rsidRPr="002336D9">
                  <w:rPr>
                    <w:rFonts w:ascii="Univers 55" w:hAnsi="Univers 55"/>
                    <w:sz w:val="15"/>
                    <w:szCs w:val="15"/>
                  </w:rPr>
                  <w:fldChar w:fldCharType="begin"/>
                </w:r>
                <w:r w:rsidR="00055F48" w:rsidRPr="002336D9">
                  <w:rPr>
                    <w:rFonts w:ascii="Univers 55" w:hAnsi="Univers 55"/>
                    <w:sz w:val="15"/>
                    <w:szCs w:val="15"/>
                  </w:rPr>
                  <w:instrText xml:space="preserve"> DOCPROPERTY  KISSvcInfoC </w:instrText>
                </w:r>
                <w:r w:rsidRPr="002336D9">
                  <w:rPr>
                    <w:rFonts w:ascii="Univers 55" w:hAnsi="Univers 55"/>
                    <w:sz w:val="15"/>
                    <w:szCs w:val="15"/>
                  </w:rPr>
                  <w:fldChar w:fldCharType="separate"/>
                </w:r>
                <w:r w:rsidR="00055F48">
                  <w:rPr>
                    <w:rFonts w:ascii="Univers 55" w:hAnsi="Univers 55"/>
                    <w:sz w:val="15"/>
                    <w:szCs w:val="15"/>
                  </w:rPr>
                  <w:instrText>Liability limited by a scheme approved under Professional Standards Legislation.</w:instrText>
                </w:r>
                <w:r w:rsidRPr="002336D9">
                  <w:rPr>
                    <w:rFonts w:ascii="Univers 55" w:hAnsi="Univers 55"/>
                    <w:sz w:val="15"/>
                    <w:szCs w:val="15"/>
                  </w:rPr>
                  <w:fldChar w:fldCharType="end"/>
                </w:r>
                <w:r w:rsidRPr="002336D9">
                  <w:rPr>
                    <w:rFonts w:ascii="Univers 55" w:hAnsi="Univers 55"/>
                    <w:sz w:val="15"/>
                    <w:szCs w:val="15"/>
                  </w:rPr>
                  <w:fldChar w:fldCharType="separate"/>
                </w:r>
                <w:r w:rsidR="00055F48" w:rsidRPr="002336D9">
                  <w:rPr>
                    <w:rFonts w:ascii="Univers 55" w:hAnsi="Univers 55"/>
                    <w:noProof/>
                    <w:sz w:val="15"/>
                    <w:szCs w:val="15"/>
                  </w:rPr>
                  <w:br/>
                  <w:t xml:space="preserve"> </w:t>
                </w:r>
                <w:r w:rsidR="00055F48">
                  <w:rPr>
                    <w:rFonts w:ascii="Univers 55" w:hAnsi="Univers 55"/>
                    <w:noProof/>
                    <w:sz w:val="15"/>
                    <w:szCs w:val="15"/>
                  </w:rPr>
                  <w:t>Liability limited by a scheme approved under Professional Standards Legislation.</w:t>
                </w:r>
                <w:r w:rsidRPr="002336D9">
                  <w:rPr>
                    <w:rFonts w:ascii="Univers 55" w:hAnsi="Univers 55"/>
                    <w:sz w:val="15"/>
                    <w:szCs w:val="15"/>
                  </w:rPr>
                  <w:fldChar w:fldCharType="end"/>
                </w:r>
              </w:p>
              <w:p w:rsidR="00055F48" w:rsidRPr="00AC5F4D" w:rsidRDefault="00055F48" w:rsidP="00AC5F4D"/>
            </w:txbxContent>
          </v:textbox>
          <w10:wrap anchory="page"/>
        </v:shape>
      </w:pict>
    </w:r>
    <w:r>
      <w:rPr>
        <w:rStyle w:val="PageNumber"/>
      </w:rPr>
      <w:fldChar w:fldCharType="begin"/>
    </w:r>
    <w:r w:rsidR="00055F48">
      <w:rPr>
        <w:rStyle w:val="PageNumber"/>
      </w:rPr>
      <w:instrText xml:space="preserve"> PAGE </w:instrText>
    </w:r>
    <w:r>
      <w:rPr>
        <w:rStyle w:val="PageNumber"/>
      </w:rPr>
      <w:fldChar w:fldCharType="separate"/>
    </w:r>
    <w:r w:rsidR="00055F48">
      <w:rPr>
        <w:rStyle w:val="PageNumber"/>
        <w:noProof/>
      </w:rPr>
      <w:t>6</w:t>
    </w:r>
    <w:r>
      <w:rPr>
        <w:rStyle w:val="PageNumber"/>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5F48" w:rsidRDefault="00586F30">
    <w:pPr>
      <w:pStyle w:val="Footer"/>
      <w:framePr w:hSpace="181" w:wrap="around" w:vAnchor="text" w:hAnchor="text" w:xAlign="right" w:y="1"/>
    </w:pPr>
    <w:r>
      <w:rPr>
        <w:rStyle w:val="PageNumber"/>
      </w:rPr>
      <w:fldChar w:fldCharType="begin"/>
    </w:r>
    <w:r w:rsidR="00055F48">
      <w:rPr>
        <w:rStyle w:val="PageNumber"/>
      </w:rPr>
      <w:instrText xml:space="preserve"> PAGE </w:instrText>
    </w:r>
    <w:r>
      <w:rPr>
        <w:rStyle w:val="PageNumber"/>
      </w:rPr>
      <w:fldChar w:fldCharType="separate"/>
    </w:r>
    <w:r w:rsidR="00096E01">
      <w:rPr>
        <w:rStyle w:val="PageNumber"/>
        <w:noProof/>
      </w:rPr>
      <w:t>75</w:t>
    </w:r>
    <w:r>
      <w:rPr>
        <w:rStyle w:val="PageNumber"/>
      </w:rPr>
      <w:fldChar w:fldCharType="end"/>
    </w:r>
  </w:p>
  <w:p w:rsidR="00055F48" w:rsidRDefault="00586F30">
    <w:pPr>
      <w:pStyle w:val="Footer"/>
    </w:pPr>
    <w:r w:rsidRPr="00586F30">
      <w:rPr>
        <w:noProof/>
        <w:sz w:val="20"/>
        <w:lang w:eastAsia="en-AU"/>
      </w:rPr>
      <w:pict>
        <v:shapetype id="_x0000_t202" coordsize="21600,21600" o:spt="202" path="m,l,21600r21600,l21600,xe">
          <v:stroke joinstyle="miter"/>
          <v:path gradientshapeok="t" o:connecttype="rect"/>
        </v:shapetype>
        <v:shape id="Text Box 2" o:spid="_x0000_s2056" type="#_x0000_t202" style="position:absolute;margin-left:0;margin-top:0;width:383.55pt;height:58.7pt;z-index:251658240;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" filled="f" stroked="f">
          <v:textbox>
            <w:txbxContent>
              <w:p w:rsidR="00055F48" w:rsidRDefault="00586F30" w:rsidP="00077C9D">
                <w:pPr>
                  <w:jc w:val="center"/>
                  <w:rPr>
                    <w:rFonts w:ascii="Univers 55" w:hAnsi="Univers 55"/>
                    <w:sz w:val="12"/>
                  </w:rPr>
                </w:pPr>
                <w:r w:rsidRPr="00F64ABE">
                  <w:rPr>
                    <w:rFonts w:ascii="Univers 55" w:hAnsi="Univers 55"/>
                    <w:sz w:val="15"/>
                    <w:szCs w:val="15"/>
                  </w:rPr>
                  <w:fldChar w:fldCharType="begin"/>
                </w:r>
                <w:r w:rsidR="00055F48" w:rsidRPr="00F64ABE">
                  <w:rPr>
                    <w:rFonts w:ascii="Univers 55" w:hAnsi="Univers 55"/>
                    <w:sz w:val="15"/>
                    <w:szCs w:val="15"/>
                  </w:rPr>
                  <w:instrText xml:space="preserve"> DOCPROPERTY  KISFirmCopyright </w:instrText>
                </w:r>
                <w:r w:rsidRPr="00F64ABE">
                  <w:rPr>
                    <w:rFonts w:ascii="Univers 55" w:hAnsi="Univers 55"/>
                    <w:sz w:val="15"/>
                    <w:szCs w:val="15"/>
                  </w:rPr>
                  <w:fldChar w:fldCharType="separate"/>
                </w:r>
                <w:r w:rsidR="00055F48">
                  <w:rPr>
                    <w:rFonts w:ascii="Univers 55" w:hAnsi="Univers 55"/>
                    <w:sz w:val="15"/>
                    <w:szCs w:val="15"/>
                  </w:rPr>
                  <w:t xml:space="preserve">© 2014 KPMG, an Australian partnership and a member firm of the KPMG network of independent member firms affiliated with KPMG International Cooperative (“KPMG International”), a Swiss entity. </w:t>
                </w:r>
                <w:r w:rsidR="00055F48">
                  <w:rPr>
                    <w:rFonts w:ascii="Univers 55" w:hAnsi="Univers 55"/>
                    <w:sz w:val="15"/>
                    <w:szCs w:val="15"/>
                  </w:rPr>
                  <w:br/>
                  <w:t xml:space="preserve">All rights reserved.                                    </w:t>
                </w:r>
                <w:r w:rsidRPr="00F64ABE">
                  <w:rPr>
                    <w:rFonts w:ascii="Univers 55" w:hAnsi="Univers 55"/>
                    <w:sz w:val="15"/>
                    <w:szCs w:val="15"/>
                  </w:rPr>
                  <w:fldChar w:fldCharType="end"/>
                </w:r>
                <w:r>
                  <w:rPr>
                    <w:rFonts w:ascii="Univers 55" w:hAnsi="Univers 55"/>
                    <w:sz w:val="12"/>
                  </w:rPr>
                  <w:fldChar w:fldCharType="begin"/>
                </w:r>
                <w:r w:rsidR="00055F48">
                  <w:rPr>
                    <w:rFonts w:ascii="Univers 55" w:hAnsi="Univers 55"/>
                    <w:sz w:val="12"/>
                  </w:rPr>
                  <w:instrText xml:space="preserve"> DOCPROPERTY  KISFirmCopyright2 </w:instrText>
                </w:r>
                <w:r>
                  <w:rPr>
                    <w:rFonts w:ascii="Univers 55" w:hAnsi="Univers 55"/>
                    <w:sz w:val="12"/>
                  </w:rPr>
                  <w:fldChar w:fldCharType="separate"/>
                </w:r>
                <w:r w:rsidR="00055F48">
                  <w:rPr>
                    <w:rFonts w:ascii="Univers 55" w:hAnsi="Univers 55"/>
                    <w:sz w:val="12"/>
                  </w:rPr>
                  <w:br/>
                  <w:t>KPMG and the KPMG logo are registered trademarks of KPMG International.</w:t>
                </w:r>
                <w:r>
                  <w:rPr>
                    <w:rFonts w:ascii="Univers 55" w:hAnsi="Univers 55"/>
                    <w:sz w:val="12"/>
                  </w:rPr>
                  <w:fldChar w:fldCharType="end"/>
                </w:r>
                <w:r w:rsidRPr="002336D9">
                  <w:rPr>
                    <w:rFonts w:ascii="Univers 55" w:hAnsi="Univers 55"/>
                    <w:sz w:val="15"/>
                    <w:szCs w:val="15"/>
                  </w:rPr>
                  <w:fldChar w:fldCharType="begin"/>
                </w:r>
                <w:r w:rsidR="00055F48" w:rsidRPr="002336D9">
                  <w:rPr>
                    <w:rFonts w:ascii="Univers 55" w:hAnsi="Univers 55"/>
                    <w:sz w:val="15"/>
                    <w:szCs w:val="15"/>
                  </w:rPr>
                  <w:instrText xml:space="preserve"> IF </w:instrText>
                </w:r>
                <w:r w:rsidRPr="002336D9">
                  <w:rPr>
                    <w:rFonts w:ascii="Univers 55" w:hAnsi="Univers 55"/>
                    <w:sz w:val="15"/>
                    <w:szCs w:val="15"/>
                  </w:rPr>
                  <w:fldChar w:fldCharType="begin"/>
                </w:r>
                <w:r w:rsidR="00055F48" w:rsidRPr="002336D9">
                  <w:rPr>
                    <w:rFonts w:ascii="Univers 55" w:hAnsi="Univers 55"/>
                    <w:sz w:val="15"/>
                    <w:szCs w:val="15"/>
                  </w:rPr>
                  <w:instrText xml:space="preserve"> DOCPROPERTY  KISSvcInfoC </w:instrText>
                </w:r>
                <w:r w:rsidRPr="002336D9">
                  <w:rPr>
                    <w:rFonts w:ascii="Univers 55" w:hAnsi="Univers 55"/>
                    <w:sz w:val="15"/>
                    <w:szCs w:val="15"/>
                  </w:rPr>
                  <w:fldChar w:fldCharType="separate"/>
                </w:r>
                <w:r w:rsidR="00055F48">
                  <w:rPr>
                    <w:rFonts w:ascii="Univers 55" w:hAnsi="Univers 55"/>
                    <w:sz w:val="15"/>
                    <w:szCs w:val="15"/>
                  </w:rPr>
                  <w:instrText>Liability limited by a scheme approved under Professional Standards Legislation.</w:instrText>
                </w:r>
                <w:r w:rsidRPr="002336D9">
                  <w:rPr>
                    <w:rFonts w:ascii="Univers 55" w:hAnsi="Univers 55"/>
                    <w:sz w:val="15"/>
                    <w:szCs w:val="15"/>
                  </w:rPr>
                  <w:fldChar w:fldCharType="end"/>
                </w:r>
                <w:r w:rsidR="00055F48" w:rsidRPr="002336D9">
                  <w:rPr>
                    <w:rFonts w:ascii="Univers 55" w:hAnsi="Univers 55"/>
                    <w:sz w:val="15"/>
                    <w:szCs w:val="15"/>
                  </w:rPr>
                  <w:instrText xml:space="preserve"> &lt;&gt; """</w:instrText>
                </w:r>
                <w:r w:rsidR="00055F48" w:rsidRPr="002336D9">
                  <w:rPr>
                    <w:rFonts w:ascii="Univers 55" w:hAnsi="Univers 55"/>
                    <w:sz w:val="15"/>
                    <w:szCs w:val="15"/>
                  </w:rPr>
                  <w:br/>
                  <w:instrText xml:space="preserve"> </w:instrText>
                </w:r>
                <w:r w:rsidRPr="002336D9">
                  <w:rPr>
                    <w:rFonts w:ascii="Univers 55" w:hAnsi="Univers 55"/>
                    <w:sz w:val="15"/>
                    <w:szCs w:val="15"/>
                  </w:rPr>
                  <w:fldChar w:fldCharType="begin"/>
                </w:r>
                <w:r w:rsidR="00055F48" w:rsidRPr="002336D9">
                  <w:rPr>
                    <w:rFonts w:ascii="Univers 55" w:hAnsi="Univers 55"/>
                    <w:sz w:val="15"/>
                    <w:szCs w:val="15"/>
                  </w:rPr>
                  <w:instrText xml:space="preserve"> DOCPROPERTY  KISSvcInfoC </w:instrText>
                </w:r>
                <w:r w:rsidRPr="002336D9">
                  <w:rPr>
                    <w:rFonts w:ascii="Univers 55" w:hAnsi="Univers 55"/>
                    <w:sz w:val="15"/>
                    <w:szCs w:val="15"/>
                  </w:rPr>
                  <w:fldChar w:fldCharType="separate"/>
                </w:r>
                <w:r w:rsidR="00055F48">
                  <w:rPr>
                    <w:rFonts w:ascii="Univers 55" w:hAnsi="Univers 55"/>
                    <w:sz w:val="15"/>
                    <w:szCs w:val="15"/>
                  </w:rPr>
                  <w:instrText>Liability limited by a scheme approved under Professional Standards Legislation.</w:instrText>
                </w:r>
                <w:r w:rsidRPr="002336D9">
                  <w:rPr>
                    <w:rFonts w:ascii="Univers 55" w:hAnsi="Univers 55"/>
                    <w:sz w:val="15"/>
                    <w:szCs w:val="15"/>
                  </w:rPr>
                  <w:fldChar w:fldCharType="end"/>
                </w:r>
                <w:r w:rsidRPr="002336D9">
                  <w:rPr>
                    <w:rFonts w:ascii="Univers 55" w:hAnsi="Univers 55"/>
                    <w:sz w:val="15"/>
                    <w:szCs w:val="15"/>
                  </w:rPr>
                  <w:fldChar w:fldCharType="separate"/>
                </w:r>
                <w:r w:rsidR="00055F48" w:rsidRPr="002336D9">
                  <w:rPr>
                    <w:rFonts w:ascii="Univers 55" w:hAnsi="Univers 55"/>
                    <w:noProof/>
                    <w:sz w:val="15"/>
                    <w:szCs w:val="15"/>
                  </w:rPr>
                  <w:br/>
                  <w:t xml:space="preserve"> </w:t>
                </w:r>
                <w:r w:rsidR="00055F48">
                  <w:rPr>
                    <w:rFonts w:ascii="Univers 55" w:hAnsi="Univers 55"/>
                    <w:noProof/>
                    <w:sz w:val="15"/>
                    <w:szCs w:val="15"/>
                  </w:rPr>
                  <w:t>Liability limited by a scheme approved under Professional Standards Legislation.</w:t>
                </w:r>
                <w:r w:rsidRPr="002336D9">
                  <w:rPr>
                    <w:rFonts w:ascii="Univers 55" w:hAnsi="Univers 55"/>
                    <w:sz w:val="15"/>
                    <w:szCs w:val="15"/>
                  </w:rPr>
                  <w:fldChar w:fldCharType="end"/>
                </w:r>
              </w:p>
              <w:p w:rsidR="00055F48" w:rsidRPr="00AC5F4D" w:rsidRDefault="00055F48" w:rsidP="00AC5F4D"/>
            </w:txbxContent>
          </v:textbox>
          <w10:wrap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55F48" w:rsidRDefault="00055F48">
      <w:r>
        <w:separator/>
      </w:r>
    </w:p>
  </w:footnote>
  <w:footnote w:type="continuationSeparator" w:id="0">
    <w:p w:rsidR="00055F48" w:rsidRDefault="00055F48">
      <w:r>
        <w:continuationSeparator/>
      </w:r>
    </w:p>
  </w:footnote>
  <w:footnote w:id="1">
    <w:p w:rsidR="00055F48" w:rsidRDefault="00055F48" w:rsidP="00BB3DC4">
      <w:pPr>
        <w:pStyle w:val="FootnoteText"/>
      </w:pPr>
      <w:r>
        <w:rPr>
          <w:rStyle w:val="FootnoteReference"/>
        </w:rPr>
        <w:footnoteRef/>
      </w:r>
      <w:r>
        <w:t xml:space="preserve"> The cost of disassembly is based on extensive research of the RAC equipment supply chain and consultation with industry stakeholders. Further detail is outlined in KPMG (2014). Some industry stakeholders indicated that the cost of disassembly could be up to $60 per unit. However, this cost includes the cost of degassing which is captured in the costs associated with the retailer take back scheme. </w:t>
      </w:r>
    </w:p>
  </w:footnote>
  <w:footnote w:id="2">
    <w:p w:rsidR="00055F48" w:rsidRDefault="00055F48">
      <w:pPr>
        <w:pStyle w:val="FootnoteText"/>
      </w:pPr>
      <w:r>
        <w:rPr>
          <w:rStyle w:val="FootnoteReference"/>
        </w:rPr>
        <w:footnoteRef/>
      </w:r>
      <w:r>
        <w:t xml:space="preserve"> BDA Group (2009) </w:t>
      </w:r>
      <w:r>
        <w:rPr>
          <w:i/>
        </w:rPr>
        <w:t xml:space="preserve">The full cost of landfill disposal in Australia, </w:t>
      </w:r>
      <w:r>
        <w:t>report prepared for the Department of the Environment Heritage and the Arts</w:t>
      </w:r>
    </w:p>
  </w:footnote>
  <w:footnote w:id="3">
    <w:p w:rsidR="00055F48" w:rsidRDefault="00055F48">
      <w:pPr>
        <w:pStyle w:val="FootnoteText"/>
      </w:pPr>
      <w:r>
        <w:rPr>
          <w:rStyle w:val="FootnoteReference"/>
        </w:rPr>
        <w:footnoteRef/>
      </w:r>
      <w:r>
        <w:t xml:space="preserve"> A landfill levy is charged for disposal of RAC </w:t>
      </w:r>
      <w:proofErr w:type="gramStart"/>
      <w:r>
        <w:t>equipment,</w:t>
      </w:r>
      <w:proofErr w:type="gramEnd"/>
      <w:r>
        <w:t xml:space="preserve"> however, this levy is used to cover the cost of waste management. For the purpose of the analysis, the landfill levy is treated as a transfer payment between parties and, therefore is not included. </w:t>
      </w:r>
    </w:p>
  </w:footnote>
  <w:footnote w:id="4">
    <w:p w:rsidR="00055F48" w:rsidRDefault="00055F48">
      <w:pPr>
        <w:pStyle w:val="FootnoteText"/>
      </w:pPr>
      <w:r>
        <w:rPr>
          <w:rStyle w:val="FootnoteReference"/>
        </w:rPr>
        <w:footnoteRef/>
      </w:r>
      <w:r>
        <w:t xml:space="preserve">  The value of resources recovered is based on extensive research of the RAC equipment supply chain and consultation with industry stakeholders. Further detail is outlined in KPMG (2014).</w:t>
      </w:r>
    </w:p>
  </w:footnote>
  <w:footnote w:id="5">
    <w:p w:rsidR="00055F48" w:rsidRPr="00E25C35" w:rsidRDefault="00055F48">
      <w:pPr>
        <w:pStyle w:val="FootnoteText"/>
      </w:pPr>
      <w:r>
        <w:rPr>
          <w:rStyle w:val="FootnoteReference"/>
        </w:rPr>
        <w:footnoteRef/>
      </w:r>
      <w:r>
        <w:t xml:space="preserve"> PricewaterhouseCoopers and </w:t>
      </w:r>
      <w:proofErr w:type="spellStart"/>
      <w:r>
        <w:t>Hyder</w:t>
      </w:r>
      <w:proofErr w:type="spellEnd"/>
      <w:r>
        <w:t xml:space="preserve"> Consulting (2009), </w:t>
      </w:r>
      <w:r>
        <w:rPr>
          <w:i/>
        </w:rPr>
        <w:t xml:space="preserve">Decision Regulatory Impact Statement Televisions and Computers, </w:t>
      </w:r>
      <w:r>
        <w:t xml:space="preserve">report prepared for Environment Protection and Heritage Council. </w:t>
      </w:r>
    </w:p>
  </w:footnote>
  <w:footnote w:id="6">
    <w:p w:rsidR="00055F48" w:rsidRPr="00AE2473" w:rsidRDefault="00055F48" w:rsidP="00AE2473">
      <w:pPr>
        <w:pStyle w:val="FootnoteText"/>
      </w:pPr>
      <w:r>
        <w:rPr>
          <w:rStyle w:val="FootnoteReference"/>
        </w:rPr>
        <w:footnoteRef/>
      </w:r>
      <w:r>
        <w:t xml:space="preserve"> PwC and </w:t>
      </w:r>
      <w:proofErr w:type="spellStart"/>
      <w:r>
        <w:t>Hyder</w:t>
      </w:r>
      <w:proofErr w:type="spellEnd"/>
      <w:r>
        <w:t xml:space="preserve"> Consulting 2009, </w:t>
      </w:r>
      <w:r>
        <w:rPr>
          <w:i/>
        </w:rPr>
        <w:t xml:space="preserve">Decision Regulatory Impact Statement: Televisions and Computers, </w:t>
      </w:r>
      <w:r>
        <w:t xml:space="preserve">report prepared for the Environment Protection and Heritage Council, October. </w:t>
      </w:r>
    </w:p>
  </w:footnote>
  <w:footnote w:id="7">
    <w:p w:rsidR="00055F48" w:rsidRDefault="00055F48">
      <w:pPr>
        <w:pStyle w:val="FootnoteText"/>
      </w:pPr>
      <w:r>
        <w:rPr>
          <w:rStyle w:val="FootnoteReference"/>
        </w:rPr>
        <w:footnoteRef/>
      </w:r>
      <w:r>
        <w:t xml:space="preserve"> It is noted that a number of air conditioners do not contain refrigerant gases. </w:t>
      </w:r>
    </w:p>
  </w:footnote>
  <w:footnote w:id="8">
    <w:p w:rsidR="00055F48" w:rsidRDefault="00055F48">
      <w:pPr>
        <w:pStyle w:val="FootnoteText"/>
      </w:pPr>
      <w:r>
        <w:rPr>
          <w:rStyle w:val="FootnoteReference"/>
        </w:rPr>
        <w:footnoteRef/>
      </w:r>
      <w:r>
        <w:t xml:space="preserve"> </w:t>
      </w:r>
      <w:r w:rsidRPr="00445FE6">
        <w:t xml:space="preserve">KPMG 2014, </w:t>
      </w:r>
      <w:r w:rsidRPr="00445FE6">
        <w:rPr>
          <w:i/>
          <w:iCs/>
        </w:rPr>
        <w:t xml:space="preserve">End-of-life domestic refrigeration and air conditioning equipment in Australia, </w:t>
      </w:r>
      <w:r w:rsidRPr="00445FE6">
        <w:t>report prepared for the Department of the Environment</w:t>
      </w:r>
    </w:p>
  </w:footnote>
  <w:footnote w:id="9">
    <w:p w:rsidR="00055F48" w:rsidRDefault="00055F48">
      <w:pPr>
        <w:pStyle w:val="FootnoteText"/>
      </w:pPr>
      <w:r>
        <w:rPr>
          <w:rStyle w:val="FootnoteReference"/>
        </w:rPr>
        <w:footnoteRef/>
      </w:r>
      <w:r>
        <w:t xml:space="preserve"> It is recognised that this equipment does not contain refrigerant. </w:t>
      </w:r>
    </w:p>
  </w:footnote>
  <w:footnote w:id="10">
    <w:p w:rsidR="00055F48" w:rsidRDefault="00055F48" w:rsidP="00913369">
      <w:pPr>
        <w:pStyle w:val="FootnoteText"/>
      </w:pPr>
      <w:r>
        <w:rPr>
          <w:rStyle w:val="FootnoteReference"/>
        </w:rPr>
        <w:footnoteRef/>
      </w:r>
      <w:r>
        <w:t xml:space="preserve"> </w:t>
      </w:r>
      <w:r w:rsidRPr="00445FE6">
        <w:t xml:space="preserve">KPMG 2014, </w:t>
      </w:r>
      <w:r w:rsidRPr="00445FE6">
        <w:rPr>
          <w:i/>
          <w:iCs/>
        </w:rPr>
        <w:t xml:space="preserve">End-of-life domestic refrigeration and air conditioning equipment in Australia, </w:t>
      </w:r>
      <w:r w:rsidRPr="00445FE6">
        <w:t>report prepared for the Department of the Environment</w:t>
      </w:r>
    </w:p>
    <w:p w:rsidR="00055F48" w:rsidRPr="00A7618E" w:rsidRDefault="00055F48">
      <w:pPr>
        <w:pStyle w:val="FootnoteText"/>
        <w:rPr>
          <w:i/>
        </w:rPr>
      </w:pPr>
    </w:p>
  </w:footnote>
  <w:footnote w:id="11">
    <w:p w:rsidR="00055F48" w:rsidRDefault="00055F48" w:rsidP="00137325">
      <w:pPr>
        <w:pStyle w:val="FootnoteText"/>
      </w:pPr>
      <w:r>
        <w:rPr>
          <w:rStyle w:val="FootnoteReference"/>
        </w:rPr>
        <w:footnoteRef/>
      </w:r>
      <w:r>
        <w:t xml:space="preserve"> </w:t>
      </w:r>
      <w:proofErr w:type="gramStart"/>
      <w:r>
        <w:t>Based on consultation with industry.</w:t>
      </w:r>
      <w:proofErr w:type="gramEnd"/>
    </w:p>
  </w:footnote>
  <w:footnote w:id="12">
    <w:p w:rsidR="00055F48" w:rsidRDefault="00055F48">
      <w:pPr>
        <w:pStyle w:val="FootnoteText"/>
      </w:pPr>
      <w:r>
        <w:rPr>
          <w:rStyle w:val="FootnoteReference"/>
        </w:rPr>
        <w:footnoteRef/>
      </w:r>
      <w:r>
        <w:t xml:space="preserve"> </w:t>
      </w:r>
      <w:proofErr w:type="gramStart"/>
      <w:r>
        <w:t>Based on consultation with industry.</w:t>
      </w:r>
      <w:proofErr w:type="gramEnd"/>
    </w:p>
  </w:footnote>
  <w:footnote w:id="13">
    <w:p w:rsidR="00055F48" w:rsidRDefault="00055F48">
      <w:pPr>
        <w:pStyle w:val="FootnoteText"/>
      </w:pPr>
      <w:r>
        <w:rPr>
          <w:rStyle w:val="FootnoteReference"/>
        </w:rPr>
        <w:footnoteRef/>
      </w:r>
      <w:r>
        <w:t xml:space="preserve"> </w:t>
      </w:r>
      <w:r w:rsidRPr="00445FE6">
        <w:t>KPMG 201</w:t>
      </w:r>
      <w:r>
        <w:t>2</w:t>
      </w:r>
      <w:r w:rsidRPr="00445FE6">
        <w:t xml:space="preserve">, </w:t>
      </w:r>
      <w:r>
        <w:rPr>
          <w:i/>
          <w:iCs/>
        </w:rPr>
        <w:t>Stage 1 Report – the Australian Foam Blowing and Foam Products Industry</w:t>
      </w:r>
      <w:r w:rsidRPr="00445FE6">
        <w:rPr>
          <w:i/>
          <w:iCs/>
        </w:rPr>
        <w:t xml:space="preserve">, </w:t>
      </w:r>
      <w:r w:rsidRPr="00445FE6">
        <w:t>report prepared for the Department of the Environment</w:t>
      </w:r>
    </w:p>
  </w:footnote>
  <w:footnote w:id="14">
    <w:p w:rsidR="00055F48" w:rsidRPr="00A7618E" w:rsidRDefault="00055F48">
      <w:pPr>
        <w:pStyle w:val="FootnoteText"/>
        <w:rPr>
          <w:i/>
        </w:rPr>
      </w:pPr>
      <w:r>
        <w:rPr>
          <w:rStyle w:val="FootnoteReference"/>
        </w:rPr>
        <w:footnoteRef/>
      </w:r>
      <w:r>
        <w:t xml:space="preserve"> </w:t>
      </w:r>
      <w:r>
        <w:rPr>
          <w:i/>
        </w:rPr>
        <w:t>ibid.</w:t>
      </w:r>
    </w:p>
  </w:footnote>
  <w:footnote w:id="15">
    <w:p w:rsidR="00055F48" w:rsidRDefault="00055F48">
      <w:pPr>
        <w:pStyle w:val="FootnoteText"/>
      </w:pPr>
      <w:r>
        <w:rPr>
          <w:rStyle w:val="FootnoteReference"/>
        </w:rPr>
        <w:footnoteRef/>
      </w:r>
      <w:r>
        <w:t xml:space="preserve"> The types of material recovered or disposed of from RAC equipment at end-of-life is based on available literature and stakeholder discussions. </w:t>
      </w:r>
    </w:p>
  </w:footnote>
  <w:footnote w:id="16">
    <w:p w:rsidR="00055F48" w:rsidRDefault="00055F48" w:rsidP="00594660">
      <w:pPr>
        <w:pStyle w:val="FootnoteText"/>
      </w:pPr>
      <w:r>
        <w:rPr>
          <w:rStyle w:val="FootnoteReference"/>
        </w:rPr>
        <w:footnoteRef/>
      </w:r>
      <w:r>
        <w:t xml:space="preserve"> Based on advice from the Department of the Environment, the societal value of a reduction in emissions was assumed to be included in the value placed on the benefit of the increase in refrigerant recovery.</w:t>
      </w:r>
    </w:p>
  </w:footnote>
  <w:footnote w:id="17">
    <w:p w:rsidR="00055F48" w:rsidRDefault="00055F48" w:rsidP="00B45DB2">
      <w:pPr>
        <w:pStyle w:val="FootnoteText"/>
      </w:pPr>
      <w:r>
        <w:rPr>
          <w:rStyle w:val="FootnoteReference"/>
        </w:rPr>
        <w:footnoteRef/>
      </w:r>
      <w:r>
        <w:t xml:space="preserve"> The number of liable parties under the co-regulatory option is assumed to be 29. This represents an approximate threshold of 2,000 pieces of equipment per year. </w:t>
      </w:r>
    </w:p>
  </w:footnote>
  <w:footnote w:id="18">
    <w:p w:rsidR="00055F48" w:rsidRDefault="00055F48" w:rsidP="00B45DB2">
      <w:pPr>
        <w:pStyle w:val="FootnoteText"/>
      </w:pPr>
      <w:r>
        <w:rPr>
          <w:rStyle w:val="FootnoteReference"/>
        </w:rPr>
        <w:footnoteRef/>
      </w:r>
      <w:r>
        <w:t xml:space="preserve"> Under the mandatory option, the number of liable parties is assumed to be 754. This represents an estimate of the number of licence holders who imported domestic RAC equipment averaged over a three year period. </w:t>
      </w:r>
    </w:p>
  </w:footnote>
  <w:footnote w:id="19">
    <w:p w:rsidR="00055F48" w:rsidRDefault="00055F48">
      <w:pPr>
        <w:pStyle w:val="FootnoteText"/>
      </w:pPr>
      <w:r>
        <w:rPr>
          <w:rStyle w:val="FootnoteReference"/>
        </w:rPr>
        <w:footnoteRef/>
      </w:r>
      <w:r>
        <w:t xml:space="preserve"> Based on industry consultation as outlined in KPMG (2014)</w:t>
      </w:r>
    </w:p>
  </w:footnote>
  <w:footnote w:id="20">
    <w:p w:rsidR="00055F48" w:rsidRDefault="00055F48">
      <w:pPr>
        <w:pStyle w:val="FootnoteText"/>
      </w:pPr>
      <w:r>
        <w:rPr>
          <w:rStyle w:val="FootnoteReference"/>
        </w:rPr>
        <w:footnoteRef/>
      </w:r>
      <w:r>
        <w:t xml:space="preserve"> KPMG (2014)</w:t>
      </w:r>
    </w:p>
  </w:footnote>
  <w:footnote w:id="21">
    <w:p w:rsidR="00055F48" w:rsidRDefault="00055F48">
      <w:pPr>
        <w:pStyle w:val="FootnoteText"/>
      </w:pPr>
      <w:r>
        <w:rPr>
          <w:rStyle w:val="FootnoteReference"/>
        </w:rPr>
        <w:footnoteRef/>
      </w:r>
      <w:r>
        <w:t xml:space="preserve"> BDA Group (2009) </w:t>
      </w:r>
      <w:r>
        <w:rPr>
          <w:i/>
        </w:rPr>
        <w:t xml:space="preserve">The full cost of landfill disposal in Australia, </w:t>
      </w:r>
      <w:r>
        <w:t>report prepared for the Department of the Environment Heritage and the Arts</w:t>
      </w:r>
    </w:p>
  </w:footnote>
  <w:footnote w:id="22">
    <w:p w:rsidR="00055F48" w:rsidRDefault="00055F48">
      <w:pPr>
        <w:pStyle w:val="FootnoteText"/>
      </w:pPr>
      <w:r>
        <w:rPr>
          <w:rStyle w:val="FootnoteReference"/>
        </w:rPr>
        <w:footnoteRef/>
      </w:r>
      <w:r>
        <w:t xml:space="preserve"> </w:t>
      </w:r>
      <w:proofErr w:type="gramStart"/>
      <w:r>
        <w:t>Based on consultation with industry as outlined in KPMG (2014).</w:t>
      </w:r>
      <w:proofErr w:type="gramEnd"/>
      <w:r>
        <w:t xml:space="preserve"> </w:t>
      </w:r>
    </w:p>
  </w:footnote>
  <w:footnote w:id="23">
    <w:p w:rsidR="00055F48" w:rsidRDefault="00055F48">
      <w:pPr>
        <w:pStyle w:val="FootnoteText"/>
      </w:pPr>
      <w:r>
        <w:rPr>
          <w:rStyle w:val="FootnoteReference"/>
        </w:rPr>
        <w:footnoteRef/>
      </w:r>
      <w:r>
        <w:t xml:space="preserve"> </w:t>
      </w:r>
      <w:proofErr w:type="spellStart"/>
      <w:r w:rsidRPr="00E10441">
        <w:t>Rawtec</w:t>
      </w:r>
      <w:proofErr w:type="spellEnd"/>
      <w:r w:rsidRPr="00E10441">
        <w:t xml:space="preserve"> (2012), </w:t>
      </w:r>
      <w:r w:rsidRPr="00E10441">
        <w:rPr>
          <w:i/>
        </w:rPr>
        <w:t>Study on South Australian Plastics Packaging Resource Recovery Sector</w:t>
      </w:r>
      <w:r w:rsidRPr="00E10441">
        <w:t>, report prepared for Zero Waste SA, March</w:t>
      </w:r>
    </w:p>
  </w:footnote>
  <w:footnote w:id="24">
    <w:p w:rsidR="00055F48" w:rsidRPr="00127A5E" w:rsidRDefault="00055F48">
      <w:pPr>
        <w:pStyle w:val="FootnoteText"/>
      </w:pPr>
      <w:r>
        <w:rPr>
          <w:rStyle w:val="FootnoteReference"/>
        </w:rPr>
        <w:footnoteRef/>
      </w:r>
      <w:r>
        <w:t xml:space="preserve"> Expert Group 2013, </w:t>
      </w:r>
      <w:r>
        <w:rPr>
          <w:i/>
        </w:rPr>
        <w:t xml:space="preserve">Cold Hard Facts 2: A study of the refrigeration and air conditioning industry in Australia, </w:t>
      </w:r>
      <w:r>
        <w:t xml:space="preserve">report prepared for the Department of the Environment. </w:t>
      </w:r>
    </w:p>
  </w:footnote>
  <w:footnote w:id="25">
    <w:p w:rsidR="00055F48" w:rsidRDefault="00055F48">
      <w:pPr>
        <w:pStyle w:val="FootnoteText"/>
      </w:pPr>
      <w:r>
        <w:rPr>
          <w:rStyle w:val="FootnoteReference"/>
        </w:rPr>
        <w:footnoteRef/>
      </w:r>
      <w:r>
        <w:t xml:space="preserve"> Intergovernmental Panel on Climate Change 2007, </w:t>
      </w:r>
      <w:r>
        <w:rPr>
          <w:i/>
        </w:rPr>
        <w:t xml:space="preserve">IPCC Fourth Assessment Report: Climate Change 2007 (AR4). </w:t>
      </w:r>
      <w:r>
        <w:t xml:space="preserve"> </w:t>
      </w:r>
    </w:p>
  </w:footnote>
  <w:footnote w:id="26">
    <w:p w:rsidR="00055F48" w:rsidRPr="004071E5" w:rsidRDefault="00055F48">
      <w:pPr>
        <w:pStyle w:val="FootnoteText"/>
        <w:rPr>
          <w:i/>
        </w:rPr>
      </w:pPr>
      <w:r>
        <w:rPr>
          <w:rStyle w:val="FootnoteReference"/>
        </w:rPr>
        <w:footnoteRef/>
      </w:r>
      <w:r>
        <w:t xml:space="preserve"> </w:t>
      </w:r>
      <w:proofErr w:type="gramStart"/>
      <w:r>
        <w:t>The Committee for Economic Development in Australia</w:t>
      </w:r>
      <w:r w:rsidRPr="00E10441">
        <w:t>.</w:t>
      </w:r>
      <w:proofErr w:type="gramEnd"/>
      <w:r>
        <w:rPr>
          <w:i/>
        </w:rPr>
        <w:t xml:space="preserve"> </w:t>
      </w:r>
      <w:r w:rsidRPr="00E10441">
        <w:t>2014</w:t>
      </w:r>
      <w:r>
        <w:t xml:space="preserve">, </w:t>
      </w:r>
      <w:proofErr w:type="gramStart"/>
      <w:r>
        <w:rPr>
          <w:i/>
        </w:rPr>
        <w:t>The</w:t>
      </w:r>
      <w:proofErr w:type="gramEnd"/>
      <w:r>
        <w:rPr>
          <w:i/>
        </w:rPr>
        <w:t xml:space="preserve"> Economics of Climate Change, </w:t>
      </w:r>
      <w:r w:rsidRPr="00E10441">
        <w:t>June</w:t>
      </w:r>
      <w:r>
        <w:t xml:space="preserve">. </w:t>
      </w:r>
    </w:p>
  </w:footnote>
  <w:footnote w:id="27">
    <w:p w:rsidR="00055F48" w:rsidRDefault="00055F48">
      <w:pPr>
        <w:pStyle w:val="FootnoteText"/>
      </w:pPr>
      <w:r>
        <w:rPr>
          <w:rStyle w:val="FootnoteReference"/>
        </w:rPr>
        <w:footnoteRef/>
      </w:r>
      <w:r>
        <w:t xml:space="preserve"> CSIRO 2014, </w:t>
      </w:r>
      <w:r>
        <w:rPr>
          <w:i/>
        </w:rPr>
        <w:t xml:space="preserve">State of the Climate 2014, </w:t>
      </w:r>
      <w:r w:rsidRPr="00E10441">
        <w:t>accessed</w:t>
      </w:r>
      <w:r w:rsidRPr="00E10441">
        <w:rPr>
          <w:sz w:val="22"/>
        </w:rPr>
        <w:t xml:space="preserve"> at </w:t>
      </w:r>
      <w:r w:rsidRPr="00E10441">
        <w:t xml:space="preserve">http://www.csiro.au/Outcomes/Climate/Understanding/State-of-the-Climate-2014.aspx, 1 July 2014. </w:t>
      </w:r>
      <w:proofErr w:type="gramStart"/>
      <w:r w:rsidRPr="00E10441">
        <w:t>p.15.</w:t>
      </w:r>
      <w:proofErr w:type="gramEnd"/>
    </w:p>
  </w:footnote>
  <w:footnote w:id="28">
    <w:p w:rsidR="00055F48" w:rsidRPr="00674B58" w:rsidRDefault="00055F48">
      <w:pPr>
        <w:pStyle w:val="FootnoteText"/>
        <w:rPr>
          <w:i/>
        </w:rPr>
      </w:pPr>
      <w:r>
        <w:rPr>
          <w:rStyle w:val="FootnoteReference"/>
        </w:rPr>
        <w:footnoteRef/>
      </w:r>
      <w:r>
        <w:t xml:space="preserve"> </w:t>
      </w:r>
      <w:r>
        <w:rPr>
          <w:sz w:val="16"/>
        </w:rPr>
        <w:t xml:space="preserve">Australian Government 2014, </w:t>
      </w:r>
      <w:r>
        <w:rPr>
          <w:i/>
          <w:sz w:val="16"/>
        </w:rPr>
        <w:t xml:space="preserve">Review of the Renewable Energy Target, </w:t>
      </w:r>
      <w:hyperlink r:id="rId1" w:history="1">
        <w:r w:rsidRPr="00913628">
          <w:rPr>
            <w:rStyle w:val="Hyperlink"/>
            <w:i/>
            <w:sz w:val="16"/>
          </w:rPr>
          <w:t>https://retreview.dpmc.gov.au/</w:t>
        </w:r>
      </w:hyperlink>
      <w:r>
        <w:rPr>
          <w:i/>
          <w:sz w:val="16"/>
        </w:rPr>
        <w:t xml:space="preserve"> </w:t>
      </w:r>
    </w:p>
  </w:footnote>
  <w:footnote w:id="29">
    <w:p w:rsidR="00055F48" w:rsidRPr="00C23FCB" w:rsidRDefault="00055F48">
      <w:pPr>
        <w:pStyle w:val="FootnoteText"/>
      </w:pPr>
      <w:r>
        <w:rPr>
          <w:rStyle w:val="FootnoteReference"/>
        </w:rPr>
        <w:footnoteRef/>
      </w:r>
      <w:r>
        <w:t xml:space="preserve"> </w:t>
      </w:r>
      <w:proofErr w:type="spellStart"/>
      <w:r>
        <w:t>Acil</w:t>
      </w:r>
      <w:proofErr w:type="spellEnd"/>
      <w:r>
        <w:t xml:space="preserve"> Allen 2014, </w:t>
      </w:r>
      <w:r>
        <w:rPr>
          <w:i/>
        </w:rPr>
        <w:t xml:space="preserve">RET Review Workshop Preliminary Modelling Results, </w:t>
      </w:r>
      <w:r>
        <w:t>prepared for the RET Review Panel.</w:t>
      </w:r>
    </w:p>
  </w:footnote>
  <w:footnote w:id="30">
    <w:p w:rsidR="00055F48" w:rsidRPr="00F268D2" w:rsidRDefault="00055F48" w:rsidP="00BE694F">
      <w:pPr>
        <w:pStyle w:val="Default"/>
        <w:rPr>
          <w:rFonts w:ascii="Times New Roman" w:hAnsi="Times New Roman" w:cs="Times New Roman"/>
          <w:sz w:val="18"/>
          <w:szCs w:val="22"/>
        </w:rPr>
      </w:pPr>
      <w:r w:rsidRPr="00455CB0">
        <w:rPr>
          <w:rStyle w:val="FootnoteReference"/>
          <w:sz w:val="18"/>
        </w:rPr>
        <w:footnoteRef/>
      </w:r>
      <w:r w:rsidRPr="00455CB0">
        <w:rPr>
          <w:sz w:val="18"/>
        </w:rPr>
        <w:t xml:space="preserve"> </w:t>
      </w:r>
      <w:proofErr w:type="spellStart"/>
      <w:r w:rsidRPr="00F268D2">
        <w:rPr>
          <w:rFonts w:ascii="Times New Roman" w:hAnsi="Times New Roman" w:cs="Times New Roman"/>
          <w:sz w:val="18"/>
          <w:szCs w:val="22"/>
        </w:rPr>
        <w:t>Aucamp</w:t>
      </w:r>
      <w:proofErr w:type="spellEnd"/>
      <w:r w:rsidRPr="00F268D2">
        <w:rPr>
          <w:rFonts w:ascii="Times New Roman" w:hAnsi="Times New Roman" w:cs="Times New Roman"/>
          <w:sz w:val="18"/>
          <w:szCs w:val="22"/>
        </w:rPr>
        <w:t xml:space="preserve">, P. J. and </w:t>
      </w:r>
      <w:proofErr w:type="spellStart"/>
      <w:r w:rsidRPr="00F268D2">
        <w:rPr>
          <w:rFonts w:ascii="Times New Roman" w:hAnsi="Times New Roman" w:cs="Times New Roman"/>
          <w:sz w:val="18"/>
          <w:szCs w:val="22"/>
        </w:rPr>
        <w:t>Björn</w:t>
      </w:r>
      <w:proofErr w:type="spellEnd"/>
      <w:r w:rsidRPr="00F268D2">
        <w:rPr>
          <w:rFonts w:ascii="Times New Roman" w:hAnsi="Times New Roman" w:cs="Times New Roman"/>
          <w:sz w:val="18"/>
          <w:szCs w:val="22"/>
        </w:rPr>
        <w:t>, L. O., 2010,</w:t>
      </w:r>
      <w:r w:rsidRPr="00F268D2">
        <w:rPr>
          <w:rFonts w:ascii="Times New Roman" w:hAnsi="Times New Roman" w:cs="Times New Roman"/>
          <w:i/>
          <w:iCs/>
          <w:sz w:val="18"/>
          <w:szCs w:val="22"/>
        </w:rPr>
        <w:t xml:space="preserve"> Questions and Answers about the Environmental Effects of the Ozone Layer Depletion and Climate Change: 2010 Update,</w:t>
      </w:r>
      <w:r w:rsidRPr="00F268D2">
        <w:rPr>
          <w:rFonts w:ascii="Times New Roman" w:hAnsi="Times New Roman" w:cs="Times New Roman"/>
          <w:sz w:val="18"/>
          <w:szCs w:val="22"/>
        </w:rPr>
        <w:t xml:space="preserve"> prepared for the United Nations Environmental Programme on Environmental Effects Assessment Panel: 2010 , date: accessed 25/6/14, </w:t>
      </w:r>
      <w:hyperlink r:id="rId2" w:history="1">
        <w:r w:rsidRPr="00F268D2">
          <w:rPr>
            <w:rStyle w:val="Hyperlink"/>
            <w:rFonts w:ascii="Times New Roman" w:hAnsi="Times New Roman" w:cs="Times New Roman"/>
            <w:sz w:val="18"/>
            <w:szCs w:val="22"/>
          </w:rPr>
          <w:t>http://ozone.unep.org/Assessment_Panels/EEAP/eeap-report2010-FAQ.pdf</w:t>
        </w:r>
      </w:hyperlink>
      <w:r w:rsidRPr="00F268D2">
        <w:rPr>
          <w:b/>
          <w:bCs/>
          <w:color w:val="0E6EC5"/>
          <w:sz w:val="18"/>
          <w:szCs w:val="22"/>
        </w:rPr>
        <w:t xml:space="preserve"> </w:t>
      </w:r>
    </w:p>
    <w:p w:rsidR="00055F48" w:rsidRDefault="00055F48" w:rsidP="00BE694F">
      <w:pPr>
        <w:pStyle w:val="FootnoteText"/>
      </w:pPr>
    </w:p>
  </w:footnote>
  <w:footnote w:id="31">
    <w:p w:rsidR="00055F48" w:rsidRDefault="00055F48">
      <w:pPr>
        <w:pStyle w:val="FootnoteText"/>
      </w:pPr>
      <w:r>
        <w:rPr>
          <w:rStyle w:val="FootnoteReference"/>
        </w:rPr>
        <w:footnoteRef/>
      </w:r>
      <w:r>
        <w:t xml:space="preserve"> </w:t>
      </w:r>
      <w:r>
        <w:rPr>
          <w:sz w:val="20"/>
        </w:rPr>
        <w:t xml:space="preserve">PricewaterhouseCoopers and </w:t>
      </w:r>
      <w:proofErr w:type="spellStart"/>
      <w:r>
        <w:rPr>
          <w:sz w:val="20"/>
        </w:rPr>
        <w:t>Hyder</w:t>
      </w:r>
      <w:proofErr w:type="spellEnd"/>
      <w:r>
        <w:rPr>
          <w:sz w:val="20"/>
        </w:rPr>
        <w:t xml:space="preserve"> Consulting (2009), </w:t>
      </w:r>
      <w:r>
        <w:rPr>
          <w:i/>
          <w:sz w:val="20"/>
        </w:rPr>
        <w:t xml:space="preserve">Decision Regulatory Impact Statement: Televisions and Computers, </w:t>
      </w:r>
      <w:r>
        <w:rPr>
          <w:sz w:val="20"/>
        </w:rPr>
        <w:t>report prepared for Environment Protection and Heritage Council</w:t>
      </w:r>
    </w:p>
  </w:footnote>
  <w:footnote w:id="32">
    <w:p w:rsidR="00055F48" w:rsidRPr="00AE2473" w:rsidRDefault="00055F48" w:rsidP="00AE2473">
      <w:pPr>
        <w:pStyle w:val="FootnoteText"/>
      </w:pPr>
      <w:r>
        <w:rPr>
          <w:rStyle w:val="FootnoteReference"/>
        </w:rPr>
        <w:footnoteRef/>
      </w:r>
      <w:r>
        <w:t xml:space="preserve"> PwC and </w:t>
      </w:r>
      <w:proofErr w:type="spellStart"/>
      <w:r>
        <w:t>Hyder</w:t>
      </w:r>
      <w:proofErr w:type="spellEnd"/>
      <w:r>
        <w:t xml:space="preserve"> Consulting 2009, </w:t>
      </w:r>
      <w:r>
        <w:rPr>
          <w:i/>
        </w:rPr>
        <w:t xml:space="preserve">Decision Regulatory Impact Statement: Televisions and Computers, </w:t>
      </w:r>
      <w:r>
        <w:t xml:space="preserve">report prepared for the Environment Protection and Heritage Council, October.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5F48" w:rsidRDefault="00586F30">
    <w:pPr>
      <w:pStyle w:val="Header"/>
      <w:framePr w:hSpace="181" w:wrap="around" w:vAnchor="text" w:hAnchor="margin" w:y="-407"/>
      <w:jc w:val="left"/>
      <w:rPr>
        <w:i w:val="0"/>
        <w:sz w:val="26"/>
        <w:szCs w:val="26"/>
      </w:rPr>
    </w:pPr>
    <w:r w:rsidRPr="00586F30">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2107865" o:spid="_x0000_s2052" type="#_x0000_t136" style="position:absolute;margin-left:0;margin-top:0;width:507.25pt;height:92.2pt;rotation:315;z-index:-251654144;mso-position-horizontal:center;mso-position-horizontal-relative:margin;mso-position-vertical:center;mso-position-vertical-relative:margin" o:allowincell="f" fillcolor="silver" stroked="f">
          <v:fill opacity=".5"/>
          <v:textpath style="font-family:&quot;Times New Roman&quot;;font-size:1pt" string="FINAL DRAFT"/>
          <w10:wrap anchorx="margin" anchory="margin"/>
        </v:shape>
      </w:pict>
    </w:r>
    <w:r w:rsidR="00055F48">
      <w:rPr>
        <w:rFonts w:ascii="KPMG Logo" w:hAnsi="KPMG Logo"/>
        <w:i w:val="0"/>
        <w:sz w:val="26"/>
        <w:szCs w:val="26"/>
      </w:rPr>
      <w:t>ABCD</w:t>
    </w:r>
  </w:p>
  <w:tbl>
    <w:tblPr>
      <w:tblW w:w="0" w:type="auto"/>
      <w:tblLayout w:type="fixed"/>
      <w:tblCellMar>
        <w:left w:w="71" w:type="dxa"/>
        <w:right w:w="71" w:type="dxa"/>
      </w:tblCellMar>
      <w:tblLook w:val="0000"/>
    </w:tblPr>
    <w:tblGrid>
      <w:gridCol w:w="4111"/>
    </w:tblGrid>
    <w:tr w:rsidR="00055F48">
      <w:trPr>
        <w:trHeight w:hRule="exact" w:val="220"/>
      </w:trPr>
      <w:tc>
        <w:tcPr>
          <w:tcW w:w="4111" w:type="dxa"/>
        </w:tcPr>
        <w:p w:rsidR="00055F48" w:rsidRDefault="00586F30">
          <w:pPr>
            <w:pStyle w:val="Header"/>
            <w:framePr w:hSpace="181" w:wrap="around" w:vAnchor="text" w:hAnchor="text" w:xAlign="right" w:y="1"/>
            <w:rPr>
              <w:b/>
            </w:rPr>
          </w:pPr>
          <w:r>
            <w:rPr>
              <w:b/>
            </w:rPr>
            <w:fldChar w:fldCharType="begin"/>
          </w:r>
          <w:r w:rsidR="00055F48">
            <w:rPr>
              <w:b/>
            </w:rPr>
            <w:instrText xml:space="preserve"> DocProperty KISClient \* charformat </w:instrText>
          </w:r>
          <w:r>
            <w:rPr>
              <w:b/>
            </w:rPr>
            <w:fldChar w:fldCharType="separate"/>
          </w:r>
          <w:r w:rsidR="00055F48">
            <w:rPr>
              <w:b/>
            </w:rPr>
            <w:t>Department of the Environment</w:t>
          </w:r>
          <w:r>
            <w:rPr>
              <w:b/>
            </w:rPr>
            <w:fldChar w:fldCharType="end"/>
          </w:r>
        </w:p>
      </w:tc>
    </w:tr>
    <w:tr w:rsidR="00055F48">
      <w:trPr>
        <w:trHeight w:hRule="exact" w:val="220"/>
      </w:trPr>
      <w:tc>
        <w:tcPr>
          <w:tcW w:w="4111" w:type="dxa"/>
        </w:tcPr>
        <w:p w:rsidR="00055F48" w:rsidRDefault="00586F30">
          <w:pPr>
            <w:pStyle w:val="Header"/>
            <w:framePr w:hSpace="181" w:wrap="around" w:vAnchor="text" w:hAnchor="text" w:xAlign="right" w:y="1"/>
          </w:pPr>
          <w:r>
            <w:fldChar w:fldCharType="begin"/>
          </w:r>
          <w:r w:rsidR="00055F48">
            <w:instrText xml:space="preserve"> DocProperty KISSubject  \* charformat </w:instrText>
          </w:r>
          <w:r>
            <w:fldChar w:fldCharType="end"/>
          </w:r>
        </w:p>
      </w:tc>
    </w:tr>
    <w:tr w:rsidR="00055F48">
      <w:tc>
        <w:tcPr>
          <w:tcW w:w="4111" w:type="dxa"/>
        </w:tcPr>
        <w:p w:rsidR="00055F48" w:rsidRDefault="00586F30">
          <w:pPr>
            <w:pStyle w:val="Header"/>
            <w:framePr w:hSpace="181" w:wrap="around" w:vAnchor="text" w:hAnchor="text" w:xAlign="right" w:y="1"/>
          </w:pPr>
          <w:r>
            <w:fldChar w:fldCharType="begin"/>
          </w:r>
          <w:r w:rsidR="00C478AE">
            <w:instrText xml:space="preserve"> DocProperty KISHdrInfo \* charformat </w:instrText>
          </w:r>
          <w:r>
            <w:fldChar w:fldCharType="separate"/>
          </w:r>
          <w:r w:rsidR="00055F48">
            <w:t>June 2014</w:t>
          </w:r>
          <w:r>
            <w:fldChar w:fldCharType="end"/>
          </w:r>
        </w:p>
      </w:tc>
    </w:tr>
  </w:tbl>
  <w:p w:rsidR="00055F48" w:rsidRDefault="00055F48">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5F48" w:rsidRDefault="00586F30">
    <w:pPr>
      <w:pStyle w:val="Header"/>
      <w:framePr w:hSpace="181" w:wrap="around" w:vAnchor="page" w:hAnchor="margin" w:y="710"/>
      <w:tabs>
        <w:tab w:val="left" w:pos="284"/>
        <w:tab w:val="right" w:pos="8789"/>
      </w:tabs>
      <w:jc w:val="left"/>
      <w:rPr>
        <w:sz w:val="43"/>
        <w:szCs w:val="44"/>
      </w:rPr>
    </w:pPr>
    <w:r w:rsidRPr="00586F30">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2107866" o:spid="_x0000_s2053" type="#_x0000_t136" style="position:absolute;margin-left:0;margin-top:0;width:507.25pt;height:92.2pt;rotation:315;z-index:-251652096;mso-position-horizontal:center;mso-position-horizontal-relative:margin;mso-position-vertical:center;mso-position-vertical-relative:margin" o:allowincell="f" fillcolor="silver" stroked="f">
          <v:fill opacity=".5"/>
          <v:textpath style="font-family:&quot;Times New Roman&quot;;font-size:1pt" string="FINAL DRAFT"/>
          <w10:wrap anchorx="margin" anchory="margin"/>
        </v:shape>
      </w:pict>
    </w:r>
    <w:r w:rsidR="00055F48">
      <w:rPr>
        <w:rFonts w:ascii="KPMG Logo" w:hAnsi="KPMG Logo"/>
        <w:i w:val="0"/>
        <w:sz w:val="43"/>
        <w:szCs w:val="44"/>
      </w:rPr>
      <w:t>ABCD</w:t>
    </w:r>
  </w:p>
  <w:p w:rsidR="00055F48" w:rsidRDefault="00055F48">
    <w:pPr>
      <w:pStyle w:val="Header"/>
      <w:tabs>
        <w:tab w:val="left" w:pos="284"/>
        <w:tab w:val="right" w:pos="8789"/>
      </w:tabs>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5F48" w:rsidRDefault="00586F3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2107864" o:spid="_x0000_s2051" type="#_x0000_t136" style="position:absolute;left:0;text-align:left;margin-left:0;margin-top:0;width:507.25pt;height:92.2pt;rotation:315;z-index:-251656192;mso-position-horizontal:center;mso-position-horizontal-relative:margin;mso-position-vertical:center;mso-position-vertical-relative:margin" o:allowincell="f" fillcolor="silver" stroked="f">
          <v:fill opacity=".5"/>
          <v:textpath style="font-family:&quot;Times New Roman&quot;;font-size:1pt" string="FINAL DRAFT"/>
          <w10:wrap anchorx="margin" anchory="margin"/>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5F48" w:rsidRDefault="00586F3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2107868" o:spid="_x0000_s2055" type="#_x0000_t136" style="position:absolute;left:0;text-align:left;margin-left:0;margin-top:0;width:507.25pt;height:92.2pt;rotation:315;z-index:-251648000;mso-position-horizontal:center;mso-position-horizontal-relative:margin;mso-position-vertical:center;mso-position-vertical-relative:margin" o:allowincell="f" fillcolor="silver" stroked="f">
          <v:fill opacity=".5"/>
          <v:textpath style="font-family:&quot;Times New Roman&quot;;font-size:1pt" string="FINAL DRAFT"/>
          <w10:wrap anchorx="margin" anchory="margin"/>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5F48" w:rsidRDefault="00055F48">
    <w:pPr>
      <w:pStyle w:val="Header"/>
      <w:framePr w:hSpace="181" w:wrap="around" w:vAnchor="text" w:hAnchor="margin" w:y="-407"/>
      <w:jc w:val="left"/>
      <w:rPr>
        <w:i w:val="0"/>
        <w:sz w:val="26"/>
        <w:szCs w:val="26"/>
      </w:rPr>
    </w:pPr>
    <w:r>
      <w:rPr>
        <w:rFonts w:ascii="KPMG Logo" w:hAnsi="KPMG Logo"/>
        <w:i w:val="0"/>
        <w:sz w:val="26"/>
        <w:szCs w:val="26"/>
      </w:rPr>
      <w:t>ABCD</w:t>
    </w:r>
  </w:p>
  <w:tbl>
    <w:tblPr>
      <w:tblW w:w="0" w:type="auto"/>
      <w:tblLayout w:type="fixed"/>
      <w:tblCellMar>
        <w:left w:w="71" w:type="dxa"/>
        <w:right w:w="71" w:type="dxa"/>
      </w:tblCellMar>
      <w:tblLook w:val="0000"/>
    </w:tblPr>
    <w:tblGrid>
      <w:gridCol w:w="4111"/>
    </w:tblGrid>
    <w:tr w:rsidR="00055F48">
      <w:trPr>
        <w:trHeight w:hRule="exact" w:val="220"/>
      </w:trPr>
      <w:tc>
        <w:tcPr>
          <w:tcW w:w="4111" w:type="dxa"/>
        </w:tcPr>
        <w:p w:rsidR="00055F48" w:rsidRDefault="00586F30">
          <w:pPr>
            <w:pStyle w:val="Header"/>
            <w:framePr w:hSpace="181" w:wrap="around" w:vAnchor="text" w:hAnchor="text" w:xAlign="right" w:y="1"/>
            <w:rPr>
              <w:b/>
            </w:rPr>
          </w:pPr>
          <w:r>
            <w:rPr>
              <w:b/>
            </w:rPr>
            <w:fldChar w:fldCharType="begin"/>
          </w:r>
          <w:r w:rsidR="00055F48">
            <w:rPr>
              <w:b/>
            </w:rPr>
            <w:instrText xml:space="preserve"> DocProperty KISClient \* charformat </w:instrText>
          </w:r>
          <w:r>
            <w:rPr>
              <w:b/>
            </w:rPr>
            <w:fldChar w:fldCharType="separate"/>
          </w:r>
          <w:r w:rsidR="00055F48">
            <w:rPr>
              <w:b/>
            </w:rPr>
            <w:t>Department of the Environment</w:t>
          </w:r>
          <w:r>
            <w:rPr>
              <w:b/>
            </w:rPr>
            <w:fldChar w:fldCharType="end"/>
          </w:r>
        </w:p>
      </w:tc>
    </w:tr>
    <w:tr w:rsidR="00055F48">
      <w:trPr>
        <w:trHeight w:hRule="exact" w:val="220"/>
      </w:trPr>
      <w:tc>
        <w:tcPr>
          <w:tcW w:w="4111" w:type="dxa"/>
        </w:tcPr>
        <w:p w:rsidR="00055F48" w:rsidRDefault="00055F48" w:rsidP="00A928DA">
          <w:pPr>
            <w:pStyle w:val="Header"/>
            <w:framePr w:hSpace="181" w:wrap="around" w:vAnchor="text" w:hAnchor="text" w:xAlign="right" w:y="1"/>
          </w:pPr>
          <w:r>
            <w:rPr>
              <w:i w:val="0"/>
            </w:rPr>
            <w:t>Cost Benefit Analysis of Product Stewardship for</w:t>
          </w:r>
          <w:r>
            <w:rPr>
              <w:i w:val="0"/>
            </w:rPr>
            <w:br/>
          </w:r>
          <w:r w:rsidR="00586F30">
            <w:fldChar w:fldCharType="begin"/>
          </w:r>
          <w:r>
            <w:instrText xml:space="preserve"> DocProperty KISSubject  \* charformat </w:instrText>
          </w:r>
          <w:r w:rsidR="00586F30">
            <w:fldChar w:fldCharType="end"/>
          </w:r>
        </w:p>
        <w:p w:rsidR="00055F48" w:rsidRDefault="00055F48" w:rsidP="00A928DA">
          <w:pPr>
            <w:pStyle w:val="Header"/>
            <w:framePr w:hSpace="181" w:wrap="around" w:vAnchor="text" w:hAnchor="text" w:xAlign="right" w:y="1"/>
          </w:pPr>
          <w:r>
            <w:t>Produce</w:t>
          </w:r>
        </w:p>
      </w:tc>
    </w:tr>
    <w:tr w:rsidR="00055F48">
      <w:tc>
        <w:tcPr>
          <w:tcW w:w="4111" w:type="dxa"/>
        </w:tcPr>
        <w:p w:rsidR="00055F48" w:rsidRPr="00A51EFB" w:rsidRDefault="00055F48" w:rsidP="00815E5C">
          <w:pPr>
            <w:pStyle w:val="Header"/>
            <w:framePr w:hSpace="181" w:wrap="around" w:vAnchor="text" w:hAnchor="text" w:xAlign="right" w:y="1"/>
            <w:rPr>
              <w:i w:val="0"/>
            </w:rPr>
          </w:pPr>
          <w:r>
            <w:rPr>
              <w:i w:val="0"/>
            </w:rPr>
            <w:t>Domestic RAC Equipment at End of Life</w:t>
          </w:r>
        </w:p>
      </w:tc>
    </w:tr>
  </w:tbl>
  <w:p w:rsidR="00055F48" w:rsidRDefault="00055F48">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5F48" w:rsidRDefault="00586F3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2107867" o:spid="_x0000_s2054" type="#_x0000_t136" style="position:absolute;left:0;text-align:left;margin-left:0;margin-top:0;width:507.25pt;height:92.2pt;rotation:315;z-index:-251650048;mso-position-horizontal:center;mso-position-horizontal-relative:margin;mso-position-vertical:center;mso-position-vertical-relative:margin" o:allowincell="f" fillcolor="silver" stroked="f">
          <v:fill opacity=".5"/>
          <v:textpath style="font-family:&quot;Times New Roman&quot;;font-size:1pt" string="FINAL DRAFT"/>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1"/>
    <w:multiLevelType w:val="singleLevel"/>
    <w:tmpl w:val="4C0E3BDA"/>
    <w:lvl w:ilvl="0">
      <w:start w:val="1"/>
      <w:numFmt w:val="bullet"/>
      <w:pStyle w:val="ListBullet4"/>
      <w:lvlText w:val="-"/>
      <w:lvlJc w:val="left"/>
      <w:pPr>
        <w:tabs>
          <w:tab w:val="num" w:pos="680"/>
        </w:tabs>
        <w:ind w:left="680" w:hanging="340"/>
      </w:pPr>
      <w:rPr>
        <w:rFonts w:ascii="9999999" w:hAnsi="9999999" w:cs="Courier New" w:hint="default"/>
      </w:rPr>
    </w:lvl>
  </w:abstractNum>
  <w:abstractNum w:abstractNumId="1">
    <w:nsid w:val="FFFFFF82"/>
    <w:multiLevelType w:val="singleLevel"/>
    <w:tmpl w:val="09DC7A00"/>
    <w:lvl w:ilvl="0">
      <w:start w:val="1"/>
      <w:numFmt w:val="bullet"/>
      <w:pStyle w:val="ListBullet3"/>
      <w:lvlText w:val=""/>
      <w:lvlJc w:val="left"/>
      <w:pPr>
        <w:tabs>
          <w:tab w:val="num" w:pos="340"/>
        </w:tabs>
        <w:ind w:left="340" w:hanging="340"/>
      </w:pPr>
      <w:rPr>
        <w:rFonts w:ascii="Symbol" w:hAnsi="Symbol" w:hint="default"/>
        <w:color w:val="auto"/>
        <w:sz w:val="18"/>
        <w:szCs w:val="18"/>
      </w:rPr>
    </w:lvl>
  </w:abstractNum>
  <w:abstractNum w:abstractNumId="2">
    <w:nsid w:val="00032DB9"/>
    <w:multiLevelType w:val="multilevel"/>
    <w:tmpl w:val="E5E89F92"/>
    <w:styleLink w:val="BulletList"/>
    <w:lvl w:ilvl="0">
      <w:start w:val="1"/>
      <w:numFmt w:val="bullet"/>
      <w:lvlText w:val=""/>
      <w:lvlJc w:val="left"/>
      <w:pPr>
        <w:ind w:left="369" w:hanging="369"/>
      </w:pPr>
      <w:rPr>
        <w:rFonts w:ascii="Symbol" w:hAnsi="Symbol"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3">
    <w:nsid w:val="02AD6666"/>
    <w:multiLevelType w:val="hybridMultilevel"/>
    <w:tmpl w:val="8946AFDE"/>
    <w:lvl w:ilvl="0" w:tplc="62B893BE">
      <w:start w:val="1"/>
      <w:numFmt w:val="bullet"/>
      <w:pStyle w:val="ListBullet"/>
      <w:lvlText w:val=""/>
      <w:lvlJc w:val="left"/>
      <w:pPr>
        <w:tabs>
          <w:tab w:val="num" w:pos="340"/>
        </w:tabs>
        <w:ind w:left="340" w:hanging="340"/>
      </w:pPr>
      <w:rPr>
        <w:rFonts w:ascii="Symbol" w:hAnsi="Symbol" w:hint="default"/>
        <w:sz w:val="22"/>
        <w:szCs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41D4C36"/>
    <w:multiLevelType w:val="hybridMultilevel"/>
    <w:tmpl w:val="FF4CCEC2"/>
    <w:lvl w:ilvl="0" w:tplc="0C090003">
      <w:start w:val="1"/>
      <w:numFmt w:val="bullet"/>
      <w:lvlText w:val="o"/>
      <w:lvlJc w:val="left"/>
      <w:pPr>
        <w:ind w:left="700" w:hanging="360"/>
      </w:pPr>
      <w:rPr>
        <w:rFonts w:ascii="Courier New" w:hAnsi="Courier New" w:cs="Courier New" w:hint="default"/>
        <w:color w:val="auto"/>
        <w:sz w:val="22"/>
      </w:rPr>
    </w:lvl>
    <w:lvl w:ilvl="1" w:tplc="0C090003" w:tentative="1">
      <w:start w:val="1"/>
      <w:numFmt w:val="bullet"/>
      <w:lvlText w:val="o"/>
      <w:lvlJc w:val="left"/>
      <w:pPr>
        <w:ind w:left="1420" w:hanging="360"/>
      </w:pPr>
      <w:rPr>
        <w:rFonts w:ascii="Courier New" w:hAnsi="Courier New" w:cs="Courier New" w:hint="default"/>
      </w:rPr>
    </w:lvl>
    <w:lvl w:ilvl="2" w:tplc="0C090005" w:tentative="1">
      <w:start w:val="1"/>
      <w:numFmt w:val="bullet"/>
      <w:lvlText w:val=""/>
      <w:lvlJc w:val="left"/>
      <w:pPr>
        <w:ind w:left="2140" w:hanging="360"/>
      </w:pPr>
      <w:rPr>
        <w:rFonts w:ascii="Wingdings" w:hAnsi="Wingdings" w:hint="default"/>
      </w:rPr>
    </w:lvl>
    <w:lvl w:ilvl="3" w:tplc="0C090001" w:tentative="1">
      <w:start w:val="1"/>
      <w:numFmt w:val="bullet"/>
      <w:lvlText w:val=""/>
      <w:lvlJc w:val="left"/>
      <w:pPr>
        <w:ind w:left="2860" w:hanging="360"/>
      </w:pPr>
      <w:rPr>
        <w:rFonts w:ascii="Symbol" w:hAnsi="Symbol" w:hint="default"/>
      </w:rPr>
    </w:lvl>
    <w:lvl w:ilvl="4" w:tplc="0C090003" w:tentative="1">
      <w:start w:val="1"/>
      <w:numFmt w:val="bullet"/>
      <w:lvlText w:val="o"/>
      <w:lvlJc w:val="left"/>
      <w:pPr>
        <w:ind w:left="3580" w:hanging="360"/>
      </w:pPr>
      <w:rPr>
        <w:rFonts w:ascii="Courier New" w:hAnsi="Courier New" w:cs="Courier New" w:hint="default"/>
      </w:rPr>
    </w:lvl>
    <w:lvl w:ilvl="5" w:tplc="0C090005" w:tentative="1">
      <w:start w:val="1"/>
      <w:numFmt w:val="bullet"/>
      <w:lvlText w:val=""/>
      <w:lvlJc w:val="left"/>
      <w:pPr>
        <w:ind w:left="4300" w:hanging="360"/>
      </w:pPr>
      <w:rPr>
        <w:rFonts w:ascii="Wingdings" w:hAnsi="Wingdings" w:hint="default"/>
      </w:rPr>
    </w:lvl>
    <w:lvl w:ilvl="6" w:tplc="0C090001" w:tentative="1">
      <w:start w:val="1"/>
      <w:numFmt w:val="bullet"/>
      <w:lvlText w:val=""/>
      <w:lvlJc w:val="left"/>
      <w:pPr>
        <w:ind w:left="5020" w:hanging="360"/>
      </w:pPr>
      <w:rPr>
        <w:rFonts w:ascii="Symbol" w:hAnsi="Symbol" w:hint="default"/>
      </w:rPr>
    </w:lvl>
    <w:lvl w:ilvl="7" w:tplc="0C090003" w:tentative="1">
      <w:start w:val="1"/>
      <w:numFmt w:val="bullet"/>
      <w:lvlText w:val="o"/>
      <w:lvlJc w:val="left"/>
      <w:pPr>
        <w:ind w:left="5740" w:hanging="360"/>
      </w:pPr>
      <w:rPr>
        <w:rFonts w:ascii="Courier New" w:hAnsi="Courier New" w:cs="Courier New" w:hint="default"/>
      </w:rPr>
    </w:lvl>
    <w:lvl w:ilvl="8" w:tplc="0C090005" w:tentative="1">
      <w:start w:val="1"/>
      <w:numFmt w:val="bullet"/>
      <w:lvlText w:val=""/>
      <w:lvlJc w:val="left"/>
      <w:pPr>
        <w:ind w:left="6460" w:hanging="360"/>
      </w:pPr>
      <w:rPr>
        <w:rFonts w:ascii="Wingdings" w:hAnsi="Wingdings" w:hint="default"/>
      </w:rPr>
    </w:lvl>
  </w:abstractNum>
  <w:abstractNum w:abstractNumId="5">
    <w:nsid w:val="1A67268D"/>
    <w:multiLevelType w:val="hybridMultilevel"/>
    <w:tmpl w:val="018E130E"/>
    <w:lvl w:ilvl="0" w:tplc="4D88D648">
      <w:start w:val="80"/>
      <w:numFmt w:val="bullet"/>
      <w:lvlText w:val="-"/>
      <w:lvlJc w:val="left"/>
      <w:pPr>
        <w:ind w:left="390" w:hanging="360"/>
      </w:pPr>
      <w:rPr>
        <w:rFonts w:ascii="Times New Roman" w:eastAsia="Times New Roman" w:hAnsi="Times New Roman" w:cs="Times New Roman" w:hint="default"/>
      </w:rPr>
    </w:lvl>
    <w:lvl w:ilvl="1" w:tplc="0C090003" w:tentative="1">
      <w:start w:val="1"/>
      <w:numFmt w:val="bullet"/>
      <w:lvlText w:val="o"/>
      <w:lvlJc w:val="left"/>
      <w:pPr>
        <w:ind w:left="1110" w:hanging="360"/>
      </w:pPr>
      <w:rPr>
        <w:rFonts w:ascii="Courier New" w:hAnsi="Courier New" w:cs="Courier New" w:hint="default"/>
      </w:rPr>
    </w:lvl>
    <w:lvl w:ilvl="2" w:tplc="0C090005" w:tentative="1">
      <w:start w:val="1"/>
      <w:numFmt w:val="bullet"/>
      <w:lvlText w:val=""/>
      <w:lvlJc w:val="left"/>
      <w:pPr>
        <w:ind w:left="1830" w:hanging="360"/>
      </w:pPr>
      <w:rPr>
        <w:rFonts w:ascii="Wingdings" w:hAnsi="Wingdings" w:hint="default"/>
      </w:rPr>
    </w:lvl>
    <w:lvl w:ilvl="3" w:tplc="0C090001" w:tentative="1">
      <w:start w:val="1"/>
      <w:numFmt w:val="bullet"/>
      <w:lvlText w:val=""/>
      <w:lvlJc w:val="left"/>
      <w:pPr>
        <w:ind w:left="2550" w:hanging="360"/>
      </w:pPr>
      <w:rPr>
        <w:rFonts w:ascii="Symbol" w:hAnsi="Symbol" w:hint="default"/>
      </w:rPr>
    </w:lvl>
    <w:lvl w:ilvl="4" w:tplc="0C090003" w:tentative="1">
      <w:start w:val="1"/>
      <w:numFmt w:val="bullet"/>
      <w:lvlText w:val="o"/>
      <w:lvlJc w:val="left"/>
      <w:pPr>
        <w:ind w:left="3270" w:hanging="360"/>
      </w:pPr>
      <w:rPr>
        <w:rFonts w:ascii="Courier New" w:hAnsi="Courier New" w:cs="Courier New" w:hint="default"/>
      </w:rPr>
    </w:lvl>
    <w:lvl w:ilvl="5" w:tplc="0C090005" w:tentative="1">
      <w:start w:val="1"/>
      <w:numFmt w:val="bullet"/>
      <w:lvlText w:val=""/>
      <w:lvlJc w:val="left"/>
      <w:pPr>
        <w:ind w:left="3990" w:hanging="360"/>
      </w:pPr>
      <w:rPr>
        <w:rFonts w:ascii="Wingdings" w:hAnsi="Wingdings" w:hint="default"/>
      </w:rPr>
    </w:lvl>
    <w:lvl w:ilvl="6" w:tplc="0C090001" w:tentative="1">
      <w:start w:val="1"/>
      <w:numFmt w:val="bullet"/>
      <w:lvlText w:val=""/>
      <w:lvlJc w:val="left"/>
      <w:pPr>
        <w:ind w:left="4710" w:hanging="360"/>
      </w:pPr>
      <w:rPr>
        <w:rFonts w:ascii="Symbol" w:hAnsi="Symbol" w:hint="default"/>
      </w:rPr>
    </w:lvl>
    <w:lvl w:ilvl="7" w:tplc="0C090003" w:tentative="1">
      <w:start w:val="1"/>
      <w:numFmt w:val="bullet"/>
      <w:lvlText w:val="o"/>
      <w:lvlJc w:val="left"/>
      <w:pPr>
        <w:ind w:left="5430" w:hanging="360"/>
      </w:pPr>
      <w:rPr>
        <w:rFonts w:ascii="Courier New" w:hAnsi="Courier New" w:cs="Courier New" w:hint="default"/>
      </w:rPr>
    </w:lvl>
    <w:lvl w:ilvl="8" w:tplc="0C090005" w:tentative="1">
      <w:start w:val="1"/>
      <w:numFmt w:val="bullet"/>
      <w:lvlText w:val=""/>
      <w:lvlJc w:val="left"/>
      <w:pPr>
        <w:ind w:left="6150" w:hanging="360"/>
      </w:pPr>
      <w:rPr>
        <w:rFonts w:ascii="Wingdings" w:hAnsi="Wingdings" w:hint="default"/>
      </w:rPr>
    </w:lvl>
  </w:abstractNum>
  <w:abstractNum w:abstractNumId="6">
    <w:nsid w:val="35AC4A65"/>
    <w:multiLevelType w:val="singleLevel"/>
    <w:tmpl w:val="DC0401A4"/>
    <w:lvl w:ilvl="0">
      <w:start w:val="1"/>
      <w:numFmt w:val="bullet"/>
      <w:lvlText w:val=""/>
      <w:lvlJc w:val="left"/>
      <w:pPr>
        <w:tabs>
          <w:tab w:val="num" w:pos="340"/>
        </w:tabs>
        <w:ind w:left="340" w:hanging="340"/>
      </w:pPr>
      <w:rPr>
        <w:rFonts w:ascii="Symbol" w:hAnsi="Symbol" w:hint="default"/>
        <w:color w:val="auto"/>
        <w:sz w:val="22"/>
      </w:rPr>
    </w:lvl>
  </w:abstractNum>
  <w:abstractNum w:abstractNumId="7">
    <w:nsid w:val="3C3B60EA"/>
    <w:multiLevelType w:val="multilevel"/>
    <w:tmpl w:val="70A86B60"/>
    <w:lvl w:ilvl="0">
      <w:start w:val="1"/>
      <w:numFmt w:val="decimal"/>
      <w:pStyle w:val="Heading1"/>
      <w:lvlText w:val="%1"/>
      <w:lvlJc w:val="left"/>
      <w:pPr>
        <w:tabs>
          <w:tab w:val="num" w:pos="0"/>
        </w:tabs>
        <w:ind w:left="0" w:hanging="964"/>
      </w:pPr>
    </w:lvl>
    <w:lvl w:ilvl="1">
      <w:start w:val="1"/>
      <w:numFmt w:val="decimal"/>
      <w:pStyle w:val="Heading2"/>
      <w:lvlText w:val="%1.%2"/>
      <w:lvlJc w:val="left"/>
      <w:pPr>
        <w:tabs>
          <w:tab w:val="num" w:pos="0"/>
        </w:tabs>
        <w:ind w:left="0" w:hanging="964"/>
      </w:pPr>
    </w:lvl>
    <w:lvl w:ilvl="2">
      <w:start w:val="1"/>
      <w:numFmt w:val="decimal"/>
      <w:pStyle w:val="Heading3"/>
      <w:lvlText w:val="%1.%2.%3"/>
      <w:lvlJc w:val="left"/>
      <w:pPr>
        <w:tabs>
          <w:tab w:val="num" w:pos="0"/>
        </w:tabs>
        <w:ind w:left="0" w:hanging="964"/>
      </w:pPr>
    </w:lvl>
    <w:lvl w:ilvl="3">
      <w:start w:val="1"/>
      <w:numFmt w:val="decimal"/>
      <w:pStyle w:val="Heading4"/>
      <w:lvlText w:val="%1.%2.%3.%4"/>
      <w:lvlJc w:val="left"/>
      <w:pPr>
        <w:tabs>
          <w:tab w:val="num" w:pos="20"/>
        </w:tabs>
        <w:ind w:left="0" w:hanging="9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nsid w:val="5E2D2D96"/>
    <w:multiLevelType w:val="hybridMultilevel"/>
    <w:tmpl w:val="16F412CC"/>
    <w:lvl w:ilvl="0" w:tplc="E83CF7FC">
      <w:start w:val="1"/>
      <w:numFmt w:val="bullet"/>
      <w:lvlText w:val=""/>
      <w:lvlJc w:val="left"/>
      <w:pPr>
        <w:ind w:left="360" w:hanging="360"/>
      </w:pPr>
      <w:rPr>
        <w:rFonts w:ascii="Symbol" w:hAnsi="Symbol" w:hint="default"/>
        <w:color w:val="auto"/>
        <w:sz w:val="22"/>
      </w:rPr>
    </w:lvl>
    <w:lvl w:ilvl="1" w:tplc="0296B29E">
      <w:start w:val="1"/>
      <w:numFmt w:val="lowerLetter"/>
      <w:lvlText w:val="%2."/>
      <w:lvlJc w:val="left"/>
      <w:pPr>
        <w:ind w:left="1080" w:hanging="360"/>
      </w:pPr>
    </w:lvl>
    <w:lvl w:ilvl="2" w:tplc="EA988AC4" w:tentative="1">
      <w:start w:val="1"/>
      <w:numFmt w:val="lowerRoman"/>
      <w:lvlText w:val="%3."/>
      <w:lvlJc w:val="right"/>
      <w:pPr>
        <w:ind w:left="1800" w:hanging="180"/>
      </w:pPr>
    </w:lvl>
    <w:lvl w:ilvl="3" w:tplc="256E5A4E" w:tentative="1">
      <w:start w:val="1"/>
      <w:numFmt w:val="decimal"/>
      <w:lvlText w:val="%4."/>
      <w:lvlJc w:val="left"/>
      <w:pPr>
        <w:ind w:left="2520" w:hanging="360"/>
      </w:pPr>
    </w:lvl>
    <w:lvl w:ilvl="4" w:tplc="D136A9C8" w:tentative="1">
      <w:start w:val="1"/>
      <w:numFmt w:val="lowerLetter"/>
      <w:lvlText w:val="%5."/>
      <w:lvlJc w:val="left"/>
      <w:pPr>
        <w:ind w:left="3240" w:hanging="360"/>
      </w:pPr>
    </w:lvl>
    <w:lvl w:ilvl="5" w:tplc="E4CC08CA" w:tentative="1">
      <w:start w:val="1"/>
      <w:numFmt w:val="lowerRoman"/>
      <w:lvlText w:val="%6."/>
      <w:lvlJc w:val="right"/>
      <w:pPr>
        <w:ind w:left="3960" w:hanging="180"/>
      </w:pPr>
    </w:lvl>
    <w:lvl w:ilvl="6" w:tplc="AA2024E0" w:tentative="1">
      <w:start w:val="1"/>
      <w:numFmt w:val="decimal"/>
      <w:lvlText w:val="%7."/>
      <w:lvlJc w:val="left"/>
      <w:pPr>
        <w:ind w:left="4680" w:hanging="360"/>
      </w:pPr>
    </w:lvl>
    <w:lvl w:ilvl="7" w:tplc="267CD66A" w:tentative="1">
      <w:start w:val="1"/>
      <w:numFmt w:val="lowerLetter"/>
      <w:lvlText w:val="%8."/>
      <w:lvlJc w:val="left"/>
      <w:pPr>
        <w:ind w:left="5400" w:hanging="360"/>
      </w:pPr>
    </w:lvl>
    <w:lvl w:ilvl="8" w:tplc="594C2B86" w:tentative="1">
      <w:start w:val="1"/>
      <w:numFmt w:val="lowerRoman"/>
      <w:lvlText w:val="%9."/>
      <w:lvlJc w:val="right"/>
      <w:pPr>
        <w:ind w:left="6120" w:hanging="180"/>
      </w:pPr>
    </w:lvl>
  </w:abstractNum>
  <w:abstractNum w:abstractNumId="9">
    <w:nsid w:val="672D6F49"/>
    <w:multiLevelType w:val="hybridMultilevel"/>
    <w:tmpl w:val="E42601EE"/>
    <w:lvl w:ilvl="0" w:tplc="3578AA46">
      <w:start w:val="1"/>
      <w:numFmt w:val="bullet"/>
      <w:pStyle w:val="BulletText"/>
      <w:lvlText w:val=""/>
      <w:lvlJc w:val="left"/>
      <w:pPr>
        <w:ind w:left="360" w:hanging="360"/>
      </w:pPr>
      <w:rPr>
        <w:rFonts w:ascii="Symbol" w:hAnsi="Symbol" w:hint="default"/>
        <w:color w:val="1F497D" w:themeColor="text2"/>
        <w:sz w:val="20"/>
      </w:rPr>
    </w:lvl>
    <w:lvl w:ilvl="1" w:tplc="C4629514">
      <w:start w:val="1"/>
      <w:numFmt w:val="bullet"/>
      <w:lvlText w:val="o"/>
      <w:lvlJc w:val="left"/>
      <w:pPr>
        <w:ind w:left="1440" w:hanging="360"/>
      </w:pPr>
      <w:rPr>
        <w:rFonts w:ascii="Courier New" w:hAnsi="Courier New" w:cs="Courier New" w:hint="default"/>
      </w:rPr>
    </w:lvl>
    <w:lvl w:ilvl="2" w:tplc="C8CCD95A" w:tentative="1">
      <w:start w:val="1"/>
      <w:numFmt w:val="bullet"/>
      <w:lvlText w:val=""/>
      <w:lvlJc w:val="left"/>
      <w:pPr>
        <w:ind w:left="2160" w:hanging="360"/>
      </w:pPr>
      <w:rPr>
        <w:rFonts w:ascii="Wingdings" w:hAnsi="Wingdings" w:hint="default"/>
      </w:rPr>
    </w:lvl>
    <w:lvl w:ilvl="3" w:tplc="F880F9D6" w:tentative="1">
      <w:start w:val="1"/>
      <w:numFmt w:val="bullet"/>
      <w:lvlText w:val=""/>
      <w:lvlJc w:val="left"/>
      <w:pPr>
        <w:ind w:left="2880" w:hanging="360"/>
      </w:pPr>
      <w:rPr>
        <w:rFonts w:ascii="Symbol" w:hAnsi="Symbol" w:hint="default"/>
      </w:rPr>
    </w:lvl>
    <w:lvl w:ilvl="4" w:tplc="19E24162" w:tentative="1">
      <w:start w:val="1"/>
      <w:numFmt w:val="bullet"/>
      <w:lvlText w:val="o"/>
      <w:lvlJc w:val="left"/>
      <w:pPr>
        <w:ind w:left="3600" w:hanging="360"/>
      </w:pPr>
      <w:rPr>
        <w:rFonts w:ascii="Courier New" w:hAnsi="Courier New" w:cs="Courier New" w:hint="default"/>
      </w:rPr>
    </w:lvl>
    <w:lvl w:ilvl="5" w:tplc="DE109676" w:tentative="1">
      <w:start w:val="1"/>
      <w:numFmt w:val="bullet"/>
      <w:lvlText w:val=""/>
      <w:lvlJc w:val="left"/>
      <w:pPr>
        <w:ind w:left="4320" w:hanging="360"/>
      </w:pPr>
      <w:rPr>
        <w:rFonts w:ascii="Wingdings" w:hAnsi="Wingdings" w:hint="default"/>
      </w:rPr>
    </w:lvl>
    <w:lvl w:ilvl="6" w:tplc="B342878A" w:tentative="1">
      <w:start w:val="1"/>
      <w:numFmt w:val="bullet"/>
      <w:lvlText w:val=""/>
      <w:lvlJc w:val="left"/>
      <w:pPr>
        <w:ind w:left="5040" w:hanging="360"/>
      </w:pPr>
      <w:rPr>
        <w:rFonts w:ascii="Symbol" w:hAnsi="Symbol" w:hint="default"/>
      </w:rPr>
    </w:lvl>
    <w:lvl w:ilvl="7" w:tplc="3C42257C" w:tentative="1">
      <w:start w:val="1"/>
      <w:numFmt w:val="bullet"/>
      <w:lvlText w:val="o"/>
      <w:lvlJc w:val="left"/>
      <w:pPr>
        <w:ind w:left="5760" w:hanging="360"/>
      </w:pPr>
      <w:rPr>
        <w:rFonts w:ascii="Courier New" w:hAnsi="Courier New" w:cs="Courier New" w:hint="default"/>
      </w:rPr>
    </w:lvl>
    <w:lvl w:ilvl="8" w:tplc="906E34FE" w:tentative="1">
      <w:start w:val="1"/>
      <w:numFmt w:val="bullet"/>
      <w:lvlText w:val=""/>
      <w:lvlJc w:val="left"/>
      <w:pPr>
        <w:ind w:left="6480" w:hanging="360"/>
      </w:pPr>
      <w:rPr>
        <w:rFonts w:ascii="Wingdings" w:hAnsi="Wingdings" w:hint="default"/>
      </w:rPr>
    </w:lvl>
  </w:abstractNum>
  <w:abstractNum w:abstractNumId="10">
    <w:nsid w:val="6C4030FF"/>
    <w:multiLevelType w:val="singleLevel"/>
    <w:tmpl w:val="E6E43430"/>
    <w:lvl w:ilvl="0">
      <w:start w:val="1"/>
      <w:numFmt w:val="bullet"/>
      <w:pStyle w:val="ListBullet2"/>
      <w:lvlText w:val="-"/>
      <w:lvlJc w:val="left"/>
      <w:pPr>
        <w:tabs>
          <w:tab w:val="num" w:pos="680"/>
        </w:tabs>
        <w:ind w:left="680" w:hanging="340"/>
      </w:pPr>
      <w:rPr>
        <w:rFonts w:ascii="Times New Roman" w:hAnsi="Times New Roman" w:hint="default"/>
      </w:rPr>
    </w:lvl>
  </w:abstractNum>
  <w:abstractNum w:abstractNumId="11">
    <w:nsid w:val="7284019E"/>
    <w:multiLevelType w:val="multilevel"/>
    <w:tmpl w:val="62B06B4A"/>
    <w:lvl w:ilvl="0">
      <w:start w:val="1"/>
      <w:numFmt w:val="decimal"/>
      <w:lvlText w:val="%1)"/>
      <w:lvlJc w:val="left"/>
      <w:pPr>
        <w:ind w:left="360" w:hanging="360"/>
      </w:pPr>
    </w:lvl>
    <w:lvl w:ilvl="1">
      <w:start w:val="1"/>
      <w:numFmt w:val="bullet"/>
      <w:lvlText w:val="–"/>
      <w:lvlJc w:val="left"/>
      <w:pPr>
        <w:ind w:left="720" w:hanging="360"/>
      </w:pPr>
      <w:rPr>
        <w:rFonts w:ascii="Univers 45 Light" w:hAnsi="Univers 45 Light" w:hint="default"/>
        <w:color w:val="auto"/>
        <w:sz w:val="22"/>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777E5F97"/>
    <w:multiLevelType w:val="multilevel"/>
    <w:tmpl w:val="CE12316E"/>
    <w:lvl w:ilvl="0">
      <w:start w:val="1"/>
      <w:numFmt w:val="upperLetter"/>
      <w:pStyle w:val="AppendixHeading"/>
      <w:lvlText w:val="%1"/>
      <w:lvlJc w:val="left"/>
      <w:pPr>
        <w:tabs>
          <w:tab w:val="num" w:pos="0"/>
        </w:tabs>
        <w:ind w:left="0" w:hanging="964"/>
      </w:pPr>
    </w:lvl>
    <w:lvl w:ilvl="1">
      <w:start w:val="1"/>
      <w:numFmt w:val="decimal"/>
      <w:pStyle w:val="AppendixHeading2"/>
      <w:lvlText w:val="%1.%2"/>
      <w:lvlJc w:val="left"/>
      <w:pPr>
        <w:tabs>
          <w:tab w:val="num" w:pos="0"/>
        </w:tabs>
        <w:ind w:left="0" w:hanging="964"/>
      </w:pPr>
    </w:lvl>
    <w:lvl w:ilvl="2">
      <w:start w:val="1"/>
      <w:numFmt w:val="decimal"/>
      <w:pStyle w:val="AppendixHeading3"/>
      <w:lvlText w:val="%1.%2.%3"/>
      <w:lvlJc w:val="left"/>
      <w:pPr>
        <w:tabs>
          <w:tab w:val="num" w:pos="0"/>
        </w:tabs>
        <w:ind w:left="0" w:hanging="964"/>
      </w:pPr>
    </w:lvl>
    <w:lvl w:ilvl="3">
      <w:start w:val="1"/>
      <w:numFmt w:val="decimal"/>
      <w:pStyle w:val="AppendixHeading4"/>
      <w:lvlText w:val="%1.%2.%3.%4"/>
      <w:lvlJc w:val="left"/>
      <w:pPr>
        <w:tabs>
          <w:tab w:val="num" w:pos="0"/>
        </w:tabs>
        <w:ind w:left="0" w:hanging="964"/>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13">
    <w:nsid w:val="7846566D"/>
    <w:multiLevelType w:val="singleLevel"/>
    <w:tmpl w:val="B580953E"/>
    <w:lvl w:ilvl="0">
      <w:start w:val="1"/>
      <w:numFmt w:val="bullet"/>
      <w:lvlText w:val=""/>
      <w:lvlJc w:val="left"/>
      <w:pPr>
        <w:tabs>
          <w:tab w:val="num" w:pos="340"/>
        </w:tabs>
        <w:ind w:left="340" w:hanging="340"/>
      </w:pPr>
      <w:rPr>
        <w:rFonts w:ascii="Symbol" w:hAnsi="Symbol" w:hint="default"/>
        <w:color w:val="auto"/>
        <w:sz w:val="22"/>
      </w:rPr>
    </w:lvl>
  </w:abstractNum>
  <w:abstractNum w:abstractNumId="14">
    <w:nsid w:val="7CB866E4"/>
    <w:multiLevelType w:val="hybridMultilevel"/>
    <w:tmpl w:val="F8D246E0"/>
    <w:lvl w:ilvl="0" w:tplc="48C6615A">
      <w:start w:val="1"/>
      <w:numFmt w:val="bullet"/>
      <w:lvlText w:val="o"/>
      <w:lvlJc w:val="left"/>
      <w:pPr>
        <w:ind w:left="700" w:hanging="360"/>
      </w:pPr>
      <w:rPr>
        <w:rFonts w:ascii="Courier New" w:hAnsi="Courier New" w:cs="Courier New" w:hint="default"/>
        <w:color w:val="auto"/>
        <w:sz w:val="22"/>
      </w:rPr>
    </w:lvl>
    <w:lvl w:ilvl="1" w:tplc="304E66B4" w:tentative="1">
      <w:start w:val="1"/>
      <w:numFmt w:val="bullet"/>
      <w:lvlText w:val="o"/>
      <w:lvlJc w:val="left"/>
      <w:pPr>
        <w:ind w:left="1420" w:hanging="360"/>
      </w:pPr>
      <w:rPr>
        <w:rFonts w:ascii="Courier New" w:hAnsi="Courier New" w:cs="Courier New" w:hint="default"/>
      </w:rPr>
    </w:lvl>
    <w:lvl w:ilvl="2" w:tplc="7D0EFE0C" w:tentative="1">
      <w:start w:val="1"/>
      <w:numFmt w:val="bullet"/>
      <w:lvlText w:val=""/>
      <w:lvlJc w:val="left"/>
      <w:pPr>
        <w:ind w:left="2140" w:hanging="360"/>
      </w:pPr>
      <w:rPr>
        <w:rFonts w:ascii="Wingdings" w:hAnsi="Wingdings" w:hint="default"/>
      </w:rPr>
    </w:lvl>
    <w:lvl w:ilvl="3" w:tplc="A5EE0434" w:tentative="1">
      <w:start w:val="1"/>
      <w:numFmt w:val="bullet"/>
      <w:lvlText w:val=""/>
      <w:lvlJc w:val="left"/>
      <w:pPr>
        <w:ind w:left="2860" w:hanging="360"/>
      </w:pPr>
      <w:rPr>
        <w:rFonts w:ascii="Symbol" w:hAnsi="Symbol" w:hint="default"/>
      </w:rPr>
    </w:lvl>
    <w:lvl w:ilvl="4" w:tplc="8B56CEB2" w:tentative="1">
      <w:start w:val="1"/>
      <w:numFmt w:val="bullet"/>
      <w:lvlText w:val="o"/>
      <w:lvlJc w:val="left"/>
      <w:pPr>
        <w:ind w:left="3580" w:hanging="360"/>
      </w:pPr>
      <w:rPr>
        <w:rFonts w:ascii="Courier New" w:hAnsi="Courier New" w:cs="Courier New" w:hint="default"/>
      </w:rPr>
    </w:lvl>
    <w:lvl w:ilvl="5" w:tplc="126AB0EC" w:tentative="1">
      <w:start w:val="1"/>
      <w:numFmt w:val="bullet"/>
      <w:lvlText w:val=""/>
      <w:lvlJc w:val="left"/>
      <w:pPr>
        <w:ind w:left="4300" w:hanging="360"/>
      </w:pPr>
      <w:rPr>
        <w:rFonts w:ascii="Wingdings" w:hAnsi="Wingdings" w:hint="default"/>
      </w:rPr>
    </w:lvl>
    <w:lvl w:ilvl="6" w:tplc="D0222B04" w:tentative="1">
      <w:start w:val="1"/>
      <w:numFmt w:val="bullet"/>
      <w:lvlText w:val=""/>
      <w:lvlJc w:val="left"/>
      <w:pPr>
        <w:ind w:left="5020" w:hanging="360"/>
      </w:pPr>
      <w:rPr>
        <w:rFonts w:ascii="Symbol" w:hAnsi="Symbol" w:hint="default"/>
      </w:rPr>
    </w:lvl>
    <w:lvl w:ilvl="7" w:tplc="C0A8672A" w:tentative="1">
      <w:start w:val="1"/>
      <w:numFmt w:val="bullet"/>
      <w:lvlText w:val="o"/>
      <w:lvlJc w:val="left"/>
      <w:pPr>
        <w:ind w:left="5740" w:hanging="360"/>
      </w:pPr>
      <w:rPr>
        <w:rFonts w:ascii="Courier New" w:hAnsi="Courier New" w:cs="Courier New" w:hint="default"/>
      </w:rPr>
    </w:lvl>
    <w:lvl w:ilvl="8" w:tplc="1A36D210" w:tentative="1">
      <w:start w:val="1"/>
      <w:numFmt w:val="bullet"/>
      <w:lvlText w:val=""/>
      <w:lvlJc w:val="left"/>
      <w:pPr>
        <w:ind w:left="6460" w:hanging="360"/>
      </w:pPr>
      <w:rPr>
        <w:rFonts w:ascii="Wingdings" w:hAnsi="Wingdings" w:hint="default"/>
      </w:rPr>
    </w:lvl>
  </w:abstractNum>
  <w:abstractNum w:abstractNumId="15">
    <w:nsid w:val="7E3C061B"/>
    <w:multiLevelType w:val="singleLevel"/>
    <w:tmpl w:val="EB4E8FB8"/>
    <w:lvl w:ilvl="0">
      <w:start w:val="1"/>
      <w:numFmt w:val="bullet"/>
      <w:lvlText w:val=""/>
      <w:lvlJc w:val="left"/>
      <w:pPr>
        <w:tabs>
          <w:tab w:val="num" w:pos="340"/>
        </w:tabs>
        <w:ind w:left="340" w:hanging="340"/>
      </w:pPr>
      <w:rPr>
        <w:rFonts w:ascii="Symbol" w:hAnsi="Symbol" w:hint="default"/>
        <w:color w:val="auto"/>
        <w:sz w:val="22"/>
      </w:rPr>
    </w:lvl>
  </w:abstractNum>
  <w:num w:numId="1">
    <w:abstractNumId w:val="10"/>
  </w:num>
  <w:num w:numId="2">
    <w:abstractNumId w:val="7"/>
  </w:num>
  <w:num w:numId="3">
    <w:abstractNumId w:val="12"/>
  </w:num>
  <w:num w:numId="4">
    <w:abstractNumId w:val="1"/>
  </w:num>
  <w:num w:numId="5">
    <w:abstractNumId w:val="0"/>
  </w:num>
  <w:num w:numId="6">
    <w:abstractNumId w:val="3"/>
  </w:num>
  <w:num w:numId="7">
    <w:abstractNumId w:val="2"/>
  </w:num>
  <w:num w:numId="8">
    <w:abstractNumId w:val="8"/>
  </w:num>
  <w:num w:numId="9">
    <w:abstractNumId w:val="15"/>
  </w:num>
  <w:num w:numId="10">
    <w:abstractNumId w:val="11"/>
  </w:num>
  <w:num w:numId="11">
    <w:abstractNumId w:val="14"/>
  </w:num>
  <w:num w:numId="12">
    <w:abstractNumId w:val="4"/>
  </w:num>
  <w:num w:numId="13">
    <w:abstractNumId w:val="6"/>
  </w:num>
  <w:num w:numId="14">
    <w:abstractNumId w:val="9"/>
  </w:num>
  <w:num w:numId="15">
    <w:abstractNumId w:val="13"/>
  </w:num>
  <w:num w:numId="16">
    <w:abstractNumId w:val="5"/>
  </w:num>
  <w:num w:numId="17">
    <w:abstractNumId w:val="7"/>
  </w:num>
  <w:num w:numId="18">
    <w:abstractNumId w:val="7"/>
  </w:num>
  <w:num w:numId="19">
    <w:abstractNumId w:val="7"/>
  </w:num>
  <w:num w:numId="20">
    <w:abstractNumId w:val="7"/>
  </w:num>
  <w:num w:numId="21">
    <w:abstractNumId w:val="7"/>
  </w:num>
  <w:num w:numId="22">
    <w:abstractNumId w:val="7"/>
  </w:num>
  <w:num w:numId="23">
    <w:abstractNumId w:val="7"/>
  </w:num>
  <w:num w:numId="24">
    <w:abstractNumId w:val="9"/>
  </w:num>
  <w:num w:numId="25">
    <w:abstractNumId w:val="9"/>
  </w:num>
  <w:num w:numId="26">
    <w:abstractNumId w:val="9"/>
  </w:num>
  <w:num w:numId="27">
    <w:abstractNumId w:val="9"/>
  </w:num>
  <w:num w:numId="28">
    <w:abstractNumId w:val="9"/>
  </w:num>
  <w:num w:numId="29">
    <w:abstractNumId w:val="9"/>
  </w:num>
  <w:num w:numId="30">
    <w:abstractNumId w:val="9"/>
  </w:num>
  <w:num w:numId="31">
    <w:abstractNumId w:val="9"/>
  </w:num>
  <w:num w:numId="32">
    <w:abstractNumId w:val="9"/>
  </w:num>
  <w:num w:numId="33">
    <w:abstractNumId w:val="9"/>
  </w:num>
  <w:num w:numId="34">
    <w:abstractNumId w:val="9"/>
  </w:num>
  <w:num w:numId="35">
    <w:abstractNumId w:val="9"/>
  </w:num>
  <w:num w:numId="36">
    <w:abstractNumId w:val="9"/>
  </w:num>
  <w:num w:numId="37">
    <w:abstractNumId w:val="9"/>
  </w:num>
  <w:num w:numId="38">
    <w:abstractNumId w:val="9"/>
  </w:num>
  <w:num w:numId="39">
    <w:abstractNumId w:val="9"/>
  </w:num>
  <w:num w:numId="40">
    <w:abstractNumId w:val="9"/>
  </w:num>
  <w:num w:numId="41">
    <w:abstractNumId w:val="9"/>
  </w:num>
  <w:num w:numId="42">
    <w:abstractNumId w:val="9"/>
  </w:num>
  <w:num w:numId="43">
    <w:abstractNumId w:val="9"/>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attachedTemplate r:id="rId1"/>
  <w:stylePaneFormatFilter w:val="3F01"/>
  <w:defaultTabStop w:val="567"/>
  <w:doNotHyphenateCaps/>
  <w:drawingGridHorizontalSpacing w:val="110"/>
  <w:displayHorizontalDrawingGridEvery w:val="0"/>
  <w:displayVerticalDrawingGridEvery w:val="0"/>
  <w:doNotShadeFormData/>
  <w:noPunctuationKerning/>
  <w:characterSpacingControl w:val="doNotCompress"/>
  <w:hdrShapeDefaults>
    <o:shapedefaults v:ext="edit" spidmax="2060"/>
    <o:shapelayout v:ext="edit">
      <o:idmap v:ext="edit" data="2"/>
    </o:shapelayout>
  </w:hdrShapeDefaults>
  <w:footnotePr>
    <w:footnote w:id="-1"/>
    <w:footnote w:id="0"/>
  </w:footnotePr>
  <w:endnotePr>
    <w:endnote w:id="-1"/>
    <w:endnote w:id="0"/>
  </w:endnotePr>
  <w:compat/>
  <w:docVars>
    <w:docVar w:name="BrandText" w:val="Advisory"/>
    <w:docVar w:name="CoName" w:val="Department of the Environment"/>
    <w:docVar w:name="DraftWatermark" w:val="0"/>
    <w:docVar w:name="FirmName" w:val="KPMG"/>
    <w:docVar w:name="HdrInfo" w:val="June 2014"/>
    <w:docVar w:name="HdrInfoA" w:val="Advisory"/>
    <w:docVar w:name="KISDocType" w:val="Report"/>
    <w:docVar w:name="KISFilledIn" w:val="Y"/>
    <w:docVar w:name="KISVer" w:val="3.0"/>
    <w:docVar w:name="Num3Paras" w:val="No"/>
    <w:docVar w:name="OffIndex" w:val=" 12"/>
    <w:docVar w:name="OffName" w:val="Sydney"/>
    <w:docVar w:name="Orientation" w:val="Portrait"/>
    <w:docVar w:name="ReptStyle" w:val=" 0"/>
  </w:docVars>
  <w:rsids>
    <w:rsidRoot w:val="008178B3"/>
    <w:rsid w:val="00012D51"/>
    <w:rsid w:val="00013197"/>
    <w:rsid w:val="00015426"/>
    <w:rsid w:val="00015D27"/>
    <w:rsid w:val="00031E57"/>
    <w:rsid w:val="000352F9"/>
    <w:rsid w:val="00035A37"/>
    <w:rsid w:val="00042976"/>
    <w:rsid w:val="0004302E"/>
    <w:rsid w:val="00050E3F"/>
    <w:rsid w:val="000536C5"/>
    <w:rsid w:val="00055F48"/>
    <w:rsid w:val="00077C9D"/>
    <w:rsid w:val="000823CC"/>
    <w:rsid w:val="000847C7"/>
    <w:rsid w:val="000906CD"/>
    <w:rsid w:val="00090B6E"/>
    <w:rsid w:val="00095C6D"/>
    <w:rsid w:val="00095D47"/>
    <w:rsid w:val="000962B0"/>
    <w:rsid w:val="00096E01"/>
    <w:rsid w:val="000A15B9"/>
    <w:rsid w:val="000A56E5"/>
    <w:rsid w:val="000A7C53"/>
    <w:rsid w:val="000B3550"/>
    <w:rsid w:val="000B3BF6"/>
    <w:rsid w:val="000B44FB"/>
    <w:rsid w:val="000C569C"/>
    <w:rsid w:val="000C57AE"/>
    <w:rsid w:val="000D325A"/>
    <w:rsid w:val="000E144F"/>
    <w:rsid w:val="000E1658"/>
    <w:rsid w:val="000E1FD9"/>
    <w:rsid w:val="000E3658"/>
    <w:rsid w:val="000E62FA"/>
    <w:rsid w:val="000E6BEE"/>
    <w:rsid w:val="000F2C82"/>
    <w:rsid w:val="000F413C"/>
    <w:rsid w:val="000F5637"/>
    <w:rsid w:val="000F6DA5"/>
    <w:rsid w:val="000F7451"/>
    <w:rsid w:val="00101677"/>
    <w:rsid w:val="00107146"/>
    <w:rsid w:val="0011645F"/>
    <w:rsid w:val="00122F56"/>
    <w:rsid w:val="00127A5E"/>
    <w:rsid w:val="001304E4"/>
    <w:rsid w:val="00134AD0"/>
    <w:rsid w:val="00137325"/>
    <w:rsid w:val="0014680E"/>
    <w:rsid w:val="001505B4"/>
    <w:rsid w:val="00151903"/>
    <w:rsid w:val="0015368A"/>
    <w:rsid w:val="00155A2E"/>
    <w:rsid w:val="001569E6"/>
    <w:rsid w:val="00160907"/>
    <w:rsid w:val="0016103D"/>
    <w:rsid w:val="00166214"/>
    <w:rsid w:val="00166708"/>
    <w:rsid w:val="00174F9F"/>
    <w:rsid w:val="00191721"/>
    <w:rsid w:val="001921E5"/>
    <w:rsid w:val="00192C46"/>
    <w:rsid w:val="00193016"/>
    <w:rsid w:val="001931BD"/>
    <w:rsid w:val="00196713"/>
    <w:rsid w:val="001A36AD"/>
    <w:rsid w:val="001A6453"/>
    <w:rsid w:val="001B3382"/>
    <w:rsid w:val="001C36AA"/>
    <w:rsid w:val="001C4357"/>
    <w:rsid w:val="001D46DE"/>
    <w:rsid w:val="001D4741"/>
    <w:rsid w:val="001D4A5E"/>
    <w:rsid w:val="001E5D7A"/>
    <w:rsid w:val="001E7727"/>
    <w:rsid w:val="001F47A7"/>
    <w:rsid w:val="001F72BB"/>
    <w:rsid w:val="00201C37"/>
    <w:rsid w:val="00203A80"/>
    <w:rsid w:val="00205FF9"/>
    <w:rsid w:val="002076BF"/>
    <w:rsid w:val="00227D51"/>
    <w:rsid w:val="002314AD"/>
    <w:rsid w:val="00231AB4"/>
    <w:rsid w:val="00240BDD"/>
    <w:rsid w:val="002441F5"/>
    <w:rsid w:val="00245322"/>
    <w:rsid w:val="00251D40"/>
    <w:rsid w:val="002577FE"/>
    <w:rsid w:val="002612DA"/>
    <w:rsid w:val="00261751"/>
    <w:rsid w:val="0026531A"/>
    <w:rsid w:val="00265EF0"/>
    <w:rsid w:val="00266CC9"/>
    <w:rsid w:val="0027130E"/>
    <w:rsid w:val="002744CB"/>
    <w:rsid w:val="00275767"/>
    <w:rsid w:val="0028029F"/>
    <w:rsid w:val="00280F2A"/>
    <w:rsid w:val="0028139C"/>
    <w:rsid w:val="00291E00"/>
    <w:rsid w:val="002959D8"/>
    <w:rsid w:val="002A4C82"/>
    <w:rsid w:val="002A5C07"/>
    <w:rsid w:val="002A5CAA"/>
    <w:rsid w:val="002A5E78"/>
    <w:rsid w:val="002C17DA"/>
    <w:rsid w:val="002C5ACB"/>
    <w:rsid w:val="002D5B7E"/>
    <w:rsid w:val="002E0107"/>
    <w:rsid w:val="002F07BC"/>
    <w:rsid w:val="002F1BBE"/>
    <w:rsid w:val="002F4324"/>
    <w:rsid w:val="003052D5"/>
    <w:rsid w:val="00305FA1"/>
    <w:rsid w:val="003065DC"/>
    <w:rsid w:val="00313E24"/>
    <w:rsid w:val="00316F6A"/>
    <w:rsid w:val="003335DD"/>
    <w:rsid w:val="00333F0F"/>
    <w:rsid w:val="003369BF"/>
    <w:rsid w:val="00341287"/>
    <w:rsid w:val="00341B66"/>
    <w:rsid w:val="003816B1"/>
    <w:rsid w:val="003843B7"/>
    <w:rsid w:val="00387640"/>
    <w:rsid w:val="00390168"/>
    <w:rsid w:val="0039339F"/>
    <w:rsid w:val="003957F8"/>
    <w:rsid w:val="00395CE1"/>
    <w:rsid w:val="003A5688"/>
    <w:rsid w:val="003A6CDB"/>
    <w:rsid w:val="003B13B0"/>
    <w:rsid w:val="003C2E6C"/>
    <w:rsid w:val="003C5AE0"/>
    <w:rsid w:val="003D053E"/>
    <w:rsid w:val="003D3BAB"/>
    <w:rsid w:val="003D41BA"/>
    <w:rsid w:val="003E04E7"/>
    <w:rsid w:val="003F3B13"/>
    <w:rsid w:val="003F75B8"/>
    <w:rsid w:val="00400BE8"/>
    <w:rsid w:val="00406CFE"/>
    <w:rsid w:val="004071E5"/>
    <w:rsid w:val="0041324C"/>
    <w:rsid w:val="00413BD8"/>
    <w:rsid w:val="00415EC2"/>
    <w:rsid w:val="004225A6"/>
    <w:rsid w:val="00425F2D"/>
    <w:rsid w:val="004350F5"/>
    <w:rsid w:val="0043543B"/>
    <w:rsid w:val="00436A37"/>
    <w:rsid w:val="00440636"/>
    <w:rsid w:val="00443316"/>
    <w:rsid w:val="00443CE3"/>
    <w:rsid w:val="00445FE6"/>
    <w:rsid w:val="00452343"/>
    <w:rsid w:val="00455CB0"/>
    <w:rsid w:val="00460A07"/>
    <w:rsid w:val="00463815"/>
    <w:rsid w:val="00463D0D"/>
    <w:rsid w:val="00475AA6"/>
    <w:rsid w:val="00481D60"/>
    <w:rsid w:val="004827BE"/>
    <w:rsid w:val="00485764"/>
    <w:rsid w:val="004911FE"/>
    <w:rsid w:val="00494C1C"/>
    <w:rsid w:val="00496A9D"/>
    <w:rsid w:val="004A1526"/>
    <w:rsid w:val="004A31C7"/>
    <w:rsid w:val="004A470C"/>
    <w:rsid w:val="004A4B83"/>
    <w:rsid w:val="004A6275"/>
    <w:rsid w:val="004B185F"/>
    <w:rsid w:val="004B3F67"/>
    <w:rsid w:val="004B7965"/>
    <w:rsid w:val="004C0765"/>
    <w:rsid w:val="004C4D34"/>
    <w:rsid w:val="004C7F41"/>
    <w:rsid w:val="004D234F"/>
    <w:rsid w:val="004D6207"/>
    <w:rsid w:val="004E1265"/>
    <w:rsid w:val="004E1350"/>
    <w:rsid w:val="004E68E6"/>
    <w:rsid w:val="004F3D1B"/>
    <w:rsid w:val="004F52DD"/>
    <w:rsid w:val="004F7431"/>
    <w:rsid w:val="00500B54"/>
    <w:rsid w:val="00504D4B"/>
    <w:rsid w:val="00510D75"/>
    <w:rsid w:val="00515755"/>
    <w:rsid w:val="005201D9"/>
    <w:rsid w:val="005229AB"/>
    <w:rsid w:val="005235CC"/>
    <w:rsid w:val="005367FB"/>
    <w:rsid w:val="005374D0"/>
    <w:rsid w:val="00540FF0"/>
    <w:rsid w:val="005413FE"/>
    <w:rsid w:val="005505BB"/>
    <w:rsid w:val="005533BA"/>
    <w:rsid w:val="00560FF4"/>
    <w:rsid w:val="0056352C"/>
    <w:rsid w:val="0057405F"/>
    <w:rsid w:val="00575EE2"/>
    <w:rsid w:val="00580CBD"/>
    <w:rsid w:val="0058112F"/>
    <w:rsid w:val="00586D48"/>
    <w:rsid w:val="00586F30"/>
    <w:rsid w:val="00587F6B"/>
    <w:rsid w:val="005924C0"/>
    <w:rsid w:val="00594660"/>
    <w:rsid w:val="005A52EB"/>
    <w:rsid w:val="005B1616"/>
    <w:rsid w:val="005C1070"/>
    <w:rsid w:val="005C3108"/>
    <w:rsid w:val="005C4108"/>
    <w:rsid w:val="005C7001"/>
    <w:rsid w:val="005D366F"/>
    <w:rsid w:val="005D7E4C"/>
    <w:rsid w:val="005E2654"/>
    <w:rsid w:val="005F22AC"/>
    <w:rsid w:val="005F3424"/>
    <w:rsid w:val="005F42B2"/>
    <w:rsid w:val="005F5E5D"/>
    <w:rsid w:val="00601BF3"/>
    <w:rsid w:val="00602341"/>
    <w:rsid w:val="00602E93"/>
    <w:rsid w:val="0060312D"/>
    <w:rsid w:val="00612435"/>
    <w:rsid w:val="006165E6"/>
    <w:rsid w:val="0063466F"/>
    <w:rsid w:val="00635C9C"/>
    <w:rsid w:val="0063673E"/>
    <w:rsid w:val="0065293F"/>
    <w:rsid w:val="00655970"/>
    <w:rsid w:val="00663469"/>
    <w:rsid w:val="00663DCD"/>
    <w:rsid w:val="00671098"/>
    <w:rsid w:val="00671CBE"/>
    <w:rsid w:val="00674B58"/>
    <w:rsid w:val="0067690D"/>
    <w:rsid w:val="00676F5A"/>
    <w:rsid w:val="0069023A"/>
    <w:rsid w:val="0069460F"/>
    <w:rsid w:val="006A05B4"/>
    <w:rsid w:val="006B4A9B"/>
    <w:rsid w:val="006B73DF"/>
    <w:rsid w:val="006C72D9"/>
    <w:rsid w:val="006D580E"/>
    <w:rsid w:val="006E0E55"/>
    <w:rsid w:val="006E3232"/>
    <w:rsid w:val="006E7BAA"/>
    <w:rsid w:val="006F155E"/>
    <w:rsid w:val="006F20CF"/>
    <w:rsid w:val="006F3822"/>
    <w:rsid w:val="006F41D5"/>
    <w:rsid w:val="006F5750"/>
    <w:rsid w:val="006F64DB"/>
    <w:rsid w:val="006F76C2"/>
    <w:rsid w:val="00703790"/>
    <w:rsid w:val="00705863"/>
    <w:rsid w:val="00710703"/>
    <w:rsid w:val="0073202C"/>
    <w:rsid w:val="00735AD9"/>
    <w:rsid w:val="00746EAA"/>
    <w:rsid w:val="007500A5"/>
    <w:rsid w:val="00752704"/>
    <w:rsid w:val="00754D61"/>
    <w:rsid w:val="00755C02"/>
    <w:rsid w:val="00762A80"/>
    <w:rsid w:val="007671AF"/>
    <w:rsid w:val="00767C4E"/>
    <w:rsid w:val="007748FF"/>
    <w:rsid w:val="00776C12"/>
    <w:rsid w:val="00781317"/>
    <w:rsid w:val="00785131"/>
    <w:rsid w:val="00785E11"/>
    <w:rsid w:val="007A7415"/>
    <w:rsid w:val="007B1481"/>
    <w:rsid w:val="007B446E"/>
    <w:rsid w:val="007C56D0"/>
    <w:rsid w:val="007D4DF2"/>
    <w:rsid w:val="007E33A4"/>
    <w:rsid w:val="007E34F8"/>
    <w:rsid w:val="007E3ABF"/>
    <w:rsid w:val="007F1ABE"/>
    <w:rsid w:val="007F3093"/>
    <w:rsid w:val="007F6E5E"/>
    <w:rsid w:val="007F6FBD"/>
    <w:rsid w:val="00804FE4"/>
    <w:rsid w:val="008075A9"/>
    <w:rsid w:val="00811882"/>
    <w:rsid w:val="0081406E"/>
    <w:rsid w:val="00815E5C"/>
    <w:rsid w:val="00816C7D"/>
    <w:rsid w:val="00817855"/>
    <w:rsid w:val="008178B3"/>
    <w:rsid w:val="00822251"/>
    <w:rsid w:val="008227F4"/>
    <w:rsid w:val="00825E29"/>
    <w:rsid w:val="0082640C"/>
    <w:rsid w:val="008370C7"/>
    <w:rsid w:val="00842360"/>
    <w:rsid w:val="00844DAE"/>
    <w:rsid w:val="0085085D"/>
    <w:rsid w:val="0085414D"/>
    <w:rsid w:val="00856771"/>
    <w:rsid w:val="008610E0"/>
    <w:rsid w:val="008640F7"/>
    <w:rsid w:val="00865C39"/>
    <w:rsid w:val="00874923"/>
    <w:rsid w:val="00884D9F"/>
    <w:rsid w:val="00895876"/>
    <w:rsid w:val="008B2AF2"/>
    <w:rsid w:val="008C0EE0"/>
    <w:rsid w:val="008C4591"/>
    <w:rsid w:val="008C52E6"/>
    <w:rsid w:val="008D2FE7"/>
    <w:rsid w:val="008D77DC"/>
    <w:rsid w:val="008E41D3"/>
    <w:rsid w:val="008E5E83"/>
    <w:rsid w:val="008F05A9"/>
    <w:rsid w:val="008F1D1F"/>
    <w:rsid w:val="008F6C5D"/>
    <w:rsid w:val="00902EF0"/>
    <w:rsid w:val="00913369"/>
    <w:rsid w:val="009168B2"/>
    <w:rsid w:val="00921C10"/>
    <w:rsid w:val="0092426E"/>
    <w:rsid w:val="00934094"/>
    <w:rsid w:val="00940C51"/>
    <w:rsid w:val="0095375B"/>
    <w:rsid w:val="00953A19"/>
    <w:rsid w:val="00957A1E"/>
    <w:rsid w:val="009642CC"/>
    <w:rsid w:val="0096787C"/>
    <w:rsid w:val="00972414"/>
    <w:rsid w:val="009726E8"/>
    <w:rsid w:val="00974A65"/>
    <w:rsid w:val="00975F41"/>
    <w:rsid w:val="0098673E"/>
    <w:rsid w:val="00993FC3"/>
    <w:rsid w:val="0099511A"/>
    <w:rsid w:val="00997552"/>
    <w:rsid w:val="009A025D"/>
    <w:rsid w:val="009A18BC"/>
    <w:rsid w:val="009A60D0"/>
    <w:rsid w:val="009B12A1"/>
    <w:rsid w:val="009C0D61"/>
    <w:rsid w:val="009C3D43"/>
    <w:rsid w:val="009E1823"/>
    <w:rsid w:val="009E244F"/>
    <w:rsid w:val="009E2F36"/>
    <w:rsid w:val="009E3F37"/>
    <w:rsid w:val="009E4008"/>
    <w:rsid w:val="009E6225"/>
    <w:rsid w:val="009F41F8"/>
    <w:rsid w:val="009F633C"/>
    <w:rsid w:val="00A00B61"/>
    <w:rsid w:val="00A028D0"/>
    <w:rsid w:val="00A04B36"/>
    <w:rsid w:val="00A06427"/>
    <w:rsid w:val="00A1635C"/>
    <w:rsid w:val="00A23141"/>
    <w:rsid w:val="00A25B26"/>
    <w:rsid w:val="00A2682B"/>
    <w:rsid w:val="00A31DF1"/>
    <w:rsid w:val="00A32DFC"/>
    <w:rsid w:val="00A34FB4"/>
    <w:rsid w:val="00A35EFE"/>
    <w:rsid w:val="00A40F79"/>
    <w:rsid w:val="00A45495"/>
    <w:rsid w:val="00A516EB"/>
    <w:rsid w:val="00A51EFB"/>
    <w:rsid w:val="00A573F3"/>
    <w:rsid w:val="00A6218E"/>
    <w:rsid w:val="00A66653"/>
    <w:rsid w:val="00A67941"/>
    <w:rsid w:val="00A7618E"/>
    <w:rsid w:val="00A7680C"/>
    <w:rsid w:val="00A810F9"/>
    <w:rsid w:val="00A82135"/>
    <w:rsid w:val="00A8486A"/>
    <w:rsid w:val="00A850F5"/>
    <w:rsid w:val="00A877EF"/>
    <w:rsid w:val="00A918F0"/>
    <w:rsid w:val="00A928DA"/>
    <w:rsid w:val="00AB4B1A"/>
    <w:rsid w:val="00AB5CD9"/>
    <w:rsid w:val="00AB7A1F"/>
    <w:rsid w:val="00AC2630"/>
    <w:rsid w:val="00AC5F4D"/>
    <w:rsid w:val="00AC6354"/>
    <w:rsid w:val="00AD1417"/>
    <w:rsid w:val="00AD4813"/>
    <w:rsid w:val="00AD54B5"/>
    <w:rsid w:val="00AD60A0"/>
    <w:rsid w:val="00AD612D"/>
    <w:rsid w:val="00AE06D7"/>
    <w:rsid w:val="00AE2473"/>
    <w:rsid w:val="00B025E1"/>
    <w:rsid w:val="00B02D49"/>
    <w:rsid w:val="00B02F74"/>
    <w:rsid w:val="00B03403"/>
    <w:rsid w:val="00B04D6A"/>
    <w:rsid w:val="00B07660"/>
    <w:rsid w:val="00B10A48"/>
    <w:rsid w:val="00B1320A"/>
    <w:rsid w:val="00B1778C"/>
    <w:rsid w:val="00B20A92"/>
    <w:rsid w:val="00B2291B"/>
    <w:rsid w:val="00B27C98"/>
    <w:rsid w:val="00B40723"/>
    <w:rsid w:val="00B40E61"/>
    <w:rsid w:val="00B45195"/>
    <w:rsid w:val="00B45DB2"/>
    <w:rsid w:val="00B47AA0"/>
    <w:rsid w:val="00B519F2"/>
    <w:rsid w:val="00B56B60"/>
    <w:rsid w:val="00B66817"/>
    <w:rsid w:val="00B71537"/>
    <w:rsid w:val="00B73864"/>
    <w:rsid w:val="00B752D8"/>
    <w:rsid w:val="00B75744"/>
    <w:rsid w:val="00B76115"/>
    <w:rsid w:val="00B82153"/>
    <w:rsid w:val="00B9468C"/>
    <w:rsid w:val="00BB1D37"/>
    <w:rsid w:val="00BB3DC4"/>
    <w:rsid w:val="00BB6CB1"/>
    <w:rsid w:val="00BC3EA4"/>
    <w:rsid w:val="00BD67F1"/>
    <w:rsid w:val="00BE4A7E"/>
    <w:rsid w:val="00BE4FE7"/>
    <w:rsid w:val="00BE694F"/>
    <w:rsid w:val="00BF08BF"/>
    <w:rsid w:val="00BF1159"/>
    <w:rsid w:val="00BF344F"/>
    <w:rsid w:val="00BF5D90"/>
    <w:rsid w:val="00BF642D"/>
    <w:rsid w:val="00BF7B0F"/>
    <w:rsid w:val="00C00A3A"/>
    <w:rsid w:val="00C01F0D"/>
    <w:rsid w:val="00C11121"/>
    <w:rsid w:val="00C116D4"/>
    <w:rsid w:val="00C162FA"/>
    <w:rsid w:val="00C23FCB"/>
    <w:rsid w:val="00C24F78"/>
    <w:rsid w:val="00C27E4E"/>
    <w:rsid w:val="00C31247"/>
    <w:rsid w:val="00C3751B"/>
    <w:rsid w:val="00C41592"/>
    <w:rsid w:val="00C463F5"/>
    <w:rsid w:val="00C478AE"/>
    <w:rsid w:val="00C5040A"/>
    <w:rsid w:val="00C507D8"/>
    <w:rsid w:val="00C559D7"/>
    <w:rsid w:val="00C65A17"/>
    <w:rsid w:val="00C66B91"/>
    <w:rsid w:val="00C71019"/>
    <w:rsid w:val="00C71F07"/>
    <w:rsid w:val="00C72CEA"/>
    <w:rsid w:val="00C81C48"/>
    <w:rsid w:val="00C8251D"/>
    <w:rsid w:val="00C82CC0"/>
    <w:rsid w:val="00C91064"/>
    <w:rsid w:val="00C91F78"/>
    <w:rsid w:val="00C93743"/>
    <w:rsid w:val="00CA09C0"/>
    <w:rsid w:val="00CB0B21"/>
    <w:rsid w:val="00CC001C"/>
    <w:rsid w:val="00CC391F"/>
    <w:rsid w:val="00CC46F5"/>
    <w:rsid w:val="00CC61A5"/>
    <w:rsid w:val="00CD093A"/>
    <w:rsid w:val="00CD16C2"/>
    <w:rsid w:val="00CD7A23"/>
    <w:rsid w:val="00CE3BAC"/>
    <w:rsid w:val="00CF21A2"/>
    <w:rsid w:val="00CF285D"/>
    <w:rsid w:val="00CF744A"/>
    <w:rsid w:val="00CF7477"/>
    <w:rsid w:val="00D02B8D"/>
    <w:rsid w:val="00D032F8"/>
    <w:rsid w:val="00D03586"/>
    <w:rsid w:val="00D054BD"/>
    <w:rsid w:val="00D06305"/>
    <w:rsid w:val="00D11216"/>
    <w:rsid w:val="00D1554D"/>
    <w:rsid w:val="00D20B7E"/>
    <w:rsid w:val="00D23544"/>
    <w:rsid w:val="00D2728A"/>
    <w:rsid w:val="00D322DF"/>
    <w:rsid w:val="00D3289E"/>
    <w:rsid w:val="00D3379F"/>
    <w:rsid w:val="00D34519"/>
    <w:rsid w:val="00D36427"/>
    <w:rsid w:val="00D413E9"/>
    <w:rsid w:val="00D462F0"/>
    <w:rsid w:val="00D4784B"/>
    <w:rsid w:val="00D55184"/>
    <w:rsid w:val="00D60CF0"/>
    <w:rsid w:val="00D6221F"/>
    <w:rsid w:val="00D6559E"/>
    <w:rsid w:val="00D662FF"/>
    <w:rsid w:val="00D6665A"/>
    <w:rsid w:val="00D81C29"/>
    <w:rsid w:val="00D82B54"/>
    <w:rsid w:val="00D85C2B"/>
    <w:rsid w:val="00D9278A"/>
    <w:rsid w:val="00D96CA1"/>
    <w:rsid w:val="00DA6B3F"/>
    <w:rsid w:val="00DB46DD"/>
    <w:rsid w:val="00DC1CC1"/>
    <w:rsid w:val="00DC2AD4"/>
    <w:rsid w:val="00DD5F52"/>
    <w:rsid w:val="00DD63DE"/>
    <w:rsid w:val="00DE2C0B"/>
    <w:rsid w:val="00DE2ECB"/>
    <w:rsid w:val="00DE4123"/>
    <w:rsid w:val="00DE6628"/>
    <w:rsid w:val="00DF2C71"/>
    <w:rsid w:val="00DF4407"/>
    <w:rsid w:val="00DF4A79"/>
    <w:rsid w:val="00DF5B9E"/>
    <w:rsid w:val="00E00EE8"/>
    <w:rsid w:val="00E02850"/>
    <w:rsid w:val="00E072A0"/>
    <w:rsid w:val="00E10441"/>
    <w:rsid w:val="00E117C0"/>
    <w:rsid w:val="00E225DD"/>
    <w:rsid w:val="00E25C35"/>
    <w:rsid w:val="00E312DA"/>
    <w:rsid w:val="00E37793"/>
    <w:rsid w:val="00E44F5C"/>
    <w:rsid w:val="00E45714"/>
    <w:rsid w:val="00E47C36"/>
    <w:rsid w:val="00E506EB"/>
    <w:rsid w:val="00E633FD"/>
    <w:rsid w:val="00E63867"/>
    <w:rsid w:val="00E73CE7"/>
    <w:rsid w:val="00E753D7"/>
    <w:rsid w:val="00E76D2D"/>
    <w:rsid w:val="00E85669"/>
    <w:rsid w:val="00E91C08"/>
    <w:rsid w:val="00E94FE0"/>
    <w:rsid w:val="00E960D0"/>
    <w:rsid w:val="00EA2607"/>
    <w:rsid w:val="00EB06E8"/>
    <w:rsid w:val="00EB13C1"/>
    <w:rsid w:val="00EB3021"/>
    <w:rsid w:val="00EC1272"/>
    <w:rsid w:val="00EC2593"/>
    <w:rsid w:val="00EC5993"/>
    <w:rsid w:val="00ED15E5"/>
    <w:rsid w:val="00ED564C"/>
    <w:rsid w:val="00EE3E0D"/>
    <w:rsid w:val="00EE40A8"/>
    <w:rsid w:val="00EE6ACE"/>
    <w:rsid w:val="00EF3AC4"/>
    <w:rsid w:val="00F04985"/>
    <w:rsid w:val="00F052A8"/>
    <w:rsid w:val="00F112D7"/>
    <w:rsid w:val="00F15813"/>
    <w:rsid w:val="00F16BDD"/>
    <w:rsid w:val="00F24E50"/>
    <w:rsid w:val="00F268D2"/>
    <w:rsid w:val="00F403A3"/>
    <w:rsid w:val="00F419A9"/>
    <w:rsid w:val="00F47E3A"/>
    <w:rsid w:val="00F50FB3"/>
    <w:rsid w:val="00F63033"/>
    <w:rsid w:val="00F67F5B"/>
    <w:rsid w:val="00F71704"/>
    <w:rsid w:val="00F75102"/>
    <w:rsid w:val="00F75AA6"/>
    <w:rsid w:val="00F92B4E"/>
    <w:rsid w:val="00F93643"/>
    <w:rsid w:val="00FA2BC6"/>
    <w:rsid w:val="00FA6173"/>
    <w:rsid w:val="00FA7B8C"/>
    <w:rsid w:val="00FB02EE"/>
    <w:rsid w:val="00FB0FE0"/>
    <w:rsid w:val="00FB3441"/>
    <w:rsid w:val="00FC0367"/>
    <w:rsid w:val="00FC10EC"/>
    <w:rsid w:val="00FC2C8E"/>
    <w:rsid w:val="00FC34C1"/>
    <w:rsid w:val="00FC67A7"/>
    <w:rsid w:val="00FD3F87"/>
    <w:rsid w:val="00FD6BAA"/>
    <w:rsid w:val="00FF0467"/>
    <w:rsid w:val="00FF2E15"/>
    <w:rsid w:val="00FF6E35"/>
    <w:rsid w:val="00FF7AB7"/>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ms Rmn" w:eastAsia="Times New Roman" w:hAnsi="Tms Rm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lsdException w:name="toc 1" w:uiPriority="39"/>
    <w:lsdException w:name="toc 2" w:uiPriority="39"/>
    <w:lsdException w:name="toc 3" w:uiPriority="39"/>
    <w:lsdException w:name="caption" w:qFormat="1"/>
    <w:lsdException w:name="List Bullet" w:uiPriority="99" w:qFormat="1"/>
    <w:lsdException w:name="List Number" w:semiHidden="0" w:unhideWhenUsed="0"/>
    <w:lsdException w:name="List 4" w:semiHidden="0" w:unhideWhenUsed="0"/>
    <w:lsdException w:name="List 5" w:semiHidden="0" w:unhideWhenUsed="0"/>
    <w:lsdException w:name="List Bullet 2" w:qFormat="1"/>
    <w:lsdException w:name="List Bullet 3" w:qFormat="1"/>
    <w:lsdException w:name="List Bullet 4" w:uiPriority="99"/>
    <w:lsdException w:name="List Bullet 5" w:uiPriority="99"/>
    <w:lsdException w:name="Title" w:semiHidden="0" w:unhideWhenUsed="0"/>
    <w:lsdException w:name="Body Text" w:qFormat="1"/>
    <w:lsdException w:name="Subtitle" w:semiHidden="0" w:unhideWhenUsed="0"/>
    <w:lsdException w:name="Salutation" w:semiHidden="0" w:unhideWhenUsed="0"/>
    <w:lsdException w:name="Date" w:semiHidden="0" w:unhideWhenUsed="0"/>
    <w:lsdException w:name="Body Text First Indent" w:semiHidden="0" w:unhideWhenUsed="0"/>
    <w:lsdException w:name="Body Text 3" w:qFormat="1"/>
    <w:lsdException w:name="Hyperlink" w:uiPriority="99"/>
    <w:lsdException w:name="Strong" w:semiHidden="0" w:unhideWhenUsed="0"/>
    <w:lsdException w:name="Emphasis" w:semiHidden="0" w:unhideWhenUsed="0"/>
    <w:lsdException w:name="Normal (Web)" w:uiPriority="99"/>
    <w:lsdException w:name="Table Grid" w:semiHidden="0"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5C1070"/>
    <w:rPr>
      <w:rFonts w:ascii="Times New Roman" w:hAnsi="Times New Roman"/>
      <w:sz w:val="22"/>
      <w:lang w:eastAsia="en-US"/>
    </w:rPr>
  </w:style>
  <w:style w:type="paragraph" w:styleId="Heading1">
    <w:name w:val="heading 1"/>
    <w:basedOn w:val="Heading2"/>
    <w:next w:val="BodyText"/>
    <w:qFormat/>
    <w:rsid w:val="002A5CAA"/>
    <w:pPr>
      <w:pageBreakBefore/>
      <w:numPr>
        <w:ilvl w:val="0"/>
      </w:numPr>
      <w:spacing w:before="0" w:line="360" w:lineRule="exact"/>
      <w:outlineLvl w:val="0"/>
    </w:pPr>
    <w:rPr>
      <w:sz w:val="32"/>
    </w:rPr>
  </w:style>
  <w:style w:type="paragraph" w:styleId="Heading2">
    <w:name w:val="heading 2"/>
    <w:basedOn w:val="BodyText"/>
    <w:next w:val="BodyText"/>
    <w:qFormat/>
    <w:rsid w:val="002A5CAA"/>
    <w:pPr>
      <w:keepNext/>
      <w:numPr>
        <w:ilvl w:val="1"/>
        <w:numId w:val="2"/>
      </w:numPr>
      <w:spacing w:before="400" w:after="0" w:line="320" w:lineRule="exact"/>
      <w:jc w:val="left"/>
      <w:outlineLvl w:val="1"/>
    </w:pPr>
    <w:rPr>
      <w:b/>
      <w:color w:val="1F497D" w:themeColor="text2"/>
      <w:sz w:val="28"/>
    </w:rPr>
  </w:style>
  <w:style w:type="paragraph" w:styleId="Heading3">
    <w:name w:val="heading 3"/>
    <w:basedOn w:val="Heading4"/>
    <w:next w:val="BodyText"/>
    <w:qFormat/>
    <w:rsid w:val="002A5CAA"/>
    <w:pPr>
      <w:numPr>
        <w:ilvl w:val="2"/>
      </w:numPr>
      <w:outlineLvl w:val="2"/>
    </w:pPr>
    <w:rPr>
      <w:i w:val="0"/>
    </w:rPr>
  </w:style>
  <w:style w:type="paragraph" w:styleId="Heading4">
    <w:name w:val="heading 4"/>
    <w:basedOn w:val="Heading5"/>
    <w:next w:val="BodyText"/>
    <w:qFormat/>
    <w:rsid w:val="002A5CAA"/>
    <w:pPr>
      <w:numPr>
        <w:ilvl w:val="3"/>
        <w:numId w:val="2"/>
      </w:numPr>
      <w:tabs>
        <w:tab w:val="clear" w:pos="20"/>
        <w:tab w:val="left" w:pos="0"/>
      </w:tabs>
      <w:spacing w:line="280" w:lineRule="exact"/>
      <w:outlineLvl w:val="3"/>
    </w:pPr>
    <w:rPr>
      <w:b/>
      <w:sz w:val="24"/>
    </w:rPr>
  </w:style>
  <w:style w:type="paragraph" w:styleId="Heading5">
    <w:name w:val="heading 5"/>
    <w:basedOn w:val="BodyText"/>
    <w:next w:val="BodyText"/>
    <w:qFormat/>
    <w:rsid w:val="002A5CAA"/>
    <w:pPr>
      <w:keepNext/>
      <w:spacing w:before="400" w:after="0" w:line="260" w:lineRule="exact"/>
      <w:jc w:val="left"/>
      <w:outlineLvl w:val="4"/>
    </w:pPr>
    <w:rPr>
      <w:i/>
      <w:color w:val="1F497D" w:themeColor="text2"/>
    </w:rPr>
  </w:style>
  <w:style w:type="paragraph" w:styleId="Heading6">
    <w:name w:val="heading 6"/>
    <w:basedOn w:val="Normal"/>
    <w:next w:val="Normal"/>
    <w:rsid w:val="00804FE4"/>
    <w:pPr>
      <w:outlineLvl w:val="5"/>
    </w:pPr>
  </w:style>
  <w:style w:type="paragraph" w:styleId="Heading7">
    <w:name w:val="heading 7"/>
    <w:basedOn w:val="Normal"/>
    <w:next w:val="Normal"/>
    <w:rsid w:val="00804FE4"/>
    <w:pPr>
      <w:outlineLvl w:val="6"/>
    </w:pPr>
  </w:style>
  <w:style w:type="paragraph" w:styleId="Heading8">
    <w:name w:val="heading 8"/>
    <w:basedOn w:val="Normal"/>
    <w:next w:val="Normal"/>
    <w:rsid w:val="00804FE4"/>
    <w:pPr>
      <w:outlineLvl w:val="7"/>
    </w:pPr>
  </w:style>
  <w:style w:type="paragraph" w:styleId="Heading9">
    <w:name w:val="heading 9"/>
    <w:basedOn w:val="Normal"/>
    <w:next w:val="Normal"/>
    <w:rsid w:val="00804FE4"/>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291E00"/>
    <w:pPr>
      <w:spacing w:before="130" w:after="130"/>
      <w:jc w:val="both"/>
    </w:pPr>
  </w:style>
  <w:style w:type="paragraph" w:styleId="TOC4">
    <w:name w:val="toc 4"/>
    <w:basedOn w:val="TOC3"/>
    <w:semiHidden/>
    <w:rsid w:val="00804FE4"/>
  </w:style>
  <w:style w:type="paragraph" w:styleId="TOC3">
    <w:name w:val="toc 3"/>
    <w:basedOn w:val="TOC2"/>
    <w:uiPriority w:val="39"/>
    <w:rsid w:val="00804FE4"/>
    <w:pPr>
      <w:tabs>
        <w:tab w:val="left" w:pos="1418"/>
      </w:tabs>
      <w:ind w:left="1418" w:hanging="1418"/>
    </w:pPr>
  </w:style>
  <w:style w:type="paragraph" w:styleId="TOC2">
    <w:name w:val="toc 2"/>
    <w:basedOn w:val="TOC1"/>
    <w:uiPriority w:val="39"/>
    <w:rsid w:val="00804FE4"/>
    <w:pPr>
      <w:spacing w:before="0"/>
    </w:pPr>
    <w:rPr>
      <w:sz w:val="24"/>
    </w:rPr>
  </w:style>
  <w:style w:type="paragraph" w:styleId="TOC1">
    <w:name w:val="toc 1"/>
    <w:basedOn w:val="Normal"/>
    <w:uiPriority w:val="39"/>
    <w:rsid w:val="00804FE4"/>
    <w:pPr>
      <w:tabs>
        <w:tab w:val="right" w:pos="8505"/>
      </w:tabs>
      <w:spacing w:before="260"/>
      <w:ind w:left="850" w:right="567" w:hanging="850"/>
    </w:pPr>
    <w:rPr>
      <w:sz w:val="28"/>
    </w:rPr>
  </w:style>
  <w:style w:type="paragraph" w:styleId="Footer">
    <w:name w:val="footer"/>
    <w:basedOn w:val="Normal"/>
    <w:rsid w:val="00804FE4"/>
    <w:pPr>
      <w:tabs>
        <w:tab w:val="right" w:pos="8222"/>
      </w:tabs>
    </w:pPr>
    <w:rPr>
      <w:sz w:val="18"/>
    </w:rPr>
  </w:style>
  <w:style w:type="paragraph" w:styleId="Header">
    <w:name w:val="header"/>
    <w:basedOn w:val="Normal"/>
    <w:rsid w:val="00804FE4"/>
    <w:pPr>
      <w:spacing w:line="220" w:lineRule="atLeast"/>
      <w:jc w:val="right"/>
    </w:pPr>
    <w:rPr>
      <w:i/>
      <w:sz w:val="18"/>
    </w:rPr>
  </w:style>
  <w:style w:type="paragraph" w:styleId="ListBullet">
    <w:name w:val="List Bullet"/>
    <w:basedOn w:val="BodyText"/>
    <w:uiPriority w:val="99"/>
    <w:qFormat/>
    <w:rsid w:val="00804FE4"/>
    <w:pPr>
      <w:numPr>
        <w:numId w:val="6"/>
      </w:numPr>
    </w:pPr>
  </w:style>
  <w:style w:type="paragraph" w:styleId="ListBullet2">
    <w:name w:val="List Bullet 2"/>
    <w:basedOn w:val="ListBullet"/>
    <w:qFormat/>
    <w:rsid w:val="00804FE4"/>
    <w:pPr>
      <w:numPr>
        <w:numId w:val="1"/>
      </w:numPr>
    </w:pPr>
  </w:style>
  <w:style w:type="paragraph" w:customStyle="1" w:styleId="zreportname">
    <w:name w:val="zreport name"/>
    <w:basedOn w:val="Normal"/>
    <w:semiHidden/>
    <w:rsid w:val="00804FE4"/>
    <w:pPr>
      <w:keepLines/>
      <w:spacing w:line="440" w:lineRule="exact"/>
      <w:jc w:val="center"/>
    </w:pPr>
    <w:rPr>
      <w:sz w:val="36"/>
    </w:rPr>
  </w:style>
  <w:style w:type="paragraph" w:customStyle="1" w:styleId="zcontents">
    <w:name w:val="zcontents"/>
    <w:basedOn w:val="Normal"/>
    <w:semiHidden/>
    <w:rsid w:val="00804FE4"/>
    <w:pPr>
      <w:spacing w:after="260"/>
    </w:pPr>
    <w:rPr>
      <w:b/>
      <w:sz w:val="32"/>
    </w:rPr>
  </w:style>
  <w:style w:type="paragraph" w:customStyle="1" w:styleId="zcompanyname">
    <w:name w:val="zcompany name"/>
    <w:basedOn w:val="Normal"/>
    <w:semiHidden/>
    <w:rsid w:val="00804FE4"/>
    <w:pPr>
      <w:spacing w:after="400" w:line="440" w:lineRule="exact"/>
      <w:jc w:val="center"/>
    </w:pPr>
    <w:rPr>
      <w:b/>
      <w:noProof/>
      <w:sz w:val="26"/>
    </w:rPr>
  </w:style>
  <w:style w:type="paragraph" w:styleId="FootnoteText">
    <w:name w:val="footnote text"/>
    <w:basedOn w:val="Normal"/>
    <w:semiHidden/>
    <w:rsid w:val="00804FE4"/>
    <w:rPr>
      <w:sz w:val="18"/>
    </w:rPr>
  </w:style>
  <w:style w:type="paragraph" w:customStyle="1" w:styleId="zreportsubtitle">
    <w:name w:val="zreport subtitle"/>
    <w:basedOn w:val="zreportname"/>
    <w:semiHidden/>
    <w:rsid w:val="00804FE4"/>
    <w:rPr>
      <w:sz w:val="32"/>
    </w:rPr>
  </w:style>
  <w:style w:type="paragraph" w:styleId="BodyTextIndent">
    <w:name w:val="Body Text Indent"/>
    <w:basedOn w:val="BodyText"/>
    <w:rsid w:val="00804FE4"/>
    <w:pPr>
      <w:ind w:left="340"/>
    </w:pPr>
  </w:style>
  <w:style w:type="paragraph" w:styleId="Index1">
    <w:name w:val="index 1"/>
    <w:basedOn w:val="Normal"/>
    <w:next w:val="Normal"/>
    <w:semiHidden/>
    <w:rsid w:val="00804FE4"/>
    <w:pPr>
      <w:keepNext/>
      <w:spacing w:before="260" w:line="280" w:lineRule="exact"/>
      <w:ind w:right="851"/>
    </w:pPr>
    <w:rPr>
      <w:b/>
      <w:sz w:val="24"/>
    </w:rPr>
  </w:style>
  <w:style w:type="paragraph" w:customStyle="1" w:styleId="Graphic">
    <w:name w:val="Graphic"/>
    <w:basedOn w:val="Signature"/>
    <w:next w:val="Caption"/>
    <w:qFormat/>
    <w:rsid w:val="00804FE4"/>
    <w:pPr>
      <w:pBdr>
        <w:top w:val="single" w:sz="4" w:space="1" w:color="auto"/>
        <w:left w:val="single" w:sz="4" w:space="1" w:color="auto"/>
        <w:bottom w:val="single" w:sz="4" w:space="1" w:color="auto"/>
        <w:right w:val="single" w:sz="4" w:space="1" w:color="auto"/>
      </w:pBdr>
      <w:jc w:val="center"/>
    </w:pPr>
  </w:style>
  <w:style w:type="paragraph" w:styleId="Signature">
    <w:name w:val="Signature"/>
    <w:basedOn w:val="Normal"/>
    <w:rsid w:val="00804FE4"/>
  </w:style>
  <w:style w:type="character" w:styleId="PageNumber">
    <w:name w:val="page number"/>
    <w:basedOn w:val="DefaultParagraphFont"/>
    <w:rsid w:val="00804FE4"/>
    <w:rPr>
      <w:sz w:val="22"/>
    </w:rPr>
  </w:style>
  <w:style w:type="paragraph" w:styleId="Index2">
    <w:name w:val="index 2"/>
    <w:basedOn w:val="Normal"/>
    <w:next w:val="Normal"/>
    <w:semiHidden/>
    <w:rsid w:val="00804FE4"/>
    <w:pPr>
      <w:ind w:left="340" w:right="851"/>
    </w:pPr>
  </w:style>
  <w:style w:type="paragraph" w:customStyle="1" w:styleId="zreportaddinfo">
    <w:name w:val="zreport addinfo"/>
    <w:basedOn w:val="Normal"/>
    <w:semiHidden/>
    <w:rsid w:val="00804FE4"/>
    <w:pPr>
      <w:framePr w:wrap="around" w:hAnchor="margin" w:xAlign="center" w:yAlign="bottom"/>
      <w:spacing w:line="240" w:lineRule="exact"/>
      <w:jc w:val="center"/>
    </w:pPr>
    <w:rPr>
      <w:noProof/>
      <w:sz w:val="20"/>
    </w:rPr>
  </w:style>
  <w:style w:type="character" w:styleId="Emphasis">
    <w:name w:val="Emphasis"/>
    <w:basedOn w:val="DefaultParagraphFont"/>
    <w:rsid w:val="00A06427"/>
    <w:rPr>
      <w:i/>
      <w:iCs/>
    </w:rPr>
  </w:style>
  <w:style w:type="paragraph" w:customStyle="1" w:styleId="AppendixHeading">
    <w:name w:val="Appendix Heading"/>
    <w:basedOn w:val="Heading1"/>
    <w:next w:val="BodyText"/>
    <w:rsid w:val="00804FE4"/>
    <w:pPr>
      <w:numPr>
        <w:numId w:val="3"/>
      </w:numPr>
      <w:outlineLvl w:val="9"/>
    </w:pPr>
  </w:style>
  <w:style w:type="paragraph" w:styleId="ListBullet3">
    <w:name w:val="List Bullet 3"/>
    <w:basedOn w:val="ListBullet"/>
    <w:qFormat/>
    <w:rsid w:val="00804FE4"/>
    <w:pPr>
      <w:numPr>
        <w:numId w:val="4"/>
      </w:numPr>
      <w:jc w:val="left"/>
    </w:pPr>
    <w:rPr>
      <w:sz w:val="18"/>
    </w:rPr>
  </w:style>
  <w:style w:type="paragraph" w:customStyle="1" w:styleId="AppendixHeading2">
    <w:name w:val="Appendix Heading 2"/>
    <w:basedOn w:val="Heading2"/>
    <w:next w:val="BodyText"/>
    <w:rsid w:val="00804FE4"/>
    <w:pPr>
      <w:numPr>
        <w:numId w:val="3"/>
      </w:numPr>
      <w:outlineLvl w:val="9"/>
    </w:pPr>
  </w:style>
  <w:style w:type="paragraph" w:customStyle="1" w:styleId="AppendixHeading3">
    <w:name w:val="Appendix Heading 3"/>
    <w:basedOn w:val="Heading3"/>
    <w:next w:val="BodyText"/>
    <w:rsid w:val="00804FE4"/>
    <w:pPr>
      <w:numPr>
        <w:numId w:val="3"/>
      </w:numPr>
      <w:outlineLvl w:val="9"/>
    </w:pPr>
  </w:style>
  <w:style w:type="paragraph" w:customStyle="1" w:styleId="AppendixHeading4">
    <w:name w:val="Appendix Heading 4"/>
    <w:basedOn w:val="Heading4"/>
    <w:next w:val="BodyText"/>
    <w:rsid w:val="00804FE4"/>
    <w:pPr>
      <w:numPr>
        <w:numId w:val="3"/>
      </w:numPr>
      <w:outlineLvl w:val="9"/>
    </w:pPr>
  </w:style>
  <w:style w:type="paragraph" w:customStyle="1" w:styleId="AppendixHeading5">
    <w:name w:val="Appendix Heading 5"/>
    <w:basedOn w:val="Heading5"/>
    <w:next w:val="BodyText"/>
    <w:rsid w:val="00804FE4"/>
    <w:pPr>
      <w:outlineLvl w:val="9"/>
    </w:pPr>
  </w:style>
  <w:style w:type="paragraph" w:styleId="BodyText3">
    <w:name w:val="Body Text 3"/>
    <w:basedOn w:val="Normal"/>
    <w:qFormat/>
    <w:rsid w:val="00804FE4"/>
    <w:pPr>
      <w:ind w:left="142" w:hanging="142"/>
    </w:pPr>
    <w:rPr>
      <w:sz w:val="18"/>
      <w:szCs w:val="16"/>
    </w:rPr>
  </w:style>
  <w:style w:type="paragraph" w:styleId="Caption">
    <w:name w:val="caption"/>
    <w:basedOn w:val="Normal"/>
    <w:next w:val="BodyText"/>
    <w:qFormat/>
    <w:rsid w:val="000F413C"/>
    <w:pPr>
      <w:keepNext/>
    </w:pPr>
    <w:rPr>
      <w:bCs/>
      <w:i/>
      <w:sz w:val="20"/>
    </w:rPr>
  </w:style>
  <w:style w:type="paragraph" w:styleId="ListBullet4">
    <w:name w:val="List Bullet 4"/>
    <w:basedOn w:val="ListBullet2"/>
    <w:uiPriority w:val="99"/>
    <w:rsid w:val="00804FE4"/>
    <w:pPr>
      <w:numPr>
        <w:numId w:val="5"/>
      </w:numPr>
      <w:jc w:val="left"/>
    </w:pPr>
    <w:rPr>
      <w:sz w:val="18"/>
    </w:rPr>
  </w:style>
  <w:style w:type="paragraph" w:customStyle="1" w:styleId="zDocRevwH2">
    <w:name w:val="zDocRevwH2"/>
    <w:basedOn w:val="Normal"/>
    <w:semiHidden/>
    <w:rsid w:val="00804FE4"/>
    <w:pPr>
      <w:spacing w:before="130" w:after="130"/>
    </w:pPr>
    <w:rPr>
      <w:b/>
      <w:sz w:val="28"/>
    </w:rPr>
  </w:style>
  <w:style w:type="paragraph" w:customStyle="1" w:styleId="zDocRevwH1">
    <w:name w:val="zDocRevwH1"/>
    <w:basedOn w:val="Normal"/>
    <w:semiHidden/>
    <w:rsid w:val="00804FE4"/>
    <w:pPr>
      <w:spacing w:before="130" w:after="130"/>
    </w:pPr>
    <w:rPr>
      <w:b/>
      <w:sz w:val="32"/>
    </w:rPr>
  </w:style>
  <w:style w:type="paragraph" w:styleId="BalloonText">
    <w:name w:val="Balloon Text"/>
    <w:basedOn w:val="Normal"/>
    <w:semiHidden/>
    <w:rsid w:val="00804FE4"/>
    <w:rPr>
      <w:rFonts w:ascii="Tahoma" w:hAnsi="Tahoma" w:cs="Tahoma"/>
      <w:sz w:val="16"/>
      <w:szCs w:val="16"/>
    </w:rPr>
  </w:style>
  <w:style w:type="character" w:styleId="Strong">
    <w:name w:val="Strong"/>
    <w:basedOn w:val="DefaultParagraphFont"/>
    <w:rsid w:val="00A06427"/>
    <w:rPr>
      <w:b/>
      <w:bCs/>
    </w:rPr>
  </w:style>
  <w:style w:type="paragraph" w:styleId="Title">
    <w:name w:val="Title"/>
    <w:basedOn w:val="Normal"/>
    <w:next w:val="Normal"/>
    <w:link w:val="TitleChar"/>
    <w:rsid w:val="00A06427"/>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A06427"/>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basedOn w:val="Normal"/>
    <w:next w:val="Normal"/>
    <w:link w:val="SubtitleChar"/>
    <w:rsid w:val="00A06427"/>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rsid w:val="00A06427"/>
    <w:rPr>
      <w:rFonts w:asciiTheme="majorHAnsi" w:eastAsiaTheme="majorEastAsia" w:hAnsiTheme="majorHAnsi" w:cstheme="majorBidi"/>
      <w:i/>
      <w:iCs/>
      <w:color w:val="4F81BD" w:themeColor="accent1"/>
      <w:spacing w:val="15"/>
      <w:sz w:val="24"/>
      <w:szCs w:val="24"/>
      <w:lang w:eastAsia="en-US"/>
    </w:rPr>
  </w:style>
  <w:style w:type="character" w:styleId="SubtleEmphasis">
    <w:name w:val="Subtle Emphasis"/>
    <w:basedOn w:val="DefaultParagraphFont"/>
    <w:uiPriority w:val="19"/>
    <w:rsid w:val="00A06427"/>
    <w:rPr>
      <w:i/>
      <w:iCs/>
      <w:color w:val="808080" w:themeColor="text1" w:themeTint="7F"/>
    </w:rPr>
  </w:style>
  <w:style w:type="character" w:styleId="IntenseEmphasis">
    <w:name w:val="Intense Emphasis"/>
    <w:basedOn w:val="DefaultParagraphFont"/>
    <w:uiPriority w:val="21"/>
    <w:rsid w:val="00A06427"/>
    <w:rPr>
      <w:b/>
      <w:bCs/>
      <w:i/>
      <w:iCs/>
      <w:color w:val="4F81BD" w:themeColor="accent1"/>
    </w:rPr>
  </w:style>
  <w:style w:type="paragraph" w:styleId="Quote">
    <w:name w:val="Quote"/>
    <w:basedOn w:val="Normal"/>
    <w:next w:val="Normal"/>
    <w:link w:val="QuoteChar"/>
    <w:uiPriority w:val="29"/>
    <w:rsid w:val="00A06427"/>
    <w:rPr>
      <w:i/>
      <w:iCs/>
      <w:color w:val="000000" w:themeColor="text1"/>
    </w:rPr>
  </w:style>
  <w:style w:type="character" w:customStyle="1" w:styleId="QuoteChar">
    <w:name w:val="Quote Char"/>
    <w:basedOn w:val="DefaultParagraphFont"/>
    <w:link w:val="Quote"/>
    <w:uiPriority w:val="29"/>
    <w:rsid w:val="00A06427"/>
    <w:rPr>
      <w:rFonts w:ascii="Times New Roman" w:hAnsi="Times New Roman"/>
      <w:i/>
      <w:iCs/>
      <w:color w:val="000000" w:themeColor="text1"/>
      <w:sz w:val="22"/>
      <w:lang w:eastAsia="en-US"/>
    </w:rPr>
  </w:style>
  <w:style w:type="paragraph" w:styleId="IntenseQuote">
    <w:name w:val="Intense Quote"/>
    <w:basedOn w:val="Normal"/>
    <w:next w:val="Normal"/>
    <w:link w:val="IntenseQuoteChar"/>
    <w:uiPriority w:val="30"/>
    <w:rsid w:val="00A06427"/>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A06427"/>
    <w:rPr>
      <w:rFonts w:ascii="Times New Roman" w:hAnsi="Times New Roman"/>
      <w:b/>
      <w:bCs/>
      <w:i/>
      <w:iCs/>
      <w:color w:val="4F81BD" w:themeColor="accent1"/>
      <w:sz w:val="22"/>
      <w:lang w:eastAsia="en-US"/>
    </w:rPr>
  </w:style>
  <w:style w:type="character" w:styleId="SubtleReference">
    <w:name w:val="Subtle Reference"/>
    <w:basedOn w:val="DefaultParagraphFont"/>
    <w:uiPriority w:val="31"/>
    <w:rsid w:val="00A06427"/>
    <w:rPr>
      <w:smallCaps/>
      <w:color w:val="C0504D" w:themeColor="accent2"/>
      <w:u w:val="single"/>
    </w:rPr>
  </w:style>
  <w:style w:type="character" w:styleId="IntenseReference">
    <w:name w:val="Intense Reference"/>
    <w:basedOn w:val="DefaultParagraphFont"/>
    <w:uiPriority w:val="32"/>
    <w:rsid w:val="00A06427"/>
    <w:rPr>
      <w:b/>
      <w:bCs/>
      <w:smallCaps/>
      <w:color w:val="C0504D" w:themeColor="accent2"/>
      <w:spacing w:val="5"/>
      <w:u w:val="single"/>
    </w:rPr>
  </w:style>
  <w:style w:type="character" w:styleId="BookTitle">
    <w:name w:val="Book Title"/>
    <w:basedOn w:val="DefaultParagraphFont"/>
    <w:uiPriority w:val="33"/>
    <w:rsid w:val="00A06427"/>
    <w:rPr>
      <w:b/>
      <w:bCs/>
      <w:smallCaps/>
      <w:spacing w:val="5"/>
    </w:rPr>
  </w:style>
  <w:style w:type="paragraph" w:styleId="ListParagraph">
    <w:name w:val="List Paragraph"/>
    <w:basedOn w:val="Normal"/>
    <w:uiPriority w:val="34"/>
    <w:qFormat/>
    <w:rsid w:val="00A06427"/>
    <w:pPr>
      <w:ind w:left="720"/>
      <w:contextualSpacing/>
    </w:pPr>
  </w:style>
  <w:style w:type="paragraph" w:styleId="NoSpacing">
    <w:name w:val="No Spacing"/>
    <w:uiPriority w:val="1"/>
    <w:rsid w:val="00A06427"/>
    <w:rPr>
      <w:rFonts w:ascii="Times New Roman" w:hAnsi="Times New Roman"/>
      <w:sz w:val="22"/>
      <w:lang w:eastAsia="en-US"/>
    </w:rPr>
  </w:style>
  <w:style w:type="table" w:styleId="TableGrid">
    <w:name w:val="Table Grid"/>
    <w:basedOn w:val="TableNormal"/>
    <w:rsid w:val="004D234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F403A3"/>
    <w:pPr>
      <w:spacing w:before="120"/>
    </w:pPr>
    <w:rPr>
      <w:rFonts w:ascii="Univers 45 Light" w:eastAsia="Univers 45 Light" w:hAnsi="Univers 45 Light" w:cs="Arial"/>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BulletList">
    <w:name w:val="Bullet List"/>
    <w:uiPriority w:val="99"/>
    <w:rsid w:val="00F403A3"/>
    <w:pPr>
      <w:numPr>
        <w:numId w:val="7"/>
      </w:numPr>
    </w:pPr>
  </w:style>
  <w:style w:type="paragraph" w:styleId="ListBullet5">
    <w:name w:val="List Bullet 5"/>
    <w:basedOn w:val="Normal"/>
    <w:uiPriority w:val="99"/>
    <w:unhideWhenUsed/>
    <w:rsid w:val="00F403A3"/>
    <w:pPr>
      <w:spacing w:after="200" w:line="276" w:lineRule="auto"/>
      <w:ind w:left="1800" w:hanging="360"/>
    </w:pPr>
    <w:rPr>
      <w:rFonts w:ascii="Arial" w:eastAsia="Calibri" w:hAnsi="Arial"/>
      <w:szCs w:val="22"/>
    </w:rPr>
  </w:style>
  <w:style w:type="paragraph" w:customStyle="1" w:styleId="BulletText">
    <w:name w:val="_Bullet Text"/>
    <w:basedOn w:val="Normal"/>
    <w:qFormat/>
    <w:rsid w:val="00AD54B5"/>
    <w:pPr>
      <w:numPr>
        <w:numId w:val="14"/>
      </w:numPr>
      <w:tabs>
        <w:tab w:val="left" w:pos="357"/>
      </w:tabs>
      <w:spacing w:before="120" w:after="100" w:afterAutospacing="1" w:line="288" w:lineRule="atLeast"/>
    </w:pPr>
    <w:rPr>
      <w:rFonts w:eastAsiaTheme="minorHAnsi" w:cstheme="minorBidi"/>
      <w:color w:val="000000" w:themeColor="text1"/>
      <w:szCs w:val="22"/>
      <w:lang w:val="en-GB"/>
    </w:rPr>
  </w:style>
  <w:style w:type="paragraph" w:customStyle="1" w:styleId="BodyText0">
    <w:name w:val="_Body Text"/>
    <w:basedOn w:val="Normal"/>
    <w:qFormat/>
    <w:rsid w:val="004A1526"/>
    <w:pPr>
      <w:spacing w:before="120" w:after="100" w:afterAutospacing="1" w:line="288" w:lineRule="atLeast"/>
    </w:pPr>
    <w:rPr>
      <w:rFonts w:ascii="Arial" w:eastAsiaTheme="minorHAnsi" w:hAnsi="Arial" w:cstheme="minorBidi"/>
      <w:color w:val="000000" w:themeColor="text1"/>
      <w:sz w:val="18"/>
      <w:szCs w:val="22"/>
      <w:lang w:val="en-GB"/>
    </w:rPr>
  </w:style>
  <w:style w:type="paragraph" w:customStyle="1" w:styleId="Source">
    <w:name w:val="Source"/>
    <w:basedOn w:val="BodyText"/>
    <w:link w:val="SourceChar"/>
    <w:qFormat/>
    <w:rsid w:val="00C00A3A"/>
    <w:pPr>
      <w:tabs>
        <w:tab w:val="left" w:pos="851"/>
      </w:tabs>
      <w:ind w:left="851" w:hanging="851"/>
    </w:pPr>
    <w:rPr>
      <w:sz w:val="18"/>
    </w:rPr>
  </w:style>
  <w:style w:type="character" w:styleId="CommentReference">
    <w:name w:val="annotation reference"/>
    <w:basedOn w:val="DefaultParagraphFont"/>
    <w:rsid w:val="000A7C53"/>
    <w:rPr>
      <w:sz w:val="16"/>
      <w:szCs w:val="16"/>
    </w:rPr>
  </w:style>
  <w:style w:type="character" w:customStyle="1" w:styleId="BodyTextChar">
    <w:name w:val="Body Text Char"/>
    <w:basedOn w:val="DefaultParagraphFont"/>
    <w:link w:val="BodyText"/>
    <w:rsid w:val="00291E00"/>
    <w:rPr>
      <w:rFonts w:ascii="Times New Roman" w:hAnsi="Times New Roman"/>
      <w:sz w:val="22"/>
      <w:lang w:eastAsia="en-US"/>
    </w:rPr>
  </w:style>
  <w:style w:type="character" w:customStyle="1" w:styleId="SourceChar">
    <w:name w:val="Source Char"/>
    <w:basedOn w:val="BodyTextChar"/>
    <w:link w:val="Source"/>
    <w:rsid w:val="00C00A3A"/>
    <w:rPr>
      <w:rFonts w:ascii="Times New Roman" w:hAnsi="Times New Roman"/>
      <w:sz w:val="18"/>
      <w:lang w:eastAsia="en-US"/>
    </w:rPr>
  </w:style>
  <w:style w:type="paragraph" w:styleId="CommentText">
    <w:name w:val="annotation text"/>
    <w:basedOn w:val="Normal"/>
    <w:link w:val="CommentTextChar"/>
    <w:rsid w:val="000A7C53"/>
    <w:rPr>
      <w:sz w:val="20"/>
    </w:rPr>
  </w:style>
  <w:style w:type="character" w:customStyle="1" w:styleId="CommentTextChar">
    <w:name w:val="Comment Text Char"/>
    <w:basedOn w:val="DefaultParagraphFont"/>
    <w:link w:val="CommentText"/>
    <w:rsid w:val="000A7C53"/>
    <w:rPr>
      <w:rFonts w:ascii="Times New Roman" w:hAnsi="Times New Roman"/>
      <w:lang w:eastAsia="en-US"/>
    </w:rPr>
  </w:style>
  <w:style w:type="paragraph" w:styleId="CommentSubject">
    <w:name w:val="annotation subject"/>
    <w:basedOn w:val="CommentText"/>
    <w:next w:val="CommentText"/>
    <w:link w:val="CommentSubjectChar"/>
    <w:rsid w:val="000A7C53"/>
    <w:rPr>
      <w:b/>
      <w:bCs/>
    </w:rPr>
  </w:style>
  <w:style w:type="character" w:customStyle="1" w:styleId="CommentSubjectChar">
    <w:name w:val="Comment Subject Char"/>
    <w:basedOn w:val="CommentTextChar"/>
    <w:link w:val="CommentSubject"/>
    <w:rsid w:val="000A7C53"/>
    <w:rPr>
      <w:rFonts w:ascii="Times New Roman" w:hAnsi="Times New Roman"/>
      <w:b/>
      <w:bCs/>
      <w:lang w:eastAsia="en-US"/>
    </w:rPr>
  </w:style>
  <w:style w:type="character" w:styleId="FootnoteReference">
    <w:name w:val="footnote reference"/>
    <w:basedOn w:val="DefaultParagraphFont"/>
    <w:rsid w:val="00B45195"/>
    <w:rPr>
      <w:vertAlign w:val="superscript"/>
    </w:rPr>
  </w:style>
  <w:style w:type="paragraph" w:styleId="Revision">
    <w:name w:val="Revision"/>
    <w:hidden/>
    <w:uiPriority w:val="99"/>
    <w:semiHidden/>
    <w:rsid w:val="00280F2A"/>
    <w:rPr>
      <w:rFonts w:ascii="Times New Roman" w:hAnsi="Times New Roman"/>
      <w:sz w:val="22"/>
      <w:lang w:eastAsia="en-US"/>
    </w:rPr>
  </w:style>
  <w:style w:type="paragraph" w:customStyle="1" w:styleId="Default">
    <w:name w:val="Default"/>
    <w:basedOn w:val="Normal"/>
    <w:rsid w:val="00F268D2"/>
    <w:pPr>
      <w:autoSpaceDE w:val="0"/>
      <w:autoSpaceDN w:val="0"/>
    </w:pPr>
    <w:rPr>
      <w:rFonts w:ascii="Arial" w:eastAsiaTheme="minorHAnsi" w:hAnsi="Arial" w:cs="Arial"/>
      <w:color w:val="000000"/>
      <w:sz w:val="24"/>
      <w:szCs w:val="24"/>
      <w:lang w:eastAsia="en-AU"/>
    </w:rPr>
  </w:style>
  <w:style w:type="character" w:styleId="Hyperlink">
    <w:name w:val="Hyperlink"/>
    <w:basedOn w:val="DefaultParagraphFont"/>
    <w:uiPriority w:val="99"/>
    <w:unhideWhenUsed/>
    <w:rsid w:val="00F268D2"/>
    <w:rPr>
      <w:color w:val="0000FF"/>
      <w:u w:val="single"/>
    </w:rPr>
  </w:style>
  <w:style w:type="paragraph" w:styleId="NormalWeb">
    <w:name w:val="Normal (Web)"/>
    <w:basedOn w:val="Normal"/>
    <w:uiPriority w:val="99"/>
    <w:unhideWhenUsed/>
    <w:rsid w:val="009E6225"/>
    <w:pPr>
      <w:spacing w:before="100" w:beforeAutospacing="1" w:after="100" w:afterAutospacing="1"/>
    </w:pPr>
    <w:rPr>
      <w:sz w:val="24"/>
      <w:szCs w:val="24"/>
      <w:lang w:eastAsia="en-AU"/>
    </w:rPr>
  </w:style>
  <w:style w:type="paragraph" w:styleId="EndnoteText">
    <w:name w:val="endnote text"/>
    <w:basedOn w:val="Normal"/>
    <w:link w:val="EndnoteTextChar"/>
    <w:rsid w:val="00A7618E"/>
    <w:rPr>
      <w:sz w:val="20"/>
    </w:rPr>
  </w:style>
  <w:style w:type="character" w:customStyle="1" w:styleId="EndnoteTextChar">
    <w:name w:val="Endnote Text Char"/>
    <w:basedOn w:val="DefaultParagraphFont"/>
    <w:link w:val="EndnoteText"/>
    <w:rsid w:val="00A7618E"/>
    <w:rPr>
      <w:rFonts w:ascii="Times New Roman" w:hAnsi="Times New Roman"/>
      <w:lang w:eastAsia="en-US"/>
    </w:rPr>
  </w:style>
  <w:style w:type="character" w:styleId="EndnoteReference">
    <w:name w:val="endnote reference"/>
    <w:basedOn w:val="DefaultParagraphFont"/>
    <w:rsid w:val="00A7618E"/>
    <w:rPr>
      <w:vertAlign w:val="superscript"/>
    </w:rPr>
  </w:style>
</w:styles>
</file>

<file path=word/webSettings.xml><?xml version="1.0" encoding="utf-8"?>
<w:webSettings xmlns:r="http://schemas.openxmlformats.org/officeDocument/2006/relationships" xmlns:w="http://schemas.openxmlformats.org/wordprocessingml/2006/main">
  <w:divs>
    <w:div w:id="139227464">
      <w:bodyDiv w:val="1"/>
      <w:marLeft w:val="0"/>
      <w:marRight w:val="0"/>
      <w:marTop w:val="0"/>
      <w:marBottom w:val="0"/>
      <w:divBdr>
        <w:top w:val="none" w:sz="0" w:space="0" w:color="auto"/>
        <w:left w:val="none" w:sz="0" w:space="0" w:color="auto"/>
        <w:bottom w:val="none" w:sz="0" w:space="0" w:color="auto"/>
        <w:right w:val="none" w:sz="0" w:space="0" w:color="auto"/>
      </w:divBdr>
    </w:div>
    <w:div w:id="257563343">
      <w:bodyDiv w:val="1"/>
      <w:marLeft w:val="0"/>
      <w:marRight w:val="0"/>
      <w:marTop w:val="0"/>
      <w:marBottom w:val="0"/>
      <w:divBdr>
        <w:top w:val="none" w:sz="0" w:space="0" w:color="auto"/>
        <w:left w:val="none" w:sz="0" w:space="0" w:color="auto"/>
        <w:bottom w:val="none" w:sz="0" w:space="0" w:color="auto"/>
        <w:right w:val="none" w:sz="0" w:space="0" w:color="auto"/>
      </w:divBdr>
    </w:div>
    <w:div w:id="322516306">
      <w:bodyDiv w:val="1"/>
      <w:marLeft w:val="0"/>
      <w:marRight w:val="0"/>
      <w:marTop w:val="0"/>
      <w:marBottom w:val="0"/>
      <w:divBdr>
        <w:top w:val="none" w:sz="0" w:space="0" w:color="auto"/>
        <w:left w:val="none" w:sz="0" w:space="0" w:color="auto"/>
        <w:bottom w:val="none" w:sz="0" w:space="0" w:color="auto"/>
        <w:right w:val="none" w:sz="0" w:space="0" w:color="auto"/>
      </w:divBdr>
    </w:div>
    <w:div w:id="410276893">
      <w:bodyDiv w:val="1"/>
      <w:marLeft w:val="0"/>
      <w:marRight w:val="0"/>
      <w:marTop w:val="0"/>
      <w:marBottom w:val="0"/>
      <w:divBdr>
        <w:top w:val="none" w:sz="0" w:space="0" w:color="auto"/>
        <w:left w:val="none" w:sz="0" w:space="0" w:color="auto"/>
        <w:bottom w:val="none" w:sz="0" w:space="0" w:color="auto"/>
        <w:right w:val="none" w:sz="0" w:space="0" w:color="auto"/>
      </w:divBdr>
    </w:div>
    <w:div w:id="528757220">
      <w:bodyDiv w:val="1"/>
      <w:marLeft w:val="0"/>
      <w:marRight w:val="0"/>
      <w:marTop w:val="0"/>
      <w:marBottom w:val="0"/>
      <w:divBdr>
        <w:top w:val="none" w:sz="0" w:space="0" w:color="auto"/>
        <w:left w:val="none" w:sz="0" w:space="0" w:color="auto"/>
        <w:bottom w:val="none" w:sz="0" w:space="0" w:color="auto"/>
        <w:right w:val="none" w:sz="0" w:space="0" w:color="auto"/>
      </w:divBdr>
    </w:div>
    <w:div w:id="578369214">
      <w:bodyDiv w:val="1"/>
      <w:marLeft w:val="0"/>
      <w:marRight w:val="0"/>
      <w:marTop w:val="0"/>
      <w:marBottom w:val="0"/>
      <w:divBdr>
        <w:top w:val="none" w:sz="0" w:space="0" w:color="auto"/>
        <w:left w:val="none" w:sz="0" w:space="0" w:color="auto"/>
        <w:bottom w:val="none" w:sz="0" w:space="0" w:color="auto"/>
        <w:right w:val="none" w:sz="0" w:space="0" w:color="auto"/>
      </w:divBdr>
    </w:div>
    <w:div w:id="694959809">
      <w:bodyDiv w:val="1"/>
      <w:marLeft w:val="0"/>
      <w:marRight w:val="0"/>
      <w:marTop w:val="0"/>
      <w:marBottom w:val="0"/>
      <w:divBdr>
        <w:top w:val="none" w:sz="0" w:space="0" w:color="auto"/>
        <w:left w:val="none" w:sz="0" w:space="0" w:color="auto"/>
        <w:bottom w:val="none" w:sz="0" w:space="0" w:color="auto"/>
        <w:right w:val="none" w:sz="0" w:space="0" w:color="auto"/>
      </w:divBdr>
    </w:div>
    <w:div w:id="986056363">
      <w:bodyDiv w:val="1"/>
      <w:marLeft w:val="0"/>
      <w:marRight w:val="0"/>
      <w:marTop w:val="0"/>
      <w:marBottom w:val="0"/>
      <w:divBdr>
        <w:top w:val="none" w:sz="0" w:space="0" w:color="auto"/>
        <w:left w:val="none" w:sz="0" w:space="0" w:color="auto"/>
        <w:bottom w:val="none" w:sz="0" w:space="0" w:color="auto"/>
        <w:right w:val="none" w:sz="0" w:space="0" w:color="auto"/>
      </w:divBdr>
    </w:div>
    <w:div w:id="1498498600">
      <w:bodyDiv w:val="1"/>
      <w:marLeft w:val="0"/>
      <w:marRight w:val="0"/>
      <w:marTop w:val="0"/>
      <w:marBottom w:val="0"/>
      <w:divBdr>
        <w:top w:val="none" w:sz="0" w:space="0" w:color="auto"/>
        <w:left w:val="none" w:sz="0" w:space="0" w:color="auto"/>
        <w:bottom w:val="none" w:sz="0" w:space="0" w:color="auto"/>
        <w:right w:val="none" w:sz="0" w:space="0" w:color="auto"/>
      </w:divBdr>
    </w:div>
    <w:div w:id="1616017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eg"/><Relationship Id="rId18" Type="http://schemas.openxmlformats.org/officeDocument/2006/relationships/header" Target="header4.xml"/><Relationship Id="rId26" Type="http://schemas.openxmlformats.org/officeDocument/2006/relationships/chart" Target="charts/chart1.xml"/><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6.xml"/><Relationship Id="rId34" Type="http://schemas.openxmlformats.org/officeDocument/2006/relationships/image" Target="media/image12.emf"/><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3.xml"/><Relationship Id="rId25" Type="http://schemas.openxmlformats.org/officeDocument/2006/relationships/image" Target="media/image5.emf"/><Relationship Id="rId33" Type="http://schemas.openxmlformats.org/officeDocument/2006/relationships/image" Target="media/image11.emf"/><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oter" Target="footer2.xml"/><Relationship Id="rId29"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4.emf"/><Relationship Id="rId32" Type="http://schemas.openxmlformats.org/officeDocument/2006/relationships/image" Target="media/image10.emf"/><Relationship Id="rId37" Type="http://schemas.openxmlformats.org/officeDocument/2006/relationships/image" Target="media/image15.emf"/><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3.emf"/><Relationship Id="rId28" Type="http://schemas.openxmlformats.org/officeDocument/2006/relationships/chart" Target="charts/chart2.xml"/><Relationship Id="rId36" Type="http://schemas.openxmlformats.org/officeDocument/2006/relationships/image" Target="media/image14.emf"/><Relationship Id="rId10" Type="http://schemas.openxmlformats.org/officeDocument/2006/relationships/webSettings" Target="webSettings.xml"/><Relationship Id="rId19" Type="http://schemas.openxmlformats.org/officeDocument/2006/relationships/header" Target="header5.xml"/><Relationship Id="rId31" Type="http://schemas.openxmlformats.org/officeDocument/2006/relationships/image" Target="media/image9.emf"/><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image" Target="media/image2.emf"/><Relationship Id="rId27" Type="http://schemas.openxmlformats.org/officeDocument/2006/relationships/image" Target="media/image6.emf"/><Relationship Id="rId30" Type="http://schemas.openxmlformats.org/officeDocument/2006/relationships/image" Target="media/image8.emf"/><Relationship Id="rId35" Type="http://schemas.openxmlformats.org/officeDocument/2006/relationships/image" Target="media/image13.emf"/></Relationships>
</file>

<file path=word/_rels/footnotes.xml.rels><?xml version="1.0" encoding="UTF-8" standalone="yes"?>
<Relationships xmlns="http://schemas.openxmlformats.org/package/2006/relationships"><Relationship Id="rId2" Type="http://schemas.openxmlformats.org/officeDocument/2006/relationships/hyperlink" Target="http://ozone.unep.org/Assessment_Panels/EEAP/eeap-report2010-FAQ.pdf" TargetMode="External"/><Relationship Id="rId1" Type="http://schemas.openxmlformats.org/officeDocument/2006/relationships/hyperlink" Target="https://retreview.dpmc.gov.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KIS\Templates\Report.do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UDS\7\eclark1\Desktop\Projects\RAC%20CBA\Final%20Draft\RAC%20Product%20Stewardship%20CBA_250814.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UDS\7\eclark1\Desktop\Projects\RAC%20CBA\Final%20Draft\RAC%20Product%20Stewardship%20CBA_250814.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lang val="en-AU"/>
  <c:chart>
    <c:plotArea>
      <c:layout>
        <c:manualLayout>
          <c:layoutTarget val="inner"/>
          <c:xMode val="edge"/>
          <c:yMode val="edge"/>
          <c:x val="0.14815950506186726"/>
          <c:y val="5.2715819613457407E-2"/>
          <c:w val="0.71353835770528651"/>
          <c:h val="0.72852684323550465"/>
        </c:manualLayout>
      </c:layout>
      <c:lineChart>
        <c:grouping val="standard"/>
        <c:ser>
          <c:idx val="0"/>
          <c:order val="0"/>
          <c:tx>
            <c:strRef>
              <c:f>Charts!$B$2</c:f>
              <c:strCache>
                <c:ptCount val="1"/>
                <c:pt idx="0">
                  <c:v>Stock</c:v>
                </c:pt>
              </c:strCache>
            </c:strRef>
          </c:tx>
          <c:spPr>
            <a:ln w="25400">
              <a:solidFill>
                <a:srgbClr val="007C92"/>
              </a:solidFill>
            </a:ln>
          </c:spPr>
          <c:marker>
            <c:symbol val="none"/>
          </c:marker>
          <c:cat>
            <c:numRef>
              <c:f>Charts!$A$3:$A$33</c:f>
              <c:numCache>
                <c:formatCode>General</c:formatCode>
                <c:ptCount val="31"/>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pt idx="23">
                  <c:v>2017</c:v>
                </c:pt>
                <c:pt idx="24">
                  <c:v>2018</c:v>
                </c:pt>
                <c:pt idx="25">
                  <c:v>2019</c:v>
                </c:pt>
                <c:pt idx="26">
                  <c:v>2020</c:v>
                </c:pt>
                <c:pt idx="27">
                  <c:v>2021</c:v>
                </c:pt>
                <c:pt idx="28">
                  <c:v>2022</c:v>
                </c:pt>
                <c:pt idx="29">
                  <c:v>2023</c:v>
                </c:pt>
                <c:pt idx="30">
                  <c:v>2024</c:v>
                </c:pt>
              </c:numCache>
            </c:numRef>
          </c:cat>
          <c:val>
            <c:numRef>
              <c:f>Charts!$B$3:$B$33</c:f>
              <c:numCache>
                <c:formatCode>#,##0</c:formatCode>
                <c:ptCount val="31"/>
                <c:pt idx="0">
                  <c:v>2445.8940000000002</c:v>
                </c:pt>
                <c:pt idx="1">
                  <c:v>2544.708999999998</c:v>
                </c:pt>
                <c:pt idx="2">
                  <c:v>2648.623</c:v>
                </c:pt>
                <c:pt idx="3">
                  <c:v>2736.9639999999999</c:v>
                </c:pt>
                <c:pt idx="4">
                  <c:v>2805.2069999999981</c:v>
                </c:pt>
                <c:pt idx="5">
                  <c:v>2907.8240000000001</c:v>
                </c:pt>
                <c:pt idx="6">
                  <c:v>3261.4459999999999</c:v>
                </c:pt>
                <c:pt idx="7">
                  <c:v>3790.3910000000019</c:v>
                </c:pt>
                <c:pt idx="8">
                  <c:v>4422.4379999999965</c:v>
                </c:pt>
                <c:pt idx="9">
                  <c:v>5051.6310000000003</c:v>
                </c:pt>
                <c:pt idx="10">
                  <c:v>5763.1180000000004</c:v>
                </c:pt>
                <c:pt idx="11">
                  <c:v>6563.3339999999998</c:v>
                </c:pt>
                <c:pt idx="12">
                  <c:v>7542.6630000000014</c:v>
                </c:pt>
                <c:pt idx="13">
                  <c:v>8371.4069999999847</c:v>
                </c:pt>
                <c:pt idx="14">
                  <c:v>9077.1239999999925</c:v>
                </c:pt>
                <c:pt idx="15">
                  <c:v>9985.2970000000005</c:v>
                </c:pt>
                <c:pt idx="16">
                  <c:v>10569.451999999985</c:v>
                </c:pt>
                <c:pt idx="17">
                  <c:v>11134.731000000007</c:v>
                </c:pt>
                <c:pt idx="18">
                  <c:v>11507.804</c:v>
                </c:pt>
                <c:pt idx="19">
                  <c:v>11759.19</c:v>
                </c:pt>
                <c:pt idx="20">
                  <c:v>12062.585999999985</c:v>
                </c:pt>
                <c:pt idx="21">
                  <c:v>12374.573</c:v>
                </c:pt>
                <c:pt idx="22">
                  <c:v>12700.564</c:v>
                </c:pt>
                <c:pt idx="23">
                  <c:v>13032.472</c:v>
                </c:pt>
                <c:pt idx="24">
                  <c:v>13349.791999999992</c:v>
                </c:pt>
                <c:pt idx="25">
                  <c:v>13673.119000000002</c:v>
                </c:pt>
                <c:pt idx="26">
                  <c:v>14025.674999999992</c:v>
                </c:pt>
                <c:pt idx="27">
                  <c:v>14432.796</c:v>
                </c:pt>
                <c:pt idx="28">
                  <c:v>14917.796</c:v>
                </c:pt>
                <c:pt idx="29">
                  <c:v>15505.796</c:v>
                </c:pt>
                <c:pt idx="30">
                  <c:v>16206.19</c:v>
                </c:pt>
              </c:numCache>
            </c:numRef>
          </c:val>
        </c:ser>
        <c:marker val="1"/>
        <c:axId val="30608000"/>
        <c:axId val="30654848"/>
      </c:lineChart>
      <c:lineChart>
        <c:grouping val="standard"/>
        <c:ser>
          <c:idx val="1"/>
          <c:order val="1"/>
          <c:tx>
            <c:strRef>
              <c:f>Charts!$C$2</c:f>
              <c:strCache>
                <c:ptCount val="1"/>
                <c:pt idx="0">
                  <c:v>Disposal</c:v>
                </c:pt>
              </c:strCache>
            </c:strRef>
          </c:tx>
          <c:spPr>
            <a:ln w="25400">
              <a:solidFill>
                <a:srgbClr val="8E258D"/>
              </a:solidFill>
            </a:ln>
          </c:spPr>
          <c:marker>
            <c:symbol val="none"/>
          </c:marker>
          <c:cat>
            <c:numRef>
              <c:f>Charts!$A$3:$A$33</c:f>
              <c:numCache>
                <c:formatCode>General</c:formatCode>
                <c:ptCount val="31"/>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pt idx="23">
                  <c:v>2017</c:v>
                </c:pt>
                <c:pt idx="24">
                  <c:v>2018</c:v>
                </c:pt>
                <c:pt idx="25">
                  <c:v>2019</c:v>
                </c:pt>
                <c:pt idx="26">
                  <c:v>2020</c:v>
                </c:pt>
                <c:pt idx="27">
                  <c:v>2021</c:v>
                </c:pt>
                <c:pt idx="28">
                  <c:v>2022</c:v>
                </c:pt>
                <c:pt idx="29">
                  <c:v>2023</c:v>
                </c:pt>
                <c:pt idx="30">
                  <c:v>2024</c:v>
                </c:pt>
              </c:numCache>
            </c:numRef>
          </c:cat>
          <c:val>
            <c:numRef>
              <c:f>Charts!$C$3:$C$33</c:f>
              <c:numCache>
                <c:formatCode>#,##0</c:formatCode>
                <c:ptCount val="31"/>
                <c:pt idx="0">
                  <c:v>51.865000000000002</c:v>
                </c:pt>
                <c:pt idx="1">
                  <c:v>71.185000000000002</c:v>
                </c:pt>
                <c:pt idx="2">
                  <c:v>96.087000000000003</c:v>
                </c:pt>
                <c:pt idx="3">
                  <c:v>126.66</c:v>
                </c:pt>
                <c:pt idx="4">
                  <c:v>161.75800000000001</c:v>
                </c:pt>
                <c:pt idx="5">
                  <c:v>197.38400000000001</c:v>
                </c:pt>
                <c:pt idx="6">
                  <c:v>226.37900000000002</c:v>
                </c:pt>
                <c:pt idx="7">
                  <c:v>241.054</c:v>
                </c:pt>
                <c:pt idx="8">
                  <c:v>237.95200000000011</c:v>
                </c:pt>
                <c:pt idx="9">
                  <c:v>220.80600000000001</c:v>
                </c:pt>
                <c:pt idx="10">
                  <c:v>198.512</c:v>
                </c:pt>
                <c:pt idx="11">
                  <c:v>179.78300000000002</c:v>
                </c:pt>
                <c:pt idx="12">
                  <c:v>169.31800000000001</c:v>
                </c:pt>
                <c:pt idx="13">
                  <c:v>167.8670000000001</c:v>
                </c:pt>
                <c:pt idx="14">
                  <c:v>174.578</c:v>
                </c:pt>
                <c:pt idx="15">
                  <c:v>189.55500000000001</c:v>
                </c:pt>
                <c:pt idx="16">
                  <c:v>215.916</c:v>
                </c:pt>
                <c:pt idx="17">
                  <c:v>260.59099999999978</c:v>
                </c:pt>
                <c:pt idx="18">
                  <c:v>331.56200000000001</c:v>
                </c:pt>
                <c:pt idx="19">
                  <c:v>431.048</c:v>
                </c:pt>
                <c:pt idx="20">
                  <c:v>549.64599999999996</c:v>
                </c:pt>
                <c:pt idx="21">
                  <c:v>669.01400000000001</c:v>
                </c:pt>
                <c:pt idx="22">
                  <c:v>772.73</c:v>
                </c:pt>
                <c:pt idx="23">
                  <c:v>854.71</c:v>
                </c:pt>
                <c:pt idx="24">
                  <c:v>916.76300000000003</c:v>
                </c:pt>
                <c:pt idx="25">
                  <c:v>960.11900000000003</c:v>
                </c:pt>
                <c:pt idx="26">
                  <c:v>982.22900000000004</c:v>
                </c:pt>
                <c:pt idx="27">
                  <c:v>981.0549999999995</c:v>
                </c:pt>
                <c:pt idx="28">
                  <c:v>958.70299999999997</c:v>
                </c:pt>
                <c:pt idx="29">
                  <c:v>920.66800000000001</c:v>
                </c:pt>
                <c:pt idx="30">
                  <c:v>875.41399999999999</c:v>
                </c:pt>
              </c:numCache>
            </c:numRef>
          </c:val>
        </c:ser>
        <c:marker val="1"/>
        <c:axId val="30656768"/>
        <c:axId val="30666752"/>
      </c:lineChart>
      <c:catAx>
        <c:axId val="30608000"/>
        <c:scaling>
          <c:orientation val="minMax"/>
        </c:scaling>
        <c:axPos val="b"/>
        <c:numFmt formatCode="General" sourceLinked="1"/>
        <c:tickLblPos val="low"/>
        <c:spPr>
          <a:ln w="3175">
            <a:solidFill>
              <a:srgbClr val="000000"/>
            </a:solidFill>
            <a:prstDash val="solid"/>
          </a:ln>
        </c:spPr>
        <c:txPr>
          <a:bodyPr rot="-2700000" vert="horz"/>
          <a:lstStyle/>
          <a:p>
            <a:pPr>
              <a:defRPr sz="800" b="0" i="0" u="none" strike="noStrike" baseline="0">
                <a:solidFill>
                  <a:srgbClr val="000000"/>
                </a:solidFill>
                <a:latin typeface="Arial"/>
                <a:ea typeface="Arial"/>
                <a:cs typeface="Arial"/>
              </a:defRPr>
            </a:pPr>
            <a:endParaRPr lang="en-US"/>
          </a:p>
        </c:txPr>
        <c:crossAx val="30654848"/>
        <c:crosses val="autoZero"/>
        <c:auto val="1"/>
        <c:lblAlgn val="ctr"/>
        <c:lblOffset val="100"/>
      </c:catAx>
      <c:valAx>
        <c:axId val="30654848"/>
        <c:scaling>
          <c:orientation val="minMax"/>
        </c:scaling>
        <c:axPos val="l"/>
        <c:title>
          <c:tx>
            <c:rich>
              <a:bodyPr/>
              <a:lstStyle/>
              <a:p>
                <a:pPr>
                  <a:defRPr sz="800" b="0" i="0" u="none" strike="noStrike" baseline="0">
                    <a:solidFill>
                      <a:srgbClr val="000000"/>
                    </a:solidFill>
                    <a:latin typeface="Arial"/>
                    <a:ea typeface="Arial"/>
                    <a:cs typeface="Arial"/>
                  </a:defRPr>
                </a:pPr>
                <a:r>
                  <a:rPr lang="en-AU"/>
                  <a:t>Stock ('000)</a:t>
                </a:r>
              </a:p>
            </c:rich>
          </c:tx>
          <c:layout>
            <c:manualLayout>
              <c:xMode val="edge"/>
              <c:yMode val="edge"/>
              <c:x val="1.7142760795157579E-2"/>
              <c:y val="0.35055870575905029"/>
            </c:manualLayout>
          </c:layout>
        </c:title>
        <c:numFmt formatCode="#,##0"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30608000"/>
        <c:crosses val="autoZero"/>
        <c:crossBetween val="midCat"/>
      </c:valAx>
      <c:catAx>
        <c:axId val="30656768"/>
        <c:scaling>
          <c:orientation val="minMax"/>
        </c:scaling>
        <c:delete val="1"/>
        <c:axPos val="b"/>
        <c:numFmt formatCode="General" sourceLinked="1"/>
        <c:tickLblPos val="none"/>
        <c:crossAx val="30666752"/>
        <c:crosses val="autoZero"/>
        <c:auto val="1"/>
        <c:lblAlgn val="ctr"/>
        <c:lblOffset val="100"/>
      </c:catAx>
      <c:valAx>
        <c:axId val="30666752"/>
        <c:scaling>
          <c:orientation val="minMax"/>
        </c:scaling>
        <c:axPos val="r"/>
        <c:title>
          <c:tx>
            <c:rich>
              <a:bodyPr/>
              <a:lstStyle/>
              <a:p>
                <a:pPr>
                  <a:defRPr sz="800" b="0" i="0" u="none" strike="noStrike" baseline="0">
                    <a:solidFill>
                      <a:srgbClr val="000000"/>
                    </a:solidFill>
                    <a:latin typeface="Arial"/>
                    <a:ea typeface="Arial"/>
                    <a:cs typeface="Arial"/>
                  </a:defRPr>
                </a:pPr>
                <a:r>
                  <a:rPr lang="en-AU"/>
                  <a:t>Disposal ('000)</a:t>
                </a:r>
              </a:p>
            </c:rich>
          </c:tx>
        </c:title>
        <c:numFmt formatCode="#,##0" sourceLinked="1"/>
        <c:tickLblPos val="nextTo"/>
        <c:txPr>
          <a:bodyPr rot="0" vert="horz"/>
          <a:lstStyle/>
          <a:p>
            <a:pPr>
              <a:defRPr sz="800" b="0" i="0" u="none" strike="noStrike" baseline="0">
                <a:solidFill>
                  <a:srgbClr val="000000"/>
                </a:solidFill>
                <a:latin typeface="Arial"/>
                <a:ea typeface="Arial"/>
                <a:cs typeface="Arial"/>
              </a:defRPr>
            </a:pPr>
            <a:endParaRPr lang="en-US"/>
          </a:p>
        </c:txPr>
        <c:crossAx val="30656768"/>
        <c:crosses val="max"/>
        <c:crossBetween val="midCat"/>
      </c:valAx>
      <c:spPr>
        <a:noFill/>
        <a:ln w="25400">
          <a:noFill/>
        </a:ln>
      </c:spPr>
    </c:plotArea>
    <c:legend>
      <c:legendPos val="r"/>
      <c:layout>
        <c:manualLayout>
          <c:xMode val="edge"/>
          <c:yMode val="edge"/>
          <c:x val="0.3293054598060054"/>
          <c:y val="0.91561938958707367"/>
          <c:w val="0.31923495644802324"/>
          <c:h val="6.8222621184919272E-2"/>
        </c:manualLayout>
      </c:layout>
      <c:spPr>
        <a:noFill/>
        <a:ln w="25400">
          <a:noFill/>
        </a:ln>
      </c:spPr>
      <c:txPr>
        <a:bodyPr/>
        <a:lstStyle/>
        <a:p>
          <a:pPr>
            <a:defRPr sz="675" b="0" i="0" u="none" strike="noStrike" baseline="0">
              <a:solidFill>
                <a:srgbClr val="000000"/>
              </a:solidFill>
              <a:latin typeface="Arial"/>
              <a:ea typeface="Arial"/>
              <a:cs typeface="Arial"/>
            </a:defRPr>
          </a:pPr>
          <a:endParaRPr lang="en-US"/>
        </a:p>
      </c:txPr>
    </c:legend>
    <c:plotVisOnly val="1"/>
    <c:dispBlanksAs val="gap"/>
  </c:chart>
  <c:spPr>
    <a:noFill/>
    <a:ln w="9525">
      <a:noFill/>
    </a:ln>
  </c:spPr>
  <c:txPr>
    <a:bodyPr/>
    <a:lstStyle/>
    <a:p>
      <a:pPr>
        <a:defRPr sz="800" b="0" i="0" u="none" strike="noStrike" baseline="0">
          <a:solidFill>
            <a:srgbClr val="000000"/>
          </a:solidFill>
          <a:latin typeface="Arial"/>
          <a:ea typeface="Arial"/>
          <a:cs typeface="Arial"/>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en-AU"/>
  <c:chart>
    <c:plotArea>
      <c:layout>
        <c:manualLayout>
          <c:layoutTarget val="inner"/>
          <c:xMode val="edge"/>
          <c:yMode val="edge"/>
          <c:x val="0.14815950506186726"/>
          <c:y val="5.2715819613457407E-2"/>
          <c:w val="0.71353835770528651"/>
          <c:h val="0.72852684323550465"/>
        </c:manualLayout>
      </c:layout>
      <c:lineChart>
        <c:grouping val="standard"/>
        <c:ser>
          <c:idx val="0"/>
          <c:order val="0"/>
          <c:tx>
            <c:strRef>
              <c:f>Charts!$B$2</c:f>
              <c:strCache>
                <c:ptCount val="1"/>
                <c:pt idx="0">
                  <c:v>Stock</c:v>
                </c:pt>
              </c:strCache>
            </c:strRef>
          </c:tx>
          <c:spPr>
            <a:ln w="25400">
              <a:solidFill>
                <a:srgbClr val="007C92"/>
              </a:solidFill>
            </a:ln>
          </c:spPr>
          <c:marker>
            <c:symbol val="none"/>
          </c:marker>
          <c:cat>
            <c:numRef>
              <c:f>Charts!$A$3:$A$33</c:f>
              <c:numCache>
                <c:formatCode>General</c:formatCode>
                <c:ptCount val="31"/>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pt idx="23">
                  <c:v>2017</c:v>
                </c:pt>
                <c:pt idx="24">
                  <c:v>2018</c:v>
                </c:pt>
                <c:pt idx="25">
                  <c:v>2019</c:v>
                </c:pt>
                <c:pt idx="26">
                  <c:v>2020</c:v>
                </c:pt>
                <c:pt idx="27">
                  <c:v>2021</c:v>
                </c:pt>
                <c:pt idx="28">
                  <c:v>2022</c:v>
                </c:pt>
                <c:pt idx="29">
                  <c:v>2023</c:v>
                </c:pt>
                <c:pt idx="30">
                  <c:v>2024</c:v>
                </c:pt>
              </c:numCache>
            </c:numRef>
          </c:cat>
          <c:val>
            <c:numRef>
              <c:f>Charts!$B$38:$B$68</c:f>
              <c:numCache>
                <c:formatCode>#,##0</c:formatCode>
                <c:ptCount val="31"/>
                <c:pt idx="0">
                  <c:v>11413.278</c:v>
                </c:pt>
                <c:pt idx="1">
                  <c:v>11690.035</c:v>
                </c:pt>
                <c:pt idx="2">
                  <c:v>11970.710000000006</c:v>
                </c:pt>
                <c:pt idx="3">
                  <c:v>12258.084000000004</c:v>
                </c:pt>
                <c:pt idx="4">
                  <c:v>12561.976000000001</c:v>
                </c:pt>
                <c:pt idx="5">
                  <c:v>12836.808999999985</c:v>
                </c:pt>
                <c:pt idx="6">
                  <c:v>13070.855999999983</c:v>
                </c:pt>
                <c:pt idx="7">
                  <c:v>13271.607</c:v>
                </c:pt>
                <c:pt idx="8">
                  <c:v>13432.018</c:v>
                </c:pt>
                <c:pt idx="9">
                  <c:v>13620.968999999985</c:v>
                </c:pt>
                <c:pt idx="10">
                  <c:v>13962.119000000002</c:v>
                </c:pt>
                <c:pt idx="11">
                  <c:v>14277.257</c:v>
                </c:pt>
                <c:pt idx="12">
                  <c:v>14699.356999999985</c:v>
                </c:pt>
                <c:pt idx="13">
                  <c:v>15078.573</c:v>
                </c:pt>
                <c:pt idx="14">
                  <c:v>15509.119000000002</c:v>
                </c:pt>
                <c:pt idx="15">
                  <c:v>15895.315000000001</c:v>
                </c:pt>
                <c:pt idx="16">
                  <c:v>16289.123000000007</c:v>
                </c:pt>
                <c:pt idx="17">
                  <c:v>16735.169999999984</c:v>
                </c:pt>
                <c:pt idx="18">
                  <c:v>17135.77</c:v>
                </c:pt>
                <c:pt idx="19">
                  <c:v>17508.900000000001</c:v>
                </c:pt>
                <c:pt idx="20">
                  <c:v>17769.667000000001</c:v>
                </c:pt>
                <c:pt idx="21">
                  <c:v>18027.232</c:v>
                </c:pt>
                <c:pt idx="22">
                  <c:v>18274.006000000001</c:v>
                </c:pt>
                <c:pt idx="23">
                  <c:v>18503.280999999999</c:v>
                </c:pt>
                <c:pt idx="24">
                  <c:v>18716.576000000001</c:v>
                </c:pt>
                <c:pt idx="25">
                  <c:v>18914.422999999999</c:v>
                </c:pt>
                <c:pt idx="26">
                  <c:v>19097.843000000001</c:v>
                </c:pt>
                <c:pt idx="27">
                  <c:v>19260.7</c:v>
                </c:pt>
                <c:pt idx="28">
                  <c:v>19398.133999999984</c:v>
                </c:pt>
                <c:pt idx="29">
                  <c:v>19517.136999999992</c:v>
                </c:pt>
                <c:pt idx="30">
                  <c:v>19624.311000000002</c:v>
                </c:pt>
              </c:numCache>
            </c:numRef>
          </c:val>
        </c:ser>
        <c:marker val="1"/>
        <c:axId val="74300032"/>
        <c:axId val="74305920"/>
      </c:lineChart>
      <c:lineChart>
        <c:grouping val="standard"/>
        <c:ser>
          <c:idx val="1"/>
          <c:order val="1"/>
          <c:tx>
            <c:strRef>
              <c:f>Charts!$C$2</c:f>
              <c:strCache>
                <c:ptCount val="1"/>
                <c:pt idx="0">
                  <c:v>Disposal</c:v>
                </c:pt>
              </c:strCache>
            </c:strRef>
          </c:tx>
          <c:spPr>
            <a:ln w="25400">
              <a:solidFill>
                <a:srgbClr val="8E258D"/>
              </a:solidFill>
            </a:ln>
          </c:spPr>
          <c:marker>
            <c:symbol val="none"/>
          </c:marker>
          <c:cat>
            <c:numRef>
              <c:f>Charts!$A$3:$A$33</c:f>
              <c:numCache>
                <c:formatCode>General</c:formatCode>
                <c:ptCount val="31"/>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pt idx="23">
                  <c:v>2017</c:v>
                </c:pt>
                <c:pt idx="24">
                  <c:v>2018</c:v>
                </c:pt>
                <c:pt idx="25">
                  <c:v>2019</c:v>
                </c:pt>
                <c:pt idx="26">
                  <c:v>2020</c:v>
                </c:pt>
                <c:pt idx="27">
                  <c:v>2021</c:v>
                </c:pt>
                <c:pt idx="28">
                  <c:v>2022</c:v>
                </c:pt>
                <c:pt idx="29">
                  <c:v>2023</c:v>
                </c:pt>
                <c:pt idx="30">
                  <c:v>2024</c:v>
                </c:pt>
              </c:numCache>
            </c:numRef>
          </c:cat>
          <c:val>
            <c:numRef>
              <c:f>Charts!$C$38:$C$68</c:f>
              <c:numCache>
                <c:formatCode>#,##0</c:formatCode>
                <c:ptCount val="31"/>
                <c:pt idx="0">
                  <c:v>358.21699999999959</c:v>
                </c:pt>
                <c:pt idx="1">
                  <c:v>397.11700000000002</c:v>
                </c:pt>
                <c:pt idx="2">
                  <c:v>432.61599999999999</c:v>
                </c:pt>
                <c:pt idx="3">
                  <c:v>465.90599999999978</c:v>
                </c:pt>
                <c:pt idx="4">
                  <c:v>499.26599999999979</c:v>
                </c:pt>
                <c:pt idx="5">
                  <c:v>535.35999999999956</c:v>
                </c:pt>
                <c:pt idx="6">
                  <c:v>577.31199999999956</c:v>
                </c:pt>
                <c:pt idx="7">
                  <c:v>625.529</c:v>
                </c:pt>
                <c:pt idx="8">
                  <c:v>678.524</c:v>
                </c:pt>
                <c:pt idx="9">
                  <c:v>732.21</c:v>
                </c:pt>
                <c:pt idx="10">
                  <c:v>780.07799999999997</c:v>
                </c:pt>
                <c:pt idx="11">
                  <c:v>815.89</c:v>
                </c:pt>
                <c:pt idx="12">
                  <c:v>835.13</c:v>
                </c:pt>
                <c:pt idx="13">
                  <c:v>837.053</c:v>
                </c:pt>
                <c:pt idx="14">
                  <c:v>826.47199999999998</c:v>
                </c:pt>
                <c:pt idx="15">
                  <c:v>808.899</c:v>
                </c:pt>
                <c:pt idx="16">
                  <c:v>791.03300000000002</c:v>
                </c:pt>
                <c:pt idx="17">
                  <c:v>776.69</c:v>
                </c:pt>
                <c:pt idx="18">
                  <c:v>768.69100000000003</c:v>
                </c:pt>
                <c:pt idx="19">
                  <c:v>767.65699999999958</c:v>
                </c:pt>
                <c:pt idx="20">
                  <c:v>774.99</c:v>
                </c:pt>
                <c:pt idx="21">
                  <c:v>790.92699999999957</c:v>
                </c:pt>
                <c:pt idx="22">
                  <c:v>816.11199999999997</c:v>
                </c:pt>
                <c:pt idx="23">
                  <c:v>850.096</c:v>
                </c:pt>
                <c:pt idx="24">
                  <c:v>891.08199999999999</c:v>
                </c:pt>
                <c:pt idx="25">
                  <c:v>937.06599999999958</c:v>
                </c:pt>
                <c:pt idx="26">
                  <c:v>986.19500000000005</c:v>
                </c:pt>
                <c:pt idx="27">
                  <c:v>1034.8809999999999</c:v>
                </c:pt>
                <c:pt idx="28">
                  <c:v>1080.3969999999999</c:v>
                </c:pt>
                <c:pt idx="29">
                  <c:v>1119.5119999999999</c:v>
                </c:pt>
                <c:pt idx="30">
                  <c:v>1148.6319999999998</c:v>
                </c:pt>
              </c:numCache>
            </c:numRef>
          </c:val>
        </c:ser>
        <c:marker val="1"/>
        <c:axId val="74307840"/>
        <c:axId val="74313728"/>
      </c:lineChart>
      <c:catAx>
        <c:axId val="74300032"/>
        <c:scaling>
          <c:orientation val="minMax"/>
        </c:scaling>
        <c:axPos val="b"/>
        <c:numFmt formatCode="General" sourceLinked="1"/>
        <c:tickLblPos val="low"/>
        <c:spPr>
          <a:ln w="3175">
            <a:solidFill>
              <a:srgbClr val="000000"/>
            </a:solidFill>
            <a:prstDash val="solid"/>
          </a:ln>
        </c:spPr>
        <c:txPr>
          <a:bodyPr rot="-2700000" vert="horz"/>
          <a:lstStyle/>
          <a:p>
            <a:pPr>
              <a:defRPr sz="800" b="0" i="0" u="none" strike="noStrike" baseline="0">
                <a:solidFill>
                  <a:srgbClr val="000000"/>
                </a:solidFill>
                <a:latin typeface="Arial"/>
                <a:ea typeface="Arial"/>
                <a:cs typeface="Arial"/>
              </a:defRPr>
            </a:pPr>
            <a:endParaRPr lang="en-US"/>
          </a:p>
        </c:txPr>
        <c:crossAx val="74305920"/>
        <c:crosses val="autoZero"/>
        <c:auto val="1"/>
        <c:lblAlgn val="ctr"/>
        <c:lblOffset val="100"/>
      </c:catAx>
      <c:valAx>
        <c:axId val="74305920"/>
        <c:scaling>
          <c:orientation val="minMax"/>
        </c:scaling>
        <c:axPos val="l"/>
        <c:title>
          <c:tx>
            <c:rich>
              <a:bodyPr/>
              <a:lstStyle/>
              <a:p>
                <a:pPr>
                  <a:defRPr sz="800" b="0" i="0" u="none" strike="noStrike" baseline="0">
                    <a:solidFill>
                      <a:srgbClr val="000000"/>
                    </a:solidFill>
                    <a:latin typeface="Arial"/>
                    <a:ea typeface="Arial"/>
                    <a:cs typeface="Arial"/>
                  </a:defRPr>
                </a:pPr>
                <a:r>
                  <a:rPr lang="en-AU"/>
                  <a:t>Stock ('000)</a:t>
                </a:r>
              </a:p>
            </c:rich>
          </c:tx>
          <c:layout>
            <c:manualLayout>
              <c:xMode val="edge"/>
              <c:yMode val="edge"/>
              <c:x val="1.7142760795157579E-2"/>
              <c:y val="0.35055870575905029"/>
            </c:manualLayout>
          </c:layout>
        </c:title>
        <c:numFmt formatCode="#,##0"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74300032"/>
        <c:crosses val="autoZero"/>
        <c:crossBetween val="midCat"/>
      </c:valAx>
      <c:catAx>
        <c:axId val="74307840"/>
        <c:scaling>
          <c:orientation val="minMax"/>
        </c:scaling>
        <c:delete val="1"/>
        <c:axPos val="b"/>
        <c:numFmt formatCode="General" sourceLinked="1"/>
        <c:tickLblPos val="none"/>
        <c:crossAx val="74313728"/>
        <c:crosses val="autoZero"/>
        <c:auto val="1"/>
        <c:lblAlgn val="ctr"/>
        <c:lblOffset val="100"/>
      </c:catAx>
      <c:valAx>
        <c:axId val="74313728"/>
        <c:scaling>
          <c:orientation val="minMax"/>
        </c:scaling>
        <c:axPos val="r"/>
        <c:title>
          <c:tx>
            <c:rich>
              <a:bodyPr/>
              <a:lstStyle/>
              <a:p>
                <a:pPr>
                  <a:defRPr sz="800" b="0" i="0" u="none" strike="noStrike" baseline="0">
                    <a:solidFill>
                      <a:srgbClr val="000000"/>
                    </a:solidFill>
                    <a:latin typeface="Arial"/>
                    <a:ea typeface="Arial"/>
                    <a:cs typeface="Arial"/>
                  </a:defRPr>
                </a:pPr>
                <a:r>
                  <a:rPr lang="en-AU"/>
                  <a:t>Disposal ('000)</a:t>
                </a:r>
              </a:p>
            </c:rich>
          </c:tx>
        </c:title>
        <c:numFmt formatCode="#,##0" sourceLinked="1"/>
        <c:tickLblPos val="nextTo"/>
        <c:txPr>
          <a:bodyPr rot="0" vert="horz"/>
          <a:lstStyle/>
          <a:p>
            <a:pPr>
              <a:defRPr sz="800" b="0" i="0" u="none" strike="noStrike" baseline="0">
                <a:solidFill>
                  <a:srgbClr val="000000"/>
                </a:solidFill>
                <a:latin typeface="Arial"/>
                <a:ea typeface="Arial"/>
                <a:cs typeface="Arial"/>
              </a:defRPr>
            </a:pPr>
            <a:endParaRPr lang="en-US"/>
          </a:p>
        </c:txPr>
        <c:crossAx val="74307840"/>
        <c:crosses val="max"/>
        <c:crossBetween val="midCat"/>
      </c:valAx>
      <c:spPr>
        <a:noFill/>
        <a:ln w="25400">
          <a:noFill/>
        </a:ln>
      </c:spPr>
    </c:plotArea>
    <c:legend>
      <c:legendPos val="r"/>
      <c:layout>
        <c:manualLayout>
          <c:xMode val="edge"/>
          <c:yMode val="edge"/>
          <c:x val="0.32862903225806472"/>
          <c:y val="0.91561938958707367"/>
          <c:w val="0.31955645161290352"/>
          <c:h val="6.8222621184919272E-2"/>
        </c:manualLayout>
      </c:layout>
      <c:spPr>
        <a:noFill/>
        <a:ln w="25400">
          <a:noFill/>
        </a:ln>
      </c:spPr>
      <c:txPr>
        <a:bodyPr/>
        <a:lstStyle/>
        <a:p>
          <a:pPr>
            <a:defRPr sz="675" b="0" i="0" u="none" strike="noStrike" baseline="0">
              <a:solidFill>
                <a:srgbClr val="000000"/>
              </a:solidFill>
              <a:latin typeface="Arial"/>
              <a:ea typeface="Arial"/>
              <a:cs typeface="Arial"/>
            </a:defRPr>
          </a:pPr>
          <a:endParaRPr lang="en-US"/>
        </a:p>
      </c:txPr>
    </c:legend>
    <c:plotVisOnly val="1"/>
    <c:dispBlanksAs val="gap"/>
  </c:chart>
  <c:spPr>
    <a:noFill/>
    <a:ln w="9525">
      <a:noFill/>
    </a:ln>
  </c:spPr>
  <c:txPr>
    <a:bodyPr/>
    <a:lstStyle/>
    <a:p>
      <a:pPr>
        <a:defRPr sz="800" b="0" i="0" u="none" strike="noStrike" baseline="0">
          <a:solidFill>
            <a:srgbClr val="000000"/>
          </a:solidFill>
          <a:latin typeface="Arial"/>
          <a:ea typeface="Arial"/>
          <a:cs typeface="Arial"/>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SPIRE Document" ma:contentTypeID="0x01010087E80B6A94CF17418D78389AE32387B5009D407183DE9A8A49B3DFF9DCCBFDE762" ma:contentTypeVersion="7" ma:contentTypeDescription="SPIRE Document" ma:contentTypeScope="" ma:versionID="753eeca5069cc91cb22d59e2f79d58ee">
  <xsd:schema xmlns:xsd="http://www.w3.org/2001/XMLSchema" xmlns:p="http://schemas.microsoft.com/office/2006/metadata/properties" xmlns:ns2="1201fbac-4e05-4e09-943f-b1daffa0ea6b" xmlns:ns3="http://schemas.microsoft.com/sharepoint/v4" targetNamespace="http://schemas.microsoft.com/office/2006/metadata/properties" ma:root="true" ma:fieldsID="1d6abb3dac6ad3bcb1e163ef892bff7d" ns2:_="" ns3:_="">
    <xsd:import namespace="1201fbac-4e05-4e09-943f-b1daffa0ea6b"/>
    <xsd:import namespace="http://schemas.microsoft.com/sharepoint/v4"/>
    <xsd:element name="properties">
      <xsd:complexType>
        <xsd:sequence>
          <xsd:element name="documentManagement">
            <xsd:complexType>
              <xsd:all>
                <xsd:element ref="ns2:DocumentDescription" minOccurs="0"/>
                <xsd:element ref="ns2:Approval" minOccurs="0"/>
                <xsd:element ref="ns2:RecordNumber" minOccurs="0"/>
                <xsd:element ref="ns2:Function" minOccurs="0"/>
                <xsd:element ref="ns3:IconOverlay" minOccurs="0"/>
              </xsd:all>
            </xsd:complexType>
          </xsd:element>
        </xsd:sequence>
      </xsd:complexType>
    </xsd:element>
  </xsd:schema>
  <xsd:schema xmlns:xsd="http://www.w3.org/2001/XMLSchema" xmlns:dms="http://schemas.microsoft.com/office/2006/documentManagement/types" targetNamespace="1201fbac-4e05-4e09-943f-b1daffa0ea6b" elementFormDefault="qualified">
    <xsd:import namespace="http://schemas.microsoft.com/office/2006/documentManagement/types"/>
    <xsd:element name="DocumentDescription" ma:index="8" nillable="true" ma:displayName="Document Description" ma:description="Document Description. Max 255 characters" ma:internalName="DocumentDescription">
      <xsd:simpleType>
        <xsd:restriction base="dms:Note"/>
      </xsd:simpleType>
    </xsd:element>
    <xsd:element name="Approval" ma:index="9" nillable="true" ma:displayName="Approval" ma:default="" ma:description="Select the approval status of the document" ma:format="Dropdown" ma:internalName="Approval">
      <xsd:simpleType>
        <xsd:restriction base="dms:Choice">
          <xsd:enumeration value="For Review"/>
          <xsd:enumeration value="Approved"/>
          <xsd:enumeration value="Superseded"/>
          <xsd:enumeration value="Cancelled"/>
        </xsd:restriction>
      </xsd:simpleType>
    </xsd:element>
    <xsd:element name="RecordNumber" ma:index="10" nillable="true" ma:displayName="Record Number" ma:description="RecordPoint Record Number" ma:internalName="RecordNumber">
      <xsd:simpleType>
        <xsd:restriction base="dms:Text"/>
      </xsd:simpleType>
    </xsd:element>
    <xsd:element name="Function" ma:index="11" nillable="true" ma:displayName="Function" ma:default="Regulation" ma:description="Select the relevance function" ma:format="Dropdown" ma:hidden="true" ma:internalName="Function" ma:readOnly="false">
      <xsd:simpleType>
        <xsd:restriction base="dms:Choice">
          <xsd:enumeration value="Administration"/>
          <xsd:enumeration value="International"/>
          <xsd:enumeration value="OHS"/>
          <xsd:enumeration value="Legal"/>
          <xsd:enumeration value="Personnel"/>
          <xsd:enumeration value="Program Admin"/>
          <xsd:enumeration value="Project"/>
          <xsd:enumeration value="Property"/>
          <xsd:enumeration value="Regulation"/>
          <xsd:enumeration value="Technology"/>
        </xsd:restriction>
      </xsd:simpleType>
    </xsd:element>
  </xsd:schema>
  <xsd:schema xmlns:xsd="http://www.w3.org/2001/XMLSchema" xmlns:dms="http://schemas.microsoft.com/office/2006/documentManagement/types" targetNamespace="http://schemas.microsoft.com/sharepoint/v4" elementFormDefault="qualified">
    <xsd:import namespace="http://schemas.microsoft.com/office/2006/documentManagement/types"/>
    <xsd:element name="IconOverlay" ma:index="12"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documentManagement>
    <RecordNumber xmlns="1201fbac-4e05-4e09-943f-b1daffa0ea6b" xsi:nil="true"/>
    <IconOverlay xmlns="http://schemas.microsoft.com/sharepoint/v4" xsi:nil="true"/>
    <DocumentDescription xmlns="1201fbac-4e05-4e09-943f-b1daffa0ea6b" xsi:nil="true"/>
    <Approval xmlns="1201fbac-4e05-4e09-943f-b1daffa0ea6b" xsi:nil="true"/>
    <Function xmlns="1201fbac-4e05-4e09-943f-b1daffa0ea6b">Regulation</Function>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customXsn xmlns="http://schemas.microsoft.com/office/2006/metadata/customXsn">
  <xsnLocation/>
  <cached>True</cached>
  <openByDefault>True</openByDefault>
  <xsnScope/>
</customXsn>
</file>

<file path=customXml/item5.xml><?xml version="1.0" encoding="utf-8"?>
<?mso-contentType ?>
<spe:Receivers xmlns:spe="http://schemas.microsoft.com/sharepoint/events">
  <Receiver>
    <Name/>
    <Synchronization>Asynchronous</Synchronization>
    <Type>10003</Type>
    <SequenceNumber>10000</SequenceNumber>
    <Assembly>RecordPoint.Active.UI, Version=1.0.0.0, Culture=neutral, PublicKeyToken=d49476ae5b650bf3</Assembly>
    <Class>RecordPoint.Active.UI.Events.WorkflowItemEventReceiver</Class>
    <Data/>
    <Filter/>
  </Receiver>
  <Receiver>
    <Name/>
    <Synchronization>Synchronous</Synchronization>
    <Type>3</Type>
    <SequenceNumber>10000</SequenceNumber>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Assembly>RecordPoint.Active.UI, Version=1.0.0.0, Culture=neutral, PublicKeyToken=d49476ae5b650bf3</Assembly>
    <Class>RecordPoint.Active.UI.Events.WorkflowItemEventReceiver</Class>
    <Data/>
    <Filter/>
  </Receiver>
  <Receiver>
    <Name/>
    <Synchronization>Synchronous</Synchronization>
    <Type>9</Type>
    <SequenceNumber>10000</SequenceNumber>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Assembly>RecordPoint.Active.UI, Version=1.0.0.0, Culture=neutral, PublicKeyToken=d49476ae5b650bf3</Assembly>
    <Class>RecordPoint.Active.UI.Events.WorkflowListEventReceiver</Class>
    <Data/>
    <Filter/>
  </Receiver>
  <Receiver>
    <Name/>
    <Synchronization>Synchronous</Synchronization>
    <Type>102</Type>
    <SequenceNumber>10000</SequenceNumber>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Assembly>RecordPoint.Active.UI, Version=1.0.0.0, Culture=neutral, PublicKeyToken=d49476ae5b650bf3</Assembly>
    <Class>RecordPoint.Active.UI.Events.WorkflowListEventReceiver</Class>
    <Data/>
    <Filter/>
  </Receiver>
  <Receiver>
    <Name/>
    <Synchronization>Synchronous</Synchronization>
    <Type>105</Type>
    <SequenceNumber>10000</SequenceNumber>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Assembly>RecordPoint.Active.UI, Version=1.0.0.0, Culture=neutral, PublicKeyToken=d49476ae5b650bf3</Assembly>
    <Class>RecordPoint.Active.UI.Events.WorkflowItemEventReceiver</Class>
    <Data/>
    <Filter/>
  </Receiver>
  <Receiver>
    <Name/>
    <Synchronization>Synchronous</Synchronization>
    <Type>2</Type>
    <SequenceNumber>10000</SequenceNumber>
    <Assembly>RecordPoint.Active.UI, Version=1.0.0.0, Culture=neutral, PublicKeyToken=d49476ae5b650bf3</Assembly>
    <Class>RecordPoint.Active.UI.Events.WorkflowItemEventReceiver</Class>
    <Data/>
    <Filter/>
  </Receiver>
</spe:Receiver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F06377-34DC-449D-A66D-00B1AFA991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01fbac-4e05-4e09-943f-b1daffa0ea6b"/>
    <ds:schemaRef ds:uri="http://schemas.microsoft.com/sharepoint/v4"/>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BEFB4873-6481-4421-BE18-98063FA94465}">
  <ds:schemaRefs>
    <ds:schemaRef ds:uri="http://schemas.microsoft.com/office/2006/metadata/properties"/>
    <ds:schemaRef ds:uri="1201fbac-4e05-4e09-943f-b1daffa0ea6b"/>
    <ds:schemaRef ds:uri="http://schemas.microsoft.com/sharepoint/v4"/>
  </ds:schemaRefs>
</ds:datastoreItem>
</file>

<file path=customXml/itemProps3.xml><?xml version="1.0" encoding="utf-8"?>
<ds:datastoreItem xmlns:ds="http://schemas.openxmlformats.org/officeDocument/2006/customXml" ds:itemID="{E81A0B6A-AE71-4A86-8147-E4E67666E71C}">
  <ds:schemaRefs>
    <ds:schemaRef ds:uri="http://schemas.microsoft.com/sharepoint/v3/contenttype/forms"/>
  </ds:schemaRefs>
</ds:datastoreItem>
</file>

<file path=customXml/itemProps4.xml><?xml version="1.0" encoding="utf-8"?>
<ds:datastoreItem xmlns:ds="http://schemas.openxmlformats.org/officeDocument/2006/customXml" ds:itemID="{8BDB74E2-FFA6-41D5-9215-E3884F85AE20}">
  <ds:schemaRefs>
    <ds:schemaRef ds:uri="http://schemas.microsoft.com/office/2006/metadata/customXsn"/>
  </ds:schemaRefs>
</ds:datastoreItem>
</file>

<file path=customXml/itemProps5.xml><?xml version="1.0" encoding="utf-8"?>
<ds:datastoreItem xmlns:ds="http://schemas.openxmlformats.org/officeDocument/2006/customXml" ds:itemID="{A862AFD6-2C39-43DF-91B5-C7474A81456A}">
  <ds:schemaRefs>
    <ds:schemaRef ds:uri="http://schemas.microsoft.com/sharepoint/events"/>
  </ds:schemaRefs>
</ds:datastoreItem>
</file>

<file path=customXml/itemProps6.xml><?xml version="1.0" encoding="utf-8"?>
<ds:datastoreItem xmlns:ds="http://schemas.openxmlformats.org/officeDocument/2006/customXml" ds:itemID="{DCDAA526-0CF5-449D-8E49-10130ADAFC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Template>
  <TotalTime>1</TotalTime>
  <Pages>76</Pages>
  <Words>20318</Words>
  <Characters>116767</Characters>
  <Application>Microsoft Office Word</Application>
  <DocSecurity>0</DocSecurity>
  <Lines>973</Lines>
  <Paragraphs>273</Paragraphs>
  <ScaleCrop>false</ScaleCrop>
  <HeadingPairs>
    <vt:vector size="2" baseType="variant">
      <vt:variant>
        <vt:lpstr>Title</vt:lpstr>
      </vt:variant>
      <vt:variant>
        <vt:i4>1</vt:i4>
      </vt:variant>
    </vt:vector>
  </HeadingPairs>
  <TitlesOfParts>
    <vt:vector size="1" baseType="lpstr">
      <vt:lpstr>Cost Benefit Analysis: Product Stewardship for Domestic Refrigerators and Air Conditioners at End-of-Life</vt:lpstr>
    </vt:vector>
  </TitlesOfParts>
  <Company>KPMG</Company>
  <LinksUpToDate>false</LinksUpToDate>
  <CharactersWithSpaces>136812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Cost benefit analysis: product stewardship for domestic refrigerators and air conditioners at end-of-life</dc:title>
  <dc:subject>Department of the Environment</dc:subject>
  <dc:creator>KPMG</dc:creator>
  <cp:lastModifiedBy>A00870</cp:lastModifiedBy>
  <cp:revision>3</cp:revision>
  <cp:lastPrinted>2014-09-25T02:47:00Z</cp:lastPrinted>
  <dcterms:created xsi:type="dcterms:W3CDTF">2015-01-16T05:21:00Z</dcterms:created>
  <dcterms:modified xsi:type="dcterms:W3CDTF">2015-02-23T00:30:00Z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ISDateFmt">
    <vt:lpwstr>d MMMM yyyy</vt:lpwstr>
  </property>
  <property fmtid="{D5CDD505-2E9C-101B-9397-08002B2CF9AE}" pid="3" name="KISFirmDispName">
    <vt:lpwstr>KPMG</vt:lpwstr>
  </property>
  <property fmtid="{D5CDD505-2E9C-101B-9397-08002B2CF9AE}" pid="4" name="KISFirmPrtName">
    <vt:lpwstr/>
  </property>
  <property fmtid="{D5CDD505-2E9C-101B-9397-08002B2CF9AE}" pid="5" name="KISFirmInfoA">
    <vt:lpwstr>ABN: 51 194 660 183</vt:lpwstr>
  </property>
  <property fmtid="{D5CDD505-2E9C-101B-9397-08002B2CF9AE}" pid="6" name="KISFirmInfoB">
    <vt:lpwstr/>
  </property>
  <property fmtid="{D5CDD505-2E9C-101B-9397-08002B2CF9AE}" pid="7" name="KISFirmInfoC">
    <vt:lpwstr/>
  </property>
  <property fmtid="{D5CDD505-2E9C-101B-9397-08002B2CF9AE}" pid="8" name="KISFirmDesc">
    <vt:lpwstr>KPMG, an Australian partnership and a member firm of the KPMG network of independent member firms affiliated with KPMG International Cooperative (“KPMG International”), a Swiss entity.</vt:lpwstr>
  </property>
  <property fmtid="{D5CDD505-2E9C-101B-9397-08002B2CF9AE}" pid="9" name="KISSvcDispName">
    <vt:lpwstr>Advisory</vt:lpwstr>
  </property>
  <property fmtid="{D5CDD505-2E9C-101B-9397-08002B2CF9AE}" pid="10" name="KISSvcPrtName">
    <vt:lpwstr>Advisory</vt:lpwstr>
  </property>
  <property fmtid="{D5CDD505-2E9C-101B-9397-08002B2CF9AE}" pid="11" name="KISSvcInfoA">
    <vt:lpwstr/>
  </property>
  <property fmtid="{D5CDD505-2E9C-101B-9397-08002B2CF9AE}" pid="12" name="KISSvcInfoB">
    <vt:lpwstr/>
  </property>
  <property fmtid="{D5CDD505-2E9C-101B-9397-08002B2CF9AE}" pid="13" name="KISSvcInfoC">
    <vt:lpwstr>Liability limited by a scheme approved under Professional Standards Legislation.</vt:lpwstr>
  </property>
  <property fmtid="{D5CDD505-2E9C-101B-9397-08002B2CF9AE}" pid="14" name="KISOffName">
    <vt:lpwstr>Sydney</vt:lpwstr>
  </property>
  <property fmtid="{D5CDD505-2E9C-101B-9397-08002B2CF9AE}" pid="15" name="KISOffCity">
    <vt:lpwstr/>
  </property>
  <property fmtid="{D5CDD505-2E9C-101B-9397-08002B2CF9AE}" pid="16" name="KISOffInfoA">
    <vt:lpwstr/>
  </property>
  <property fmtid="{D5CDD505-2E9C-101B-9397-08002B2CF9AE}" pid="17" name="KISOff1Addr">
    <vt:lpwstr>10 Shelley Street_x000b_Sydney  NSW  2000_x000b__x000b_P O Box H67_x000b_Australia Square 1215_x000b_Australia</vt:lpwstr>
  </property>
  <property fmtid="{D5CDD505-2E9C-101B-9397-08002B2CF9AE}" pid="18" name="KISOff2Addr">
    <vt:lpwstr>PO Box H67_x000b_Australia Square_x000b_Sydney  NSW  1215Australia</vt:lpwstr>
  </property>
  <property fmtid="{D5CDD505-2E9C-101B-9397-08002B2CF9AE}" pid="19" name="KISOff3Addr">
    <vt:lpwstr>Telephone: +61 2 9335 7000_x000b_Facsimile: +61 2 9335 7001_x000b_DX: 1056 Sydney_x000b_www.kpmg.com.au</vt:lpwstr>
  </property>
  <property fmtid="{D5CDD505-2E9C-101B-9397-08002B2CF9AE}" pid="20" name="KISClient">
    <vt:lpwstr>Department of the Environment</vt:lpwstr>
  </property>
  <property fmtid="{D5CDD505-2E9C-101B-9397-08002B2CF9AE}" pid="21" name="KISSubject">
    <vt:lpwstr/>
  </property>
  <property fmtid="{D5CDD505-2E9C-101B-9397-08002B2CF9AE}" pid="22" name="KISRepSubTitle">
    <vt:lpwstr/>
  </property>
  <property fmtid="{D5CDD505-2E9C-101B-9397-08002B2CF9AE}" pid="23" name="KISHdrInfo">
    <vt:lpwstr>June 2014</vt:lpwstr>
  </property>
  <property fmtid="{D5CDD505-2E9C-101B-9397-08002B2CF9AE}" pid="24" name="KISTmpltVer">
    <vt:lpwstr>3.0</vt:lpwstr>
  </property>
  <property fmtid="{D5CDD505-2E9C-101B-9397-08002B2CF9AE}" pid="25" name="KISFirmCopyright">
    <vt:lpwstr>© 2014 KPMG, an Australian partnership and a member firm of the KPMG network of independent member firms affiliated with KPMG International Cooperative (“KPMG International”), a Swiss entity. _x000b_All rights reserved.                                    </vt:lpwstr>
  </property>
  <property fmtid="{D5CDD505-2E9C-101B-9397-08002B2CF9AE}" pid="26" name="KISFirmCopyright2">
    <vt:lpwstr>_x000b_KPMG and the KPMG logo are registered trademarks of KPMG International.</vt:lpwstr>
  </property>
  <property fmtid="{D5CDD505-2E9C-101B-9397-08002B2CF9AE}" pid="27" name="KISHdrInfoA">
    <vt:lpwstr>Advisory</vt:lpwstr>
  </property>
  <property fmtid="{D5CDD505-2E9C-101B-9397-08002B2CF9AE}" pid="28" name="ContentTypeId">
    <vt:lpwstr>0x01010087E80B6A94CF17418D78389AE32387B5009D407183DE9A8A49B3DFF9DCCBFDE762</vt:lpwstr>
  </property>
  <property fmtid="{D5CDD505-2E9C-101B-9397-08002B2CF9AE}" pid="29" name="RecordPoint_SubmissionDate">
    <vt:lpwstr/>
  </property>
  <property fmtid="{D5CDD505-2E9C-101B-9397-08002B2CF9AE}" pid="30" name="RecordPoint_RecordNumberSubmitted">
    <vt:lpwstr/>
  </property>
  <property fmtid="{D5CDD505-2E9C-101B-9397-08002B2CF9AE}" pid="31" name="RecordPoint_ActiveItemWebId">
    <vt:lpwstr>{79acb4cd-a78c-47fd-aba0-261bd2a3ece7}</vt:lpwstr>
  </property>
  <property fmtid="{D5CDD505-2E9C-101B-9397-08002B2CF9AE}" pid="32" name="RecordPoint_WorkflowType">
    <vt:lpwstr>ActiveSubmitStub</vt:lpwstr>
  </property>
  <property fmtid="{D5CDD505-2E9C-101B-9397-08002B2CF9AE}" pid="33" name="RecordPoint_ActiveItemSiteId">
    <vt:lpwstr>{1385f4fc-5717-4abf-b566-e69ec52ac4b2}</vt:lpwstr>
  </property>
  <property fmtid="{D5CDD505-2E9C-101B-9397-08002B2CF9AE}" pid="34" name="RecordPoint_ActiveItemListId">
    <vt:lpwstr>{d6cbbc0f-3bc0-4a8c-8e98-b44fa0320655}</vt:lpwstr>
  </property>
  <property fmtid="{D5CDD505-2E9C-101B-9397-08002B2CF9AE}" pid="35" name="RecordPoint_ActiveItemMoved">
    <vt:lpwstr/>
  </property>
  <property fmtid="{D5CDD505-2E9C-101B-9397-08002B2CF9AE}" pid="36" name="RecordPoint_SubmissionCompleted">
    <vt:lpwstr/>
  </property>
  <property fmtid="{D5CDD505-2E9C-101B-9397-08002B2CF9AE}" pid="37" name="RecordPoint_ActiveItemUniqueId">
    <vt:lpwstr>{ee619aad-4da3-4931-b551-0959d7dc0f52}</vt:lpwstr>
  </property>
  <property fmtid="{D5CDD505-2E9C-101B-9397-08002B2CF9AE}" pid="38" name="RecordPoint_RecordFormat">
    <vt:lpwstr/>
  </property>
</Properties>
</file>