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A6D8A" w14:textId="0CD35BCE" w:rsidR="00F50D0D" w:rsidRPr="00BE1F89" w:rsidRDefault="00BE1F89">
      <w:pPr>
        <w:rPr>
          <w:b/>
          <w:bCs/>
        </w:rPr>
      </w:pPr>
      <w:r w:rsidRPr="00BE1F89">
        <w:rPr>
          <w:b/>
          <w:bCs/>
        </w:rPr>
        <w:t>Management response</w:t>
      </w:r>
    </w:p>
    <w:p w14:paraId="243B02CD" w14:textId="79443C49" w:rsidR="00A6522D" w:rsidRDefault="00A6522D">
      <w:r>
        <w:t>This is the management response of the independent evaluation of the Pacific Biosecurity Partnerships Program (PBPP) and Phase 3 of the Solomon Islands Biosecurity Development Program (SIBDP)</w:t>
      </w:r>
      <w:r w:rsidR="00415BA3">
        <w:t xml:space="preserve">. Both programs are </w:t>
      </w:r>
      <w:r>
        <w:t xml:space="preserve">funded by the Department of Foreign Affairs and Trade (DFAT) and implemented by the Department of Agriculture Fisheries and Forestry (DAFF). </w:t>
      </w:r>
    </w:p>
    <w:p w14:paraId="06E72E58" w14:textId="067308D2" w:rsidR="00A6522D" w:rsidRDefault="00A6522D" w:rsidP="00BE1F89">
      <w:pPr>
        <w:spacing w:line="259" w:lineRule="auto"/>
      </w:pPr>
      <w:r>
        <w:t>The PBPP</w:t>
      </w:r>
      <w:r w:rsidRPr="0009276B">
        <w:t xml:space="preserve"> </w:t>
      </w:r>
      <w:r>
        <w:t xml:space="preserve">is a regional program which partners with </w:t>
      </w:r>
      <w:proofErr w:type="gramStart"/>
      <w:r w:rsidR="0072311C">
        <w:t xml:space="preserve">Pacific </w:t>
      </w:r>
      <w:r w:rsidR="00C44A9D">
        <w:t>i</w:t>
      </w:r>
      <w:r w:rsidR="0072311C">
        <w:t>sland</w:t>
      </w:r>
      <w:proofErr w:type="gramEnd"/>
      <w:r>
        <w:t xml:space="preserve"> biosecurity agencies and regional organisations to strengthen regional capacity to</w:t>
      </w:r>
      <w:r w:rsidRPr="007E369D">
        <w:t xml:space="preserve"> identify and manage biosecurity risks</w:t>
      </w:r>
      <w:r>
        <w:t xml:space="preserve"> in line with international </w:t>
      </w:r>
      <w:r w:rsidR="00C44A9D">
        <w:t>standards and</w:t>
      </w:r>
      <w:r>
        <w:t xml:space="preserve"> improve understanding </w:t>
      </w:r>
      <w:r w:rsidRPr="007E369D">
        <w:t>of safe trade and market access</w:t>
      </w:r>
      <w:r>
        <w:t xml:space="preserve"> practices. </w:t>
      </w:r>
    </w:p>
    <w:p w14:paraId="6DE99E76" w14:textId="7ADEB1F6" w:rsidR="00A6522D" w:rsidRDefault="00A6522D" w:rsidP="00BE1F89">
      <w:pPr>
        <w:spacing w:line="259" w:lineRule="auto"/>
      </w:pPr>
      <w:r>
        <w:t xml:space="preserve">The </w:t>
      </w:r>
      <w:r w:rsidRPr="007E369D">
        <w:t>SIBDP</w:t>
      </w:r>
      <w:r>
        <w:t xml:space="preserve"> is a bilateral, capacity development program that provides technical, operational and institutional support to the Solomon Islands Ministry of Agriculture and Livestock and Biosecurity Solomons Islands. The program is supported by a DAFF in-country official based in Honiara to facilitate program coordination and delivery</w:t>
      </w:r>
      <w:r w:rsidR="003E192E">
        <w:t xml:space="preserve"> as the </w:t>
      </w:r>
      <w:r w:rsidR="003E192E">
        <w:t>In</w:t>
      </w:r>
      <w:r w:rsidR="00D77561">
        <w:t>-</w:t>
      </w:r>
      <w:r w:rsidR="003E192E">
        <w:t>Country Manager</w:t>
      </w:r>
      <w:r>
        <w:t>.</w:t>
      </w:r>
    </w:p>
    <w:p w14:paraId="3671136C" w14:textId="3571E204" w:rsidR="00A6522D" w:rsidRPr="004B04A9" w:rsidRDefault="00A6522D" w:rsidP="004B04A9">
      <w:r>
        <w:t>Both programs directly support</w:t>
      </w:r>
      <w:r w:rsidRPr="0026062B">
        <w:rPr>
          <w:rFonts w:eastAsia="Aptos" w:cstheme="minorHAnsi"/>
          <w:szCs w:val="22"/>
        </w:rPr>
        <w:t xml:space="preserve"> DFAT </w:t>
      </w:r>
      <w:r>
        <w:rPr>
          <w:rFonts w:eastAsia="Aptos" w:cstheme="minorHAnsi"/>
          <w:szCs w:val="22"/>
        </w:rPr>
        <w:t xml:space="preserve">and DAFF </w:t>
      </w:r>
      <w:r w:rsidRPr="0026062B">
        <w:rPr>
          <w:rFonts w:eastAsia="Aptos" w:cstheme="minorHAnsi"/>
          <w:szCs w:val="22"/>
        </w:rPr>
        <w:t>priorities</w:t>
      </w:r>
      <w:r w:rsidR="00174CBB">
        <w:rPr>
          <w:rFonts w:eastAsia="Aptos" w:cstheme="minorHAnsi"/>
          <w:szCs w:val="22"/>
        </w:rPr>
        <w:t>,</w:t>
      </w:r>
      <w:r>
        <w:rPr>
          <w:rFonts w:eastAsia="Aptos" w:cstheme="minorHAnsi"/>
          <w:szCs w:val="22"/>
        </w:rPr>
        <w:t xml:space="preserve"> including</w:t>
      </w:r>
      <w:r w:rsidRPr="0026062B">
        <w:rPr>
          <w:rFonts w:eastAsia="Aptos" w:cstheme="minorHAnsi"/>
          <w:szCs w:val="22"/>
        </w:rPr>
        <w:t xml:space="preserve"> under the Australia–Pacific Regional Development Partnership Plan 2025–2029</w:t>
      </w:r>
      <w:r w:rsidR="00174CBB">
        <w:rPr>
          <w:rFonts w:eastAsia="Aptos" w:cstheme="minorHAnsi"/>
          <w:szCs w:val="22"/>
        </w:rPr>
        <w:t>,</w:t>
      </w:r>
      <w:r w:rsidRPr="0026062B">
        <w:rPr>
          <w:rFonts w:eastAsia="Aptos" w:cstheme="minorHAnsi"/>
          <w:szCs w:val="22"/>
        </w:rPr>
        <w:t xml:space="preserve"> </w:t>
      </w:r>
      <w:r>
        <w:rPr>
          <w:rFonts w:eastAsia="Aptos" w:cstheme="minorHAnsi"/>
          <w:szCs w:val="22"/>
        </w:rPr>
        <w:t xml:space="preserve">and </w:t>
      </w:r>
      <w:r w:rsidRPr="0026062B">
        <w:rPr>
          <w:rFonts w:eastAsia="Aptos" w:cstheme="minorHAnsi"/>
          <w:szCs w:val="22"/>
        </w:rPr>
        <w:t xml:space="preserve">the </w:t>
      </w:r>
      <w:r>
        <w:rPr>
          <w:rFonts w:eastAsia="Aptos" w:cstheme="minorHAnsi"/>
          <w:szCs w:val="22"/>
        </w:rPr>
        <w:t xml:space="preserve">DAFF </w:t>
      </w:r>
      <w:r w:rsidRPr="0026062B">
        <w:rPr>
          <w:rFonts w:eastAsia="Aptos" w:cstheme="minorHAnsi"/>
          <w:szCs w:val="22"/>
        </w:rPr>
        <w:t>Biosecurity 2030 Roadmap and the Pacific Biosecurity Strategy</w:t>
      </w:r>
      <w:r>
        <w:rPr>
          <w:rFonts w:eastAsia="Aptos" w:cstheme="minorHAnsi"/>
          <w:szCs w:val="22"/>
        </w:rPr>
        <w:t xml:space="preserve"> 2022 to 2027</w:t>
      </w:r>
      <w:r w:rsidRPr="0026062B">
        <w:rPr>
          <w:rFonts w:eastAsia="Aptos" w:cstheme="minorHAnsi"/>
          <w:szCs w:val="22"/>
        </w:rPr>
        <w:t xml:space="preserve">. </w:t>
      </w:r>
      <w:r w:rsidR="0095341A" w:rsidRPr="00A17809">
        <w:t>They also</w:t>
      </w:r>
      <w:r w:rsidR="0095341A">
        <w:rPr>
          <w:rFonts w:eastAsia="Aptos" w:cstheme="minorHAnsi"/>
          <w:szCs w:val="22"/>
        </w:rPr>
        <w:t xml:space="preserve"> reflect</w:t>
      </w:r>
      <w:r w:rsidR="0095341A" w:rsidRPr="00A17809">
        <w:t xml:space="preserve"> Australia’s whole-of-</w:t>
      </w:r>
      <w:r w:rsidR="0095341A">
        <w:rPr>
          <w:rFonts w:eastAsia="Aptos" w:cstheme="minorHAnsi"/>
          <w:szCs w:val="22"/>
        </w:rPr>
        <w:t>government</w:t>
      </w:r>
      <w:r w:rsidR="0095341A" w:rsidRPr="0026062B">
        <w:rPr>
          <w:rFonts w:eastAsia="Aptos" w:cstheme="minorHAnsi"/>
          <w:szCs w:val="22"/>
        </w:rPr>
        <w:t xml:space="preserve"> </w:t>
      </w:r>
      <w:r w:rsidR="0095341A" w:rsidRPr="00A17809">
        <w:t>approach to engagement with the Pacific</w:t>
      </w:r>
      <w:r w:rsidR="0095341A">
        <w:rPr>
          <w:rFonts w:eastAsia="Aptos" w:cstheme="minorHAnsi"/>
          <w:szCs w:val="22"/>
        </w:rPr>
        <w:t xml:space="preserve"> and </w:t>
      </w:r>
      <w:r w:rsidR="0095341A" w:rsidRPr="00A17809">
        <w:t>support</w:t>
      </w:r>
      <w:r w:rsidR="0095341A">
        <w:rPr>
          <w:rFonts w:eastAsia="Aptos" w:cstheme="minorHAnsi"/>
          <w:szCs w:val="22"/>
        </w:rPr>
        <w:t xml:space="preserve"> partner government priorities</w:t>
      </w:r>
      <w:r w:rsidR="0095341A" w:rsidRPr="00A17809">
        <w:t xml:space="preserve"> by strengthening biosecurity systems, trade and regional resilience</w:t>
      </w:r>
      <w:r w:rsidR="0095341A" w:rsidRPr="0026062B" w:rsidDel="00E6405C">
        <w:rPr>
          <w:rFonts w:eastAsia="Aptos" w:cstheme="minorHAnsi"/>
          <w:szCs w:val="22"/>
        </w:rPr>
        <w:t>.</w:t>
      </w:r>
    </w:p>
    <w:p w14:paraId="2B02E822" w14:textId="1CE9C97A" w:rsidR="00A6522D" w:rsidRDefault="00A6522D" w:rsidP="007E369D">
      <w:pPr>
        <w:spacing w:line="259" w:lineRule="auto"/>
        <w:rPr>
          <w:rFonts w:eastAsia="Aptos" w:cstheme="minorHAnsi"/>
          <w:szCs w:val="22"/>
        </w:rPr>
      </w:pPr>
      <w:r>
        <w:rPr>
          <w:rFonts w:eastAsia="Aptos" w:cstheme="minorHAnsi"/>
          <w:szCs w:val="22"/>
        </w:rPr>
        <w:t>DAFF and DFAT welcome the findings of the mid-term independent evaluation</w:t>
      </w:r>
      <w:r w:rsidR="002F07CF">
        <w:rPr>
          <w:rFonts w:eastAsia="Aptos" w:cstheme="minorHAnsi"/>
          <w:szCs w:val="22"/>
        </w:rPr>
        <w:t xml:space="preserve">, </w:t>
      </w:r>
      <w:r w:rsidR="00D66C8D" w:rsidRPr="00A71CA3">
        <w:t>including its recognition</w:t>
      </w:r>
      <w:r w:rsidR="00D66C8D">
        <w:rPr>
          <w:rFonts w:eastAsia="Aptos" w:cstheme="minorHAnsi"/>
          <w:szCs w:val="22"/>
        </w:rPr>
        <w:t xml:space="preserve"> that </w:t>
      </w:r>
      <w:r w:rsidR="00D66C8D" w:rsidDel="00123842">
        <w:rPr>
          <w:rFonts w:eastAsia="Aptos" w:cstheme="minorHAnsi"/>
          <w:szCs w:val="22"/>
        </w:rPr>
        <w:t xml:space="preserve">the </w:t>
      </w:r>
      <w:r w:rsidR="00D66C8D">
        <w:rPr>
          <w:rFonts w:eastAsia="Aptos" w:cstheme="minorHAnsi"/>
          <w:szCs w:val="22"/>
        </w:rPr>
        <w:t>programs are</w:t>
      </w:r>
      <w:r w:rsidR="00D66C8D" w:rsidRPr="00A71CA3">
        <w:t xml:space="preserve"> strengthening relationships and biosecurity systems</w:t>
      </w:r>
      <w:r w:rsidR="00D66C8D">
        <w:rPr>
          <w:rFonts w:eastAsia="Aptos" w:cstheme="minorHAnsi"/>
          <w:szCs w:val="22"/>
        </w:rPr>
        <w:t xml:space="preserve"> across the region</w:t>
      </w:r>
      <w:r>
        <w:rPr>
          <w:rFonts w:eastAsia="Aptos" w:cstheme="minorHAnsi"/>
          <w:szCs w:val="22"/>
        </w:rPr>
        <w:t xml:space="preserve">. </w:t>
      </w:r>
      <w:r w:rsidR="00483FDE" w:rsidRPr="00A71CA3">
        <w:t>The findings have already informed implementation planning for 2026–27 and will guide any future design or programming decisions.</w:t>
      </w:r>
    </w:p>
    <w:p w14:paraId="29902849" w14:textId="4A72C13D" w:rsidR="00A6522D" w:rsidRDefault="00A6522D" w:rsidP="003A1380">
      <w:pPr>
        <w:spacing w:line="259" w:lineRule="auto"/>
        <w:rPr>
          <w:lang w:val="en-US"/>
        </w:rPr>
      </w:pPr>
      <w:r>
        <w:rPr>
          <w:rFonts w:eastAsia="Aptos" w:cstheme="minorHAnsi"/>
          <w:szCs w:val="22"/>
        </w:rPr>
        <w:t xml:space="preserve">DAFF and DFAT recognise that the operating environment in the Pacific, and Solomon Islands in particular, has changed since the start of both programs. </w:t>
      </w:r>
      <w:r w:rsidR="00261B80" w:rsidRPr="00606DC8">
        <w:t>Any future design will need to respond to this evolving context, clearly articulate the scope and objectives of Australia’s support,</w:t>
      </w:r>
      <w:r>
        <w:rPr>
          <w:rFonts w:eastAsia="Aptos" w:cstheme="minorHAnsi"/>
          <w:szCs w:val="22"/>
        </w:rPr>
        <w:t xml:space="preserve"> and how they can best complement related programs in the agriculture and trade sectors. </w:t>
      </w:r>
    </w:p>
    <w:p w14:paraId="056B3E2C" w14:textId="77777777" w:rsidR="001D21E6" w:rsidRDefault="001D21E6" w:rsidP="00BE1F89">
      <w:pPr>
        <w:spacing w:line="259" w:lineRule="auto"/>
      </w:pPr>
    </w:p>
    <w:p w14:paraId="61081770" w14:textId="77777777" w:rsidR="001D21E6" w:rsidRDefault="001D21E6" w:rsidP="00BE1F89">
      <w:pPr>
        <w:spacing w:line="259" w:lineRule="auto"/>
        <w:sectPr w:rsidR="001D21E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p w14:paraId="4296625F" w14:textId="6C62ED50" w:rsidR="00BE1F89" w:rsidRDefault="00BE1F89" w:rsidP="00BE1F89">
      <w:pPr>
        <w:spacing w:line="259" w:lineRule="auto"/>
      </w:pPr>
    </w:p>
    <w:tbl>
      <w:tblPr>
        <w:tblStyle w:val="TableGrid"/>
        <w:tblW w:w="5000" w:type="pct"/>
        <w:tblLook w:val="04A0" w:firstRow="1" w:lastRow="0" w:firstColumn="1" w:lastColumn="0" w:noHBand="0" w:noVBand="1"/>
      </w:tblPr>
      <w:tblGrid>
        <w:gridCol w:w="421"/>
        <w:gridCol w:w="4017"/>
        <w:gridCol w:w="1297"/>
        <w:gridCol w:w="3314"/>
        <w:gridCol w:w="3124"/>
        <w:gridCol w:w="1775"/>
      </w:tblGrid>
      <w:tr w:rsidR="00083094" w14:paraId="04329A2C" w14:textId="12D71DFF" w:rsidTr="00083094">
        <w:tc>
          <w:tcPr>
            <w:tcW w:w="1591" w:type="pct"/>
            <w:gridSpan w:val="2"/>
          </w:tcPr>
          <w:p w14:paraId="3A726507" w14:textId="54B99250" w:rsidR="00083094" w:rsidRPr="007E369D" w:rsidRDefault="00083094" w:rsidP="00BE1F89">
            <w:pPr>
              <w:spacing w:line="259" w:lineRule="auto"/>
              <w:rPr>
                <w:b/>
                <w:bCs/>
              </w:rPr>
            </w:pPr>
            <w:r w:rsidRPr="007E369D">
              <w:rPr>
                <w:b/>
                <w:bCs/>
              </w:rPr>
              <w:t>Recommendation</w:t>
            </w:r>
          </w:p>
        </w:tc>
        <w:tc>
          <w:tcPr>
            <w:tcW w:w="465" w:type="pct"/>
          </w:tcPr>
          <w:p w14:paraId="519A8087" w14:textId="18711439" w:rsidR="00083094" w:rsidRPr="007E369D" w:rsidRDefault="00083094" w:rsidP="00BE1F89">
            <w:pPr>
              <w:spacing w:line="259" w:lineRule="auto"/>
              <w:rPr>
                <w:b/>
                <w:bCs/>
              </w:rPr>
            </w:pPr>
            <w:r w:rsidRPr="007E369D">
              <w:rPr>
                <w:b/>
                <w:bCs/>
              </w:rPr>
              <w:t>Response</w:t>
            </w:r>
          </w:p>
        </w:tc>
        <w:tc>
          <w:tcPr>
            <w:tcW w:w="1188" w:type="pct"/>
          </w:tcPr>
          <w:p w14:paraId="2F41A3B8" w14:textId="533C49A2" w:rsidR="00083094" w:rsidRPr="007E369D" w:rsidRDefault="00083094" w:rsidP="00BE1F89">
            <w:pPr>
              <w:spacing w:line="259" w:lineRule="auto"/>
              <w:rPr>
                <w:b/>
                <w:bCs/>
              </w:rPr>
            </w:pPr>
            <w:r w:rsidRPr="007E369D">
              <w:rPr>
                <w:b/>
                <w:bCs/>
              </w:rPr>
              <w:t xml:space="preserve">Actions </w:t>
            </w:r>
            <w:r>
              <w:rPr>
                <w:b/>
                <w:bCs/>
              </w:rPr>
              <w:t>- PBPP</w:t>
            </w:r>
          </w:p>
        </w:tc>
        <w:tc>
          <w:tcPr>
            <w:tcW w:w="1120" w:type="pct"/>
          </w:tcPr>
          <w:p w14:paraId="39D70066" w14:textId="743B892E" w:rsidR="00083094" w:rsidRPr="007E369D" w:rsidRDefault="00083094" w:rsidP="00BE1F89">
            <w:pPr>
              <w:spacing w:line="259" w:lineRule="auto"/>
              <w:rPr>
                <w:b/>
                <w:bCs/>
              </w:rPr>
            </w:pPr>
            <w:r w:rsidRPr="007E369D">
              <w:rPr>
                <w:b/>
                <w:bCs/>
              </w:rPr>
              <w:t xml:space="preserve">Actions </w:t>
            </w:r>
            <w:r>
              <w:rPr>
                <w:b/>
                <w:bCs/>
              </w:rPr>
              <w:t>- SIBDP</w:t>
            </w:r>
          </w:p>
        </w:tc>
        <w:tc>
          <w:tcPr>
            <w:tcW w:w="636" w:type="pct"/>
          </w:tcPr>
          <w:p w14:paraId="61A689AA" w14:textId="5C40B7C6" w:rsidR="00083094" w:rsidRPr="007E369D" w:rsidRDefault="00083094" w:rsidP="00BE1F89">
            <w:pPr>
              <w:spacing w:line="259" w:lineRule="auto"/>
              <w:rPr>
                <w:b/>
                <w:bCs/>
              </w:rPr>
            </w:pPr>
            <w:r w:rsidRPr="007E369D">
              <w:rPr>
                <w:b/>
                <w:bCs/>
              </w:rPr>
              <w:t xml:space="preserve">Responsibility </w:t>
            </w:r>
          </w:p>
        </w:tc>
      </w:tr>
      <w:tr w:rsidR="00083094" w14:paraId="591C81B5" w14:textId="4CFC2A48" w:rsidTr="00083094">
        <w:tc>
          <w:tcPr>
            <w:tcW w:w="151" w:type="pct"/>
          </w:tcPr>
          <w:p w14:paraId="157957D2" w14:textId="278E1A5B" w:rsidR="00083094" w:rsidRPr="009972A0" w:rsidRDefault="00083094" w:rsidP="00BE1F89">
            <w:pPr>
              <w:spacing w:line="259" w:lineRule="auto"/>
            </w:pPr>
            <w:r>
              <w:t>1</w:t>
            </w:r>
          </w:p>
        </w:tc>
        <w:tc>
          <w:tcPr>
            <w:tcW w:w="1440" w:type="pct"/>
          </w:tcPr>
          <w:p w14:paraId="245132AC" w14:textId="12425310" w:rsidR="00083094" w:rsidRDefault="00083094" w:rsidP="00BE1F89">
            <w:pPr>
              <w:spacing w:line="259" w:lineRule="auto"/>
            </w:pPr>
            <w:r w:rsidRPr="009972A0">
              <w:t xml:space="preserve">Continue to engage with PIC governments, </w:t>
            </w:r>
            <w:r>
              <w:t xml:space="preserve">SPC, </w:t>
            </w:r>
            <w:r w:rsidRPr="009972A0">
              <w:t>New Zealand</w:t>
            </w:r>
            <w:r>
              <w:t xml:space="preserve"> and </w:t>
            </w:r>
            <w:r w:rsidRPr="009972A0">
              <w:t>other donors/programs about regional strategies for biosecurity and best uses of available resources for collective impact</w:t>
            </w:r>
            <w:r>
              <w:t>.</w:t>
            </w:r>
          </w:p>
        </w:tc>
        <w:tc>
          <w:tcPr>
            <w:tcW w:w="465" w:type="pct"/>
          </w:tcPr>
          <w:p w14:paraId="5A11BC29" w14:textId="16D59B69" w:rsidR="00083094" w:rsidRDefault="00083094" w:rsidP="00BE1F89">
            <w:pPr>
              <w:spacing w:line="259" w:lineRule="auto"/>
            </w:pPr>
            <w:r>
              <w:t>Agree</w:t>
            </w:r>
          </w:p>
        </w:tc>
        <w:tc>
          <w:tcPr>
            <w:tcW w:w="1188" w:type="pct"/>
          </w:tcPr>
          <w:p w14:paraId="273275A3" w14:textId="109F864A" w:rsidR="00083094" w:rsidRDefault="00083094" w:rsidP="00BE1F89">
            <w:pPr>
              <w:spacing w:line="259" w:lineRule="auto"/>
            </w:pPr>
            <w:r>
              <w:t xml:space="preserve">Collaboration continues to be a focus of the PBPP. To inform the 2026-27 workplan, DAFF engaged with Pacific </w:t>
            </w:r>
            <w:r w:rsidR="001F594C">
              <w:t>I</w:t>
            </w:r>
            <w:r>
              <w:t xml:space="preserve">sland </w:t>
            </w:r>
            <w:r w:rsidR="001F594C">
              <w:t>C</w:t>
            </w:r>
            <w:r>
              <w:t>ountries (PICs), the Pacific Community (SPC), PACER Plus and New Zealand’s Ministry of Primary Industr</w:t>
            </w:r>
            <w:r w:rsidR="003A57F2">
              <w:t>ies</w:t>
            </w:r>
            <w:r>
              <w:t xml:space="preserve"> (MPI) to identify and design program activities, avoid duplication and improve outcomes.</w:t>
            </w:r>
          </w:p>
          <w:p w14:paraId="4F98EFFC" w14:textId="77777777" w:rsidR="00083094" w:rsidRDefault="00083094" w:rsidP="00BE1F89">
            <w:pPr>
              <w:spacing w:line="259" w:lineRule="auto"/>
            </w:pPr>
          </w:p>
          <w:p w14:paraId="0E50D5E2" w14:textId="34A5FAE5" w:rsidR="00083094" w:rsidRDefault="00083094" w:rsidP="00BE1F89">
            <w:pPr>
              <w:spacing w:line="259" w:lineRule="auto"/>
            </w:pPr>
            <w:r>
              <w:t xml:space="preserve">If the program is extended, the PBPP will have a dedicated design process to enable adequate consultation and collaboration with regional partners, as well as other relevant programs in the trade and agriculture space.  </w:t>
            </w:r>
          </w:p>
          <w:p w14:paraId="756C5C44" w14:textId="28B77A3F" w:rsidR="00083094" w:rsidRDefault="00083094" w:rsidP="00BE1F89">
            <w:pPr>
              <w:spacing w:line="259" w:lineRule="auto"/>
            </w:pPr>
          </w:p>
        </w:tc>
        <w:tc>
          <w:tcPr>
            <w:tcW w:w="1120" w:type="pct"/>
          </w:tcPr>
          <w:p w14:paraId="291FA945" w14:textId="39EBA670" w:rsidR="00083094" w:rsidRDefault="00083094" w:rsidP="00BE1F89">
            <w:pPr>
              <w:spacing w:line="259" w:lineRule="auto"/>
            </w:pPr>
            <w:r>
              <w:t xml:space="preserve">Collaboration continues to be a focus of the SIBDP. The </w:t>
            </w:r>
            <w:r w:rsidR="00D77561">
              <w:t>In-Country Manager</w:t>
            </w:r>
            <w:r w:rsidR="00D77561">
              <w:t xml:space="preserve"> </w:t>
            </w:r>
            <w:r w:rsidR="00E61C2E">
              <w:t>regularly</w:t>
            </w:r>
            <w:r>
              <w:t xml:space="preserve"> engages with relevant organisations to design and implement activities. </w:t>
            </w:r>
          </w:p>
          <w:p w14:paraId="21DE93AA" w14:textId="0A1F06A1" w:rsidR="00083094" w:rsidRDefault="00083094" w:rsidP="00BE1F89">
            <w:pPr>
              <w:spacing w:line="259" w:lineRule="auto"/>
            </w:pPr>
          </w:p>
          <w:p w14:paraId="4342FF65" w14:textId="2BCFB532" w:rsidR="00083094" w:rsidRDefault="00083094" w:rsidP="00BE1F89">
            <w:pPr>
              <w:spacing w:line="259" w:lineRule="auto"/>
            </w:pPr>
            <w:r>
              <w:t xml:space="preserve">If the program is extended, a dedicated design process will enable adequate consultation </w:t>
            </w:r>
            <w:r w:rsidR="00242D38">
              <w:t xml:space="preserve">between DFAT and DAFF for better alignment of objectives and expectations, </w:t>
            </w:r>
            <w:r>
              <w:t>and</w:t>
            </w:r>
            <w:r w:rsidR="00242D38">
              <w:t xml:space="preserve"> with </w:t>
            </w:r>
            <w:r>
              <w:t xml:space="preserve">partners, as well as other relevant programs in the export and agriculture space. </w:t>
            </w:r>
          </w:p>
        </w:tc>
        <w:tc>
          <w:tcPr>
            <w:tcW w:w="636" w:type="pct"/>
          </w:tcPr>
          <w:p w14:paraId="00EED8BD" w14:textId="08370EE4" w:rsidR="00083094" w:rsidRDefault="00083094" w:rsidP="00BE1F89">
            <w:pPr>
              <w:spacing w:line="259" w:lineRule="auto"/>
            </w:pPr>
            <w:r>
              <w:t>DAFF &amp; DFAT</w:t>
            </w:r>
          </w:p>
        </w:tc>
      </w:tr>
      <w:tr w:rsidR="00083094" w14:paraId="4EC05D28" w14:textId="65FD7032" w:rsidTr="00083094">
        <w:tc>
          <w:tcPr>
            <w:tcW w:w="151" w:type="pct"/>
          </w:tcPr>
          <w:p w14:paraId="071F9D4B" w14:textId="49215757" w:rsidR="00083094" w:rsidRPr="009972A0" w:rsidRDefault="00083094" w:rsidP="001D21E6">
            <w:pPr>
              <w:spacing w:line="259" w:lineRule="auto"/>
            </w:pPr>
            <w:r>
              <w:t>2</w:t>
            </w:r>
          </w:p>
        </w:tc>
        <w:tc>
          <w:tcPr>
            <w:tcW w:w="1440" w:type="pct"/>
          </w:tcPr>
          <w:p w14:paraId="35A8D0E6" w14:textId="1717CCFC" w:rsidR="00083094" w:rsidRDefault="00083094" w:rsidP="001D21E6">
            <w:pPr>
              <w:spacing w:line="259" w:lineRule="auto"/>
            </w:pPr>
            <w:r w:rsidRPr="009972A0">
              <w:t xml:space="preserve">Monitoring could include introducing a biosecurity agency ‘maturity model’ or similar, appropriate to the </w:t>
            </w:r>
            <w:r w:rsidRPr="009972A0">
              <w:lastRenderedPageBreak/>
              <w:t>Pacific, to more transparently and objectively identify local or regional needs and assess the extent of change over time. A maturity model could help with intervention planning, training needs assessments and assessments of rapid response systems.</w:t>
            </w:r>
          </w:p>
        </w:tc>
        <w:tc>
          <w:tcPr>
            <w:tcW w:w="465" w:type="pct"/>
          </w:tcPr>
          <w:p w14:paraId="2862E0B9" w14:textId="001ED420" w:rsidR="00083094" w:rsidRDefault="00083094" w:rsidP="001D21E6">
            <w:pPr>
              <w:spacing w:line="259" w:lineRule="auto"/>
            </w:pPr>
            <w:r>
              <w:lastRenderedPageBreak/>
              <w:t>Partially agree</w:t>
            </w:r>
          </w:p>
        </w:tc>
        <w:tc>
          <w:tcPr>
            <w:tcW w:w="1188" w:type="pct"/>
          </w:tcPr>
          <w:p w14:paraId="79A5F7F6" w14:textId="57415E10" w:rsidR="004B04A9" w:rsidRDefault="004B04A9" w:rsidP="001D21E6">
            <w:pPr>
              <w:spacing w:line="259" w:lineRule="auto"/>
            </w:pPr>
            <w:r w:rsidRPr="004B04A9">
              <w:t xml:space="preserve">DFAT and DAFF agree that more transparent monitoring of institutional capacity and </w:t>
            </w:r>
            <w:r w:rsidRPr="004B04A9">
              <w:lastRenderedPageBreak/>
              <w:t>change over time is important. However, given PBPP’s regional scope and current resourcing, a formal country-level maturity model has not been considered as part of the current program.</w:t>
            </w:r>
          </w:p>
          <w:p w14:paraId="161E08B7" w14:textId="77777777" w:rsidR="004B04A9" w:rsidRDefault="004B04A9" w:rsidP="001D21E6">
            <w:pPr>
              <w:spacing w:line="259" w:lineRule="auto"/>
            </w:pPr>
          </w:p>
          <w:p w14:paraId="2AF0C883" w14:textId="249EF10B" w:rsidR="00083094" w:rsidRDefault="00083094" w:rsidP="00E82224">
            <w:pPr>
              <w:spacing w:line="259" w:lineRule="auto"/>
            </w:pPr>
            <w:r>
              <w:t xml:space="preserve">If the program is extended, the PBPP will have a dedicated design process to enable adequate consultation and collaboration, including a more in-depth consideration of how to tailor regional activities to be effective for participating PICs. </w:t>
            </w:r>
          </w:p>
          <w:p w14:paraId="7453D286" w14:textId="127A51DC" w:rsidR="00083094" w:rsidRDefault="00083094" w:rsidP="001D21E6">
            <w:pPr>
              <w:spacing w:line="259" w:lineRule="auto"/>
            </w:pPr>
            <w:r>
              <w:t xml:space="preserve"> </w:t>
            </w:r>
          </w:p>
        </w:tc>
        <w:tc>
          <w:tcPr>
            <w:tcW w:w="1120" w:type="pct"/>
          </w:tcPr>
          <w:p w14:paraId="138E442D" w14:textId="101A9027" w:rsidR="00083094" w:rsidRDefault="00083094" w:rsidP="001D21E6">
            <w:pPr>
              <w:spacing w:line="259" w:lineRule="auto"/>
            </w:pPr>
            <w:r>
              <w:lastRenderedPageBreak/>
              <w:t xml:space="preserve">The SIBDP Phase 3 was developed based on an assessment of Biosecurity </w:t>
            </w:r>
            <w:r>
              <w:lastRenderedPageBreak/>
              <w:t xml:space="preserve">Solomon Islands, undertaken in collaboration with DAFF at the end of Phase 2. </w:t>
            </w:r>
          </w:p>
          <w:p w14:paraId="73CA173C" w14:textId="77777777" w:rsidR="00083094" w:rsidRDefault="00083094" w:rsidP="001D21E6">
            <w:pPr>
              <w:spacing w:line="259" w:lineRule="auto"/>
            </w:pPr>
          </w:p>
          <w:p w14:paraId="6D10D078" w14:textId="614A98CF" w:rsidR="00083094" w:rsidRDefault="00083094" w:rsidP="001D21E6">
            <w:pPr>
              <w:spacing w:line="259" w:lineRule="auto"/>
            </w:pPr>
            <w:r>
              <w:t xml:space="preserve">The program design for the 2026-27 financial year was developed closely with staff from Biosecurity Solomon Islands, to ensure activities meet organisational needs. </w:t>
            </w:r>
          </w:p>
          <w:p w14:paraId="199DC199" w14:textId="77777777" w:rsidR="00083094" w:rsidRDefault="00083094" w:rsidP="001D21E6">
            <w:pPr>
              <w:spacing w:line="259" w:lineRule="auto"/>
            </w:pPr>
          </w:p>
          <w:p w14:paraId="3AED771B" w14:textId="3F365AEA" w:rsidR="00083094" w:rsidRDefault="00083094" w:rsidP="00E82224">
            <w:pPr>
              <w:spacing w:line="259" w:lineRule="auto"/>
            </w:pPr>
            <w:r>
              <w:t xml:space="preserve">If the program is extended, the SIBDP will have a dedicated design process to enable adequate consultation and collaboration with BSI staff to ensure activities meet their organisational needs. </w:t>
            </w:r>
          </w:p>
          <w:p w14:paraId="20AB2BF0" w14:textId="7FF025F7" w:rsidR="00083094" w:rsidRDefault="00083094" w:rsidP="001D21E6">
            <w:pPr>
              <w:spacing w:line="259" w:lineRule="auto"/>
            </w:pPr>
          </w:p>
        </w:tc>
        <w:tc>
          <w:tcPr>
            <w:tcW w:w="636" w:type="pct"/>
          </w:tcPr>
          <w:p w14:paraId="46C62E71" w14:textId="3C441679" w:rsidR="00083094" w:rsidRDefault="00083094" w:rsidP="001D21E6">
            <w:pPr>
              <w:spacing w:line="259" w:lineRule="auto"/>
            </w:pPr>
            <w:r>
              <w:lastRenderedPageBreak/>
              <w:t>DAFF &amp; DFAT</w:t>
            </w:r>
          </w:p>
        </w:tc>
      </w:tr>
      <w:tr w:rsidR="00083094" w14:paraId="365B59CB" w14:textId="3BF08928" w:rsidTr="00083094">
        <w:tc>
          <w:tcPr>
            <w:tcW w:w="151" w:type="pct"/>
          </w:tcPr>
          <w:p w14:paraId="25160227" w14:textId="1F2077B4" w:rsidR="00083094" w:rsidRPr="009972A0" w:rsidRDefault="00083094" w:rsidP="0034603F">
            <w:pPr>
              <w:spacing w:line="259" w:lineRule="auto"/>
            </w:pPr>
            <w:r>
              <w:t>3</w:t>
            </w:r>
          </w:p>
        </w:tc>
        <w:tc>
          <w:tcPr>
            <w:tcW w:w="1440" w:type="pct"/>
          </w:tcPr>
          <w:p w14:paraId="44C2B8BF" w14:textId="5E70B67F" w:rsidR="00083094" w:rsidRDefault="00083094" w:rsidP="0034603F">
            <w:pPr>
              <w:spacing w:line="259" w:lineRule="auto"/>
            </w:pPr>
            <w:r w:rsidRPr="009972A0">
              <w:t xml:space="preserve">If resourcing stays </w:t>
            </w:r>
            <w:proofErr w:type="gramStart"/>
            <w:r w:rsidRPr="009972A0">
              <w:t>similar to</w:t>
            </w:r>
            <w:proofErr w:type="gramEnd"/>
            <w:r w:rsidRPr="009972A0">
              <w:t xml:space="preserve"> current levels, </w:t>
            </w:r>
            <w:r>
              <w:t xml:space="preserve">PBPP (and potentially SIBDP) </w:t>
            </w:r>
            <w:r w:rsidRPr="009972A0">
              <w:t>should be clearer that it is only able to offer a narrow portfolio of projects, what those projects are, and what Australia’s interest is in them.</w:t>
            </w:r>
          </w:p>
        </w:tc>
        <w:tc>
          <w:tcPr>
            <w:tcW w:w="465" w:type="pct"/>
          </w:tcPr>
          <w:p w14:paraId="7D3662D5" w14:textId="0C175AD0" w:rsidR="00083094" w:rsidRDefault="00083094" w:rsidP="001D21E6">
            <w:pPr>
              <w:spacing w:line="259" w:lineRule="auto"/>
            </w:pPr>
            <w:r>
              <w:t>Agree</w:t>
            </w:r>
          </w:p>
        </w:tc>
        <w:tc>
          <w:tcPr>
            <w:tcW w:w="1188" w:type="pct"/>
          </w:tcPr>
          <w:p w14:paraId="3BE5CCAE" w14:textId="214147E9" w:rsidR="00083094" w:rsidRDefault="00083094" w:rsidP="001D21E6">
            <w:pPr>
              <w:spacing w:line="259" w:lineRule="auto"/>
            </w:pPr>
            <w:r>
              <w:t xml:space="preserve">DFAT and DAFF have revised the PBPP theory of change for the 2026-27 financial year, to articulate outcomes and scope. </w:t>
            </w:r>
          </w:p>
          <w:p w14:paraId="10741B5F" w14:textId="77777777" w:rsidR="00AA4FBA" w:rsidRDefault="00AA4FBA" w:rsidP="001D21E6">
            <w:pPr>
              <w:spacing w:line="259" w:lineRule="auto"/>
            </w:pPr>
          </w:p>
          <w:p w14:paraId="03D4A9E8" w14:textId="77777777" w:rsidR="00083094" w:rsidRDefault="00083094" w:rsidP="001D21E6">
            <w:pPr>
              <w:spacing w:line="259" w:lineRule="auto"/>
            </w:pPr>
            <w:r>
              <w:lastRenderedPageBreak/>
              <w:t xml:space="preserve">If the program is extended, the PBPP will have a dedicated design process, including a clear articulation of scope and outcomes, </w:t>
            </w:r>
            <w:r w:rsidR="00AA4FBA" w:rsidRPr="003F49A9">
              <w:rPr>
                <w:lang w:val="en-US"/>
              </w:rPr>
              <w:t xml:space="preserve">with </w:t>
            </w:r>
            <w:r w:rsidR="00AA4FBA">
              <w:t xml:space="preserve">appropriate </w:t>
            </w:r>
            <w:r w:rsidR="00AA4FBA" w:rsidRPr="003F49A9">
              <w:rPr>
                <w:lang w:val="en-US"/>
              </w:rPr>
              <w:t>resources</w:t>
            </w:r>
            <w:r w:rsidR="00AA4FBA">
              <w:rPr>
                <w:lang w:val="en-US"/>
              </w:rPr>
              <w:t xml:space="preserve"> allocated,</w:t>
            </w:r>
            <w:r w:rsidR="00AA4FBA">
              <w:t xml:space="preserve"> as required by DFATs </w:t>
            </w:r>
            <w:r w:rsidR="00AA4FBA" w:rsidRPr="00B74DF3">
              <w:t>Design and Monitoring, Evaluation and Learning Standards</w:t>
            </w:r>
            <w:r w:rsidR="00AA4FBA">
              <w:t xml:space="preserve">. </w:t>
            </w:r>
          </w:p>
          <w:p w14:paraId="2A7A715A" w14:textId="2F17C230" w:rsidR="006E203D" w:rsidRDefault="006E203D" w:rsidP="001D21E6">
            <w:pPr>
              <w:spacing w:line="259" w:lineRule="auto"/>
            </w:pPr>
          </w:p>
        </w:tc>
        <w:tc>
          <w:tcPr>
            <w:tcW w:w="1120" w:type="pct"/>
          </w:tcPr>
          <w:p w14:paraId="500886DC" w14:textId="16BCF639" w:rsidR="00083094" w:rsidRDefault="00083094" w:rsidP="001D21E6">
            <w:pPr>
              <w:spacing w:line="259" w:lineRule="auto"/>
            </w:pPr>
            <w:r>
              <w:lastRenderedPageBreak/>
              <w:t xml:space="preserve">If the program is extended, the SIBDP will have a dedicated design process, including a clear articulation of scope and outcomes, </w:t>
            </w:r>
            <w:r w:rsidR="00AA4FBA" w:rsidRPr="003F49A9">
              <w:rPr>
                <w:lang w:val="en-US"/>
              </w:rPr>
              <w:t xml:space="preserve">with </w:t>
            </w:r>
            <w:r w:rsidR="00AA4FBA">
              <w:t xml:space="preserve">appropriate </w:t>
            </w:r>
            <w:r w:rsidR="00AA4FBA" w:rsidRPr="003F49A9">
              <w:rPr>
                <w:lang w:val="en-US"/>
              </w:rPr>
              <w:t>resources</w:t>
            </w:r>
            <w:r w:rsidR="00AA4FBA">
              <w:rPr>
                <w:lang w:val="en-US"/>
              </w:rPr>
              <w:t xml:space="preserve"> allocated,</w:t>
            </w:r>
            <w:r w:rsidR="00AA4FBA">
              <w:t xml:space="preserve"> </w:t>
            </w:r>
            <w:r>
              <w:t xml:space="preserve">as </w:t>
            </w:r>
            <w:r>
              <w:lastRenderedPageBreak/>
              <w:t xml:space="preserve">required by DFATs </w:t>
            </w:r>
            <w:r w:rsidRPr="00B74DF3">
              <w:t>Design and Monitoring, Evaluation and Learning Standards</w:t>
            </w:r>
            <w:r>
              <w:t>.</w:t>
            </w:r>
          </w:p>
        </w:tc>
        <w:tc>
          <w:tcPr>
            <w:tcW w:w="636" w:type="pct"/>
          </w:tcPr>
          <w:p w14:paraId="15CA90C9" w14:textId="52B25985" w:rsidR="00083094" w:rsidRDefault="00083094" w:rsidP="001D21E6">
            <w:pPr>
              <w:spacing w:line="259" w:lineRule="auto"/>
            </w:pPr>
            <w:r>
              <w:lastRenderedPageBreak/>
              <w:t>DAFF &amp; DFAT</w:t>
            </w:r>
          </w:p>
        </w:tc>
      </w:tr>
      <w:tr w:rsidR="00083094" w14:paraId="75EF52B9" w14:textId="17212CEA" w:rsidTr="00083094">
        <w:tc>
          <w:tcPr>
            <w:tcW w:w="151" w:type="pct"/>
          </w:tcPr>
          <w:p w14:paraId="6DC0457F" w14:textId="3B9CF8BA" w:rsidR="00083094" w:rsidRPr="0023783A" w:rsidRDefault="00083094" w:rsidP="001D21E6">
            <w:pPr>
              <w:spacing w:line="259" w:lineRule="auto"/>
            </w:pPr>
            <w:r>
              <w:t>4</w:t>
            </w:r>
          </w:p>
        </w:tc>
        <w:tc>
          <w:tcPr>
            <w:tcW w:w="1440" w:type="pct"/>
          </w:tcPr>
          <w:p w14:paraId="6990A140" w14:textId="5249A15D" w:rsidR="00083094" w:rsidRDefault="00083094" w:rsidP="001D21E6">
            <w:pPr>
              <w:spacing w:line="259" w:lineRule="auto"/>
            </w:pPr>
            <w:r w:rsidRPr="0023783A">
              <w:t xml:space="preserve">Contingent on resources, continue to uphold relationship-building as a core priority for the </w:t>
            </w:r>
            <w:r w:rsidRPr="007056F8">
              <w:t>Program</w:t>
            </w:r>
            <w:r w:rsidRPr="0023783A">
              <w:t>s, but with more specificity about the role of South-to-South partnerships, technical exchanges, joint assessments and Australia’s role in those partnerships.</w:t>
            </w:r>
          </w:p>
        </w:tc>
        <w:tc>
          <w:tcPr>
            <w:tcW w:w="465" w:type="pct"/>
          </w:tcPr>
          <w:p w14:paraId="6C8712A7" w14:textId="29E639B1" w:rsidR="00083094" w:rsidRDefault="00083094" w:rsidP="001D21E6">
            <w:pPr>
              <w:spacing w:line="259" w:lineRule="auto"/>
            </w:pPr>
            <w:r>
              <w:t>Agree</w:t>
            </w:r>
          </w:p>
        </w:tc>
        <w:tc>
          <w:tcPr>
            <w:tcW w:w="1188" w:type="pct"/>
          </w:tcPr>
          <w:p w14:paraId="6819ADC3" w14:textId="5293754A" w:rsidR="00083094" w:rsidRPr="00956BD0" w:rsidRDefault="00083094" w:rsidP="00956BD0">
            <w:pPr>
              <w:spacing w:line="259" w:lineRule="auto"/>
            </w:pPr>
            <w:r>
              <w:t>Relationship building remains a core priority for the PBPP. One of three program outcomes is ‘c</w:t>
            </w:r>
            <w:r w:rsidRPr="00956BD0">
              <w:t xml:space="preserve">ollaborative partnerships with Pacific </w:t>
            </w:r>
            <w:r w:rsidR="00EA70F6">
              <w:t>I</w:t>
            </w:r>
            <w:r w:rsidRPr="00956BD0">
              <w:t xml:space="preserve">sland </w:t>
            </w:r>
            <w:r w:rsidR="00EA70F6">
              <w:t>G</w:t>
            </w:r>
            <w:r w:rsidRPr="00956BD0">
              <w:t>overnments, regional organisations and stakeholders are enhanced, as demonstrated by co</w:t>
            </w:r>
            <w:r w:rsidRPr="00956BD0">
              <w:noBreakHyphen/>
              <w:t>design, co</w:t>
            </w:r>
            <w:r w:rsidRPr="00956BD0">
              <w:noBreakHyphen/>
              <w:t>delivery, and coordinated implementation of program priorities.</w:t>
            </w:r>
            <w:r>
              <w:t>’</w:t>
            </w:r>
          </w:p>
          <w:p w14:paraId="0A29E7F6" w14:textId="3C2BF1F9" w:rsidR="00083094" w:rsidRDefault="00083094" w:rsidP="001D21E6">
            <w:pPr>
              <w:spacing w:line="259" w:lineRule="auto"/>
            </w:pPr>
          </w:p>
          <w:p w14:paraId="320771C4" w14:textId="39DE8695" w:rsidR="00083094" w:rsidRDefault="00083094" w:rsidP="001D21E6">
            <w:pPr>
              <w:spacing w:line="259" w:lineRule="auto"/>
            </w:pPr>
            <w:r>
              <w:t xml:space="preserve">Early in 2025-26 DFAT provided DAFF two years of funding certainty, providing more time for considered </w:t>
            </w:r>
            <w:r>
              <w:lastRenderedPageBreak/>
              <w:t xml:space="preserve">planning and implementation. </w:t>
            </w:r>
          </w:p>
          <w:p w14:paraId="7A493FC7" w14:textId="77777777" w:rsidR="00083094" w:rsidRDefault="00083094" w:rsidP="001D21E6">
            <w:pPr>
              <w:spacing w:line="259" w:lineRule="auto"/>
            </w:pPr>
          </w:p>
          <w:p w14:paraId="4137F45E" w14:textId="290045DB" w:rsidR="00057C8D" w:rsidRPr="00057C8D" w:rsidRDefault="00057C8D" w:rsidP="00057C8D">
            <w:pPr>
              <w:spacing w:line="259" w:lineRule="auto"/>
            </w:pPr>
            <w:r w:rsidRPr="00057C8D">
              <w:t>If the program is extended, future design and planning will give more explicit consideration to where South-to-South partnerships, technical exchanges and joint assessments can add value, and how Australia can best support these partnerships</w:t>
            </w:r>
            <w:r w:rsidR="00F72A73">
              <w:t>.</w:t>
            </w:r>
          </w:p>
          <w:p w14:paraId="14E37AEB" w14:textId="1B09DD06" w:rsidR="00083094" w:rsidRDefault="00083094" w:rsidP="001D21E6">
            <w:pPr>
              <w:spacing w:line="259" w:lineRule="auto"/>
            </w:pPr>
          </w:p>
        </w:tc>
        <w:tc>
          <w:tcPr>
            <w:tcW w:w="1120" w:type="pct"/>
          </w:tcPr>
          <w:p w14:paraId="0E322F04" w14:textId="5CCEBB8B" w:rsidR="00083094" w:rsidRDefault="00083094" w:rsidP="00E82224">
            <w:pPr>
              <w:spacing w:line="259" w:lineRule="auto"/>
            </w:pPr>
            <w:r>
              <w:lastRenderedPageBreak/>
              <w:t xml:space="preserve">Relationship building remains a core priority for the SIBDP. The </w:t>
            </w:r>
            <w:r w:rsidR="00EA70F6">
              <w:t xml:space="preserve">In-Country </w:t>
            </w:r>
            <w:r w:rsidR="00F72A73">
              <w:t>Manager position</w:t>
            </w:r>
            <w:r>
              <w:t xml:space="preserve"> has been continued for the 2026-27 financial year. </w:t>
            </w:r>
          </w:p>
          <w:p w14:paraId="364273A3" w14:textId="77777777" w:rsidR="00083094" w:rsidRDefault="00083094" w:rsidP="00E82224">
            <w:pPr>
              <w:spacing w:line="259" w:lineRule="auto"/>
            </w:pPr>
          </w:p>
          <w:p w14:paraId="6942AE14" w14:textId="77777777" w:rsidR="00083094" w:rsidRDefault="00083094" w:rsidP="00956BD0">
            <w:pPr>
              <w:spacing w:line="259" w:lineRule="auto"/>
            </w:pPr>
            <w:r>
              <w:t xml:space="preserve">If the program is extended, activities to further develop relationships, and develop sustained outcomes, will be explored. </w:t>
            </w:r>
          </w:p>
          <w:p w14:paraId="63ADAAEC" w14:textId="6F2E9623" w:rsidR="00083094" w:rsidRDefault="00083094" w:rsidP="00E82224">
            <w:pPr>
              <w:spacing w:line="259" w:lineRule="auto"/>
            </w:pPr>
          </w:p>
        </w:tc>
        <w:tc>
          <w:tcPr>
            <w:tcW w:w="636" w:type="pct"/>
          </w:tcPr>
          <w:p w14:paraId="6EC4C1D4" w14:textId="2F3A81D8" w:rsidR="00083094" w:rsidRDefault="00083094" w:rsidP="001D21E6">
            <w:pPr>
              <w:spacing w:line="259" w:lineRule="auto"/>
            </w:pPr>
            <w:r>
              <w:t>DAFF &amp; DFAT</w:t>
            </w:r>
          </w:p>
        </w:tc>
      </w:tr>
      <w:tr w:rsidR="00083094" w14:paraId="75C5A654" w14:textId="0D4CE465" w:rsidTr="00083094">
        <w:tc>
          <w:tcPr>
            <w:tcW w:w="151" w:type="pct"/>
          </w:tcPr>
          <w:p w14:paraId="459222AE" w14:textId="0FFEC43A" w:rsidR="00083094" w:rsidRPr="009972A0" w:rsidRDefault="00083094" w:rsidP="001D21E6">
            <w:pPr>
              <w:spacing w:line="259" w:lineRule="auto"/>
            </w:pPr>
            <w:r>
              <w:t>5</w:t>
            </w:r>
          </w:p>
        </w:tc>
        <w:tc>
          <w:tcPr>
            <w:tcW w:w="1440" w:type="pct"/>
          </w:tcPr>
          <w:p w14:paraId="79457CBD" w14:textId="3685C98E" w:rsidR="00083094" w:rsidRDefault="00083094" w:rsidP="001D21E6">
            <w:pPr>
              <w:spacing w:line="259" w:lineRule="auto"/>
            </w:pPr>
            <w:r w:rsidRPr="009972A0">
              <w:t>Establish a clear and proportionate monitoring and evaluation plan for future Pacific biosecurity partnering or participation that applies the DFAT Design and M</w:t>
            </w:r>
            <w:r>
              <w:t>EL</w:t>
            </w:r>
            <w:r w:rsidRPr="009972A0">
              <w:t xml:space="preserve"> Standards and the GEDSI Analysis Good Practice Note. </w:t>
            </w:r>
            <w:r>
              <w:t>EOPOs</w:t>
            </w:r>
            <w:r w:rsidRPr="009972A0">
              <w:t xml:space="preserve"> should also be better expressed in the form of ‘end states’ than the current set. </w:t>
            </w:r>
          </w:p>
        </w:tc>
        <w:tc>
          <w:tcPr>
            <w:tcW w:w="465" w:type="pct"/>
          </w:tcPr>
          <w:p w14:paraId="79CF5079" w14:textId="1003868E" w:rsidR="00083094" w:rsidRDefault="00083094" w:rsidP="001D21E6">
            <w:pPr>
              <w:spacing w:line="259" w:lineRule="auto"/>
            </w:pPr>
            <w:r>
              <w:t>Partially agree</w:t>
            </w:r>
          </w:p>
        </w:tc>
        <w:tc>
          <w:tcPr>
            <w:tcW w:w="1188" w:type="pct"/>
          </w:tcPr>
          <w:p w14:paraId="779898BA" w14:textId="13ED983A" w:rsidR="00950D7C" w:rsidRPr="00950D7C" w:rsidRDefault="00950D7C" w:rsidP="00950D7C">
            <w:pPr>
              <w:spacing w:line="259" w:lineRule="auto"/>
              <w:rPr>
                <w:lang w:val="en-US"/>
              </w:rPr>
            </w:pPr>
            <w:r w:rsidRPr="00950D7C">
              <w:rPr>
                <w:lang w:val="en-US"/>
              </w:rPr>
              <w:t>DFAT and DAFF have revised the PBPP theory of change to include clear outcomes and indicators aligned with DFAT Design and MEL Standards, following receipt of the initial evaluation findings. DAFF has incorporated these changes into planned activities for the 2026</w:t>
            </w:r>
            <w:r w:rsidR="0029773B">
              <w:rPr>
                <w:lang w:val="en-US"/>
              </w:rPr>
              <w:t>-</w:t>
            </w:r>
            <w:r w:rsidRPr="00950D7C">
              <w:rPr>
                <w:lang w:val="en-US"/>
              </w:rPr>
              <w:t>27 work plan.</w:t>
            </w:r>
          </w:p>
          <w:p w14:paraId="249076E0" w14:textId="77777777" w:rsidR="00083094" w:rsidRPr="00057C8D" w:rsidRDefault="00083094" w:rsidP="001D21E6">
            <w:pPr>
              <w:spacing w:line="259" w:lineRule="auto"/>
              <w:rPr>
                <w:lang w:val="en-US"/>
              </w:rPr>
            </w:pPr>
          </w:p>
          <w:p w14:paraId="34A6908C" w14:textId="3641F7DD" w:rsidR="00057C8D" w:rsidRPr="00057C8D" w:rsidRDefault="00057C8D" w:rsidP="00057C8D">
            <w:pPr>
              <w:spacing w:line="259" w:lineRule="auto"/>
              <w:rPr>
                <w:lang w:val="en-US"/>
              </w:rPr>
            </w:pPr>
            <w:r w:rsidRPr="00057C8D">
              <w:rPr>
                <w:lang w:val="en-US"/>
              </w:rPr>
              <w:t xml:space="preserve">Activities primarily focus on technical capacity building and capability development for biosecurity personnel, </w:t>
            </w:r>
            <w:r w:rsidRPr="00057C8D">
              <w:rPr>
                <w:lang w:val="en-US"/>
              </w:rPr>
              <w:lastRenderedPageBreak/>
              <w:t>including female officers, across the Pacific region.</w:t>
            </w:r>
            <w:r w:rsidRPr="00057C8D">
              <w:rPr>
                <w:lang w:val="en-US"/>
              </w:rPr>
              <w:br/>
              <w:t>However, DAFF acknowledge</w:t>
            </w:r>
            <w:r>
              <w:rPr>
                <w:lang w:val="en-US"/>
              </w:rPr>
              <w:t>s</w:t>
            </w:r>
            <w:r w:rsidRPr="00057C8D">
              <w:rPr>
                <w:lang w:val="en-US"/>
              </w:rPr>
              <w:t xml:space="preserve"> that gender equality remains an important consideration when coordinating and delivering PBPP activities in the region</w:t>
            </w:r>
            <w:r w:rsidR="00AA4FBA">
              <w:rPr>
                <w:lang w:val="en-US"/>
              </w:rPr>
              <w:t>.</w:t>
            </w:r>
          </w:p>
          <w:p w14:paraId="4A71B58B" w14:textId="77777777" w:rsidR="00057C8D" w:rsidRPr="00057C8D" w:rsidRDefault="00057C8D" w:rsidP="001D21E6">
            <w:pPr>
              <w:spacing w:line="259" w:lineRule="auto"/>
              <w:rPr>
                <w:lang w:val="en-US"/>
              </w:rPr>
            </w:pPr>
          </w:p>
          <w:p w14:paraId="336E50A9" w14:textId="77777777" w:rsidR="00083094" w:rsidRDefault="00083094" w:rsidP="001D21E6">
            <w:pPr>
              <w:spacing w:line="259" w:lineRule="auto"/>
              <w:rPr>
                <w:lang w:val="en-US"/>
              </w:rPr>
            </w:pPr>
            <w:r w:rsidRPr="00057C8D">
              <w:rPr>
                <w:lang w:val="en-US"/>
              </w:rPr>
              <w:t xml:space="preserve">If the program is extended, </w:t>
            </w:r>
            <w:proofErr w:type="gramStart"/>
            <w:r w:rsidRPr="00057C8D">
              <w:rPr>
                <w:lang w:val="en-US"/>
              </w:rPr>
              <w:t>the PBPP</w:t>
            </w:r>
            <w:proofErr w:type="gramEnd"/>
            <w:r w:rsidRPr="00057C8D">
              <w:rPr>
                <w:lang w:val="en-US"/>
              </w:rPr>
              <w:t xml:space="preserve"> will have a dedicated design process in line with relevant DFAT policies and standards, including DFAT Design and MEL Standards and GEDSI Analysis Good Practice Note. </w:t>
            </w:r>
          </w:p>
          <w:p w14:paraId="214F2EDD" w14:textId="65FC7D61" w:rsidR="00101A5B" w:rsidRPr="00057C8D" w:rsidRDefault="00101A5B" w:rsidP="001D21E6">
            <w:pPr>
              <w:spacing w:line="259" w:lineRule="auto"/>
              <w:rPr>
                <w:lang w:val="en-US"/>
              </w:rPr>
            </w:pPr>
          </w:p>
        </w:tc>
        <w:tc>
          <w:tcPr>
            <w:tcW w:w="1120" w:type="pct"/>
          </w:tcPr>
          <w:p w14:paraId="7E9E653B" w14:textId="4D6B3410" w:rsidR="00AA4FBA" w:rsidRDefault="00AA4FBA" w:rsidP="001D21E6">
            <w:pPr>
              <w:spacing w:line="259" w:lineRule="auto"/>
            </w:pPr>
            <w:r w:rsidRPr="00057C8D">
              <w:rPr>
                <w:lang w:val="en-US"/>
              </w:rPr>
              <w:lastRenderedPageBreak/>
              <w:t xml:space="preserve">Activities primarily focus on technical capacity building and capability development for </w:t>
            </w:r>
            <w:r>
              <w:rPr>
                <w:lang w:val="en-US"/>
              </w:rPr>
              <w:t>BSI</w:t>
            </w:r>
            <w:r w:rsidRPr="00057C8D">
              <w:rPr>
                <w:lang w:val="en-US"/>
              </w:rPr>
              <w:t xml:space="preserve"> personnel, including female officers. However, DAFF acknowledge</w:t>
            </w:r>
            <w:r>
              <w:rPr>
                <w:lang w:val="en-US"/>
              </w:rPr>
              <w:t>s</w:t>
            </w:r>
            <w:r w:rsidRPr="00057C8D">
              <w:rPr>
                <w:lang w:val="en-US"/>
              </w:rPr>
              <w:t xml:space="preserve"> that gender equality remains an important consideration when coordinating and delivering activities in </w:t>
            </w:r>
            <w:r>
              <w:rPr>
                <w:lang w:val="en-US"/>
              </w:rPr>
              <w:t>Solomon Islands.</w:t>
            </w:r>
            <w:r w:rsidRPr="00057C8D">
              <w:rPr>
                <w:lang w:val="en-US"/>
              </w:rPr>
              <w:br/>
            </w:r>
          </w:p>
          <w:p w14:paraId="43B824CE" w14:textId="4E6B1F58" w:rsidR="00083094" w:rsidRDefault="00083094" w:rsidP="001D21E6">
            <w:pPr>
              <w:spacing w:line="259" w:lineRule="auto"/>
            </w:pPr>
            <w:r>
              <w:t xml:space="preserve">If the program is extended, the SIBDP will have a </w:t>
            </w:r>
            <w:r>
              <w:lastRenderedPageBreak/>
              <w:t xml:space="preserve">dedicated design process in line with relevant DFAT policies and standards, including </w:t>
            </w:r>
            <w:r w:rsidR="00AA4FBA">
              <w:t xml:space="preserve">consideration of </w:t>
            </w:r>
            <w:r w:rsidRPr="009972A0">
              <w:t>DFAT Design and M</w:t>
            </w:r>
            <w:r>
              <w:t>EL</w:t>
            </w:r>
            <w:r w:rsidRPr="009972A0">
              <w:t xml:space="preserve"> Standards </w:t>
            </w:r>
            <w:r>
              <w:t xml:space="preserve">and </w:t>
            </w:r>
            <w:r w:rsidRPr="009972A0">
              <w:t>GEDSI Analysis Good Practice Note</w:t>
            </w:r>
            <w:r>
              <w:t>.</w:t>
            </w:r>
          </w:p>
          <w:p w14:paraId="47507F9A" w14:textId="77777777" w:rsidR="00083094" w:rsidRDefault="00083094" w:rsidP="001D21E6">
            <w:pPr>
              <w:spacing w:line="259" w:lineRule="auto"/>
            </w:pPr>
          </w:p>
          <w:p w14:paraId="78871634" w14:textId="248C43BA" w:rsidR="00083094" w:rsidRDefault="00083094" w:rsidP="001D21E6">
            <w:pPr>
              <w:spacing w:line="259" w:lineRule="auto"/>
            </w:pPr>
          </w:p>
        </w:tc>
        <w:tc>
          <w:tcPr>
            <w:tcW w:w="636" w:type="pct"/>
          </w:tcPr>
          <w:p w14:paraId="59E2AC44" w14:textId="04EE638B" w:rsidR="00083094" w:rsidRDefault="00083094" w:rsidP="001D21E6">
            <w:pPr>
              <w:spacing w:line="259" w:lineRule="auto"/>
            </w:pPr>
            <w:r>
              <w:lastRenderedPageBreak/>
              <w:t>DAFF &amp; DFAT</w:t>
            </w:r>
          </w:p>
        </w:tc>
      </w:tr>
      <w:tr w:rsidR="00083094" w14:paraId="17BE1086" w14:textId="77777777" w:rsidTr="00083094">
        <w:tc>
          <w:tcPr>
            <w:tcW w:w="151" w:type="pct"/>
          </w:tcPr>
          <w:p w14:paraId="2AD1783D" w14:textId="3BBA9194" w:rsidR="00083094" w:rsidRPr="009972A0" w:rsidRDefault="00083094" w:rsidP="0034603F">
            <w:pPr>
              <w:spacing w:line="259" w:lineRule="auto"/>
            </w:pPr>
            <w:r>
              <w:t>6</w:t>
            </w:r>
          </w:p>
        </w:tc>
        <w:tc>
          <w:tcPr>
            <w:tcW w:w="1440" w:type="pct"/>
          </w:tcPr>
          <w:p w14:paraId="2E960252" w14:textId="02FC7998" w:rsidR="00083094" w:rsidRPr="009972A0" w:rsidRDefault="00083094" w:rsidP="0034603F">
            <w:pPr>
              <w:spacing w:line="259" w:lineRule="auto"/>
            </w:pPr>
            <w:r w:rsidRPr="009972A0">
              <w:t xml:space="preserve">Before investing further in regional electronic systems-related work (e.g. ePhyto or Pest List Database), review whether complementary ‘soft’ activities (people- and process- focussed) are required to realise timely benefits. </w:t>
            </w:r>
          </w:p>
        </w:tc>
        <w:tc>
          <w:tcPr>
            <w:tcW w:w="465" w:type="pct"/>
          </w:tcPr>
          <w:p w14:paraId="4BE3DAEE" w14:textId="3E2D51EF" w:rsidR="00083094" w:rsidRDefault="00083094" w:rsidP="001D21E6">
            <w:pPr>
              <w:spacing w:line="259" w:lineRule="auto"/>
            </w:pPr>
            <w:r>
              <w:t>Agree</w:t>
            </w:r>
          </w:p>
        </w:tc>
        <w:tc>
          <w:tcPr>
            <w:tcW w:w="1188" w:type="pct"/>
          </w:tcPr>
          <w:p w14:paraId="57082EDF" w14:textId="76174B43" w:rsidR="00083094" w:rsidRDefault="00083094" w:rsidP="001D21E6">
            <w:pPr>
              <w:spacing w:line="259" w:lineRule="auto"/>
            </w:pPr>
            <w:r>
              <w:t xml:space="preserve">DAFF and DFAT recognise the importance of people and process and the need for focused activities to compliment systems work.  The planned updates to the Pacific Pest List Database in 2026-27 will be accompanied by demonstrations and active encouragement to use the </w:t>
            </w:r>
            <w:r>
              <w:lastRenderedPageBreak/>
              <w:t xml:space="preserve">database to compliment field surveillance activities. </w:t>
            </w:r>
          </w:p>
          <w:p w14:paraId="4E956DF6" w14:textId="77777777" w:rsidR="00083094" w:rsidRDefault="00083094" w:rsidP="001D21E6">
            <w:pPr>
              <w:spacing w:line="259" w:lineRule="auto"/>
            </w:pPr>
          </w:p>
          <w:p w14:paraId="1694285F" w14:textId="77777777" w:rsidR="00083094" w:rsidRDefault="00083094" w:rsidP="001D21E6">
            <w:pPr>
              <w:spacing w:line="259" w:lineRule="auto"/>
            </w:pPr>
            <w:r>
              <w:t>If the program is extended, the PBPP will have a dedicated design process where the sustainability and relevance of activities will be considered.</w:t>
            </w:r>
          </w:p>
          <w:p w14:paraId="7F52BFD0" w14:textId="518529C9" w:rsidR="00E765A4" w:rsidRDefault="00E765A4" w:rsidP="001D21E6">
            <w:pPr>
              <w:spacing w:line="259" w:lineRule="auto"/>
            </w:pPr>
          </w:p>
        </w:tc>
        <w:tc>
          <w:tcPr>
            <w:tcW w:w="1120" w:type="pct"/>
          </w:tcPr>
          <w:p w14:paraId="5BE507F2" w14:textId="7DB9746C" w:rsidR="00083094" w:rsidRDefault="00083094" w:rsidP="00E74898">
            <w:pPr>
              <w:spacing w:line="259" w:lineRule="auto"/>
            </w:pPr>
            <w:r>
              <w:lastRenderedPageBreak/>
              <w:t xml:space="preserve">DAFF and DFAT recognise the importance of people and process focused activities to compliment systems work.  </w:t>
            </w:r>
          </w:p>
          <w:p w14:paraId="7C6EB6E9" w14:textId="77777777" w:rsidR="00083094" w:rsidRDefault="00083094" w:rsidP="00E74898">
            <w:pPr>
              <w:spacing w:line="259" w:lineRule="auto"/>
            </w:pPr>
          </w:p>
          <w:p w14:paraId="4CA74B24" w14:textId="1CCF55AA" w:rsidR="00083094" w:rsidRDefault="00083094" w:rsidP="00E74898">
            <w:pPr>
              <w:spacing w:line="259" w:lineRule="auto"/>
            </w:pPr>
            <w:r>
              <w:t xml:space="preserve">If the program is extended, the SIBDP will have a dedicated design process where the sustainability and </w:t>
            </w:r>
            <w:r>
              <w:lastRenderedPageBreak/>
              <w:t>relevance of activities will be considered.</w:t>
            </w:r>
          </w:p>
        </w:tc>
        <w:tc>
          <w:tcPr>
            <w:tcW w:w="636" w:type="pct"/>
          </w:tcPr>
          <w:p w14:paraId="24958939" w14:textId="39936350" w:rsidR="00083094" w:rsidRDefault="00083094" w:rsidP="001D21E6">
            <w:pPr>
              <w:spacing w:line="259" w:lineRule="auto"/>
            </w:pPr>
            <w:r>
              <w:lastRenderedPageBreak/>
              <w:t>DAFF &amp; DFAT</w:t>
            </w:r>
          </w:p>
        </w:tc>
      </w:tr>
    </w:tbl>
    <w:p w14:paraId="0A18EE53" w14:textId="77777777" w:rsidR="007E369D" w:rsidRDefault="007E369D" w:rsidP="00BE1F89">
      <w:pPr>
        <w:spacing w:line="259" w:lineRule="auto"/>
      </w:pPr>
    </w:p>
    <w:p w14:paraId="03A26190" w14:textId="77777777" w:rsidR="00BE1F89" w:rsidRDefault="00BE1F89"/>
    <w:p w14:paraId="285B0A06" w14:textId="77777777" w:rsidR="00BE1F89" w:rsidRDefault="00BE1F89"/>
    <w:p w14:paraId="63C5EE75" w14:textId="77777777" w:rsidR="00BE1F89" w:rsidRDefault="00BE1F89"/>
    <w:sectPr w:rsidR="00BE1F89" w:rsidSect="001D21E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AE4E9" w14:textId="77777777" w:rsidR="009066BB" w:rsidRDefault="009066BB" w:rsidP="00532F79">
      <w:pPr>
        <w:spacing w:after="0" w:line="240" w:lineRule="auto"/>
      </w:pPr>
      <w:r>
        <w:separator/>
      </w:r>
    </w:p>
  </w:endnote>
  <w:endnote w:type="continuationSeparator" w:id="0">
    <w:p w14:paraId="6DD9D9BF" w14:textId="77777777" w:rsidR="009066BB" w:rsidRDefault="009066BB" w:rsidP="00532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0221C" w14:textId="4A34C217" w:rsidR="00532F79" w:rsidRDefault="00D60705">
    <w:pPr>
      <w:pStyle w:val="Footer"/>
    </w:pPr>
    <w:r>
      <w:rPr>
        <w:noProof/>
      </w:rPr>
      <mc:AlternateContent>
        <mc:Choice Requires="wps">
          <w:drawing>
            <wp:anchor distT="0" distB="0" distL="0" distR="0" simplePos="0" relativeHeight="251668480" behindDoc="0" locked="0" layoutInCell="1" allowOverlap="1" wp14:anchorId="6506CBBD" wp14:editId="314FA603">
              <wp:simplePos x="635" y="635"/>
              <wp:positionH relativeFrom="page">
                <wp:align>center</wp:align>
              </wp:positionH>
              <wp:positionV relativeFrom="page">
                <wp:align>bottom</wp:align>
              </wp:positionV>
              <wp:extent cx="622300" cy="405765"/>
              <wp:effectExtent l="0" t="0" r="6350" b="0"/>
              <wp:wrapNone/>
              <wp:docPr id="155750303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221B00A" w14:textId="416B5995" w:rsidR="00D60705" w:rsidRPr="00D60705" w:rsidRDefault="00D60705" w:rsidP="00D60705">
                          <w:pPr>
                            <w:spacing w:after="0"/>
                            <w:rPr>
                              <w:rFonts w:ascii="Aptos" w:eastAsia="Aptos" w:hAnsi="Aptos" w:cs="Aptos"/>
                              <w:noProof/>
                              <w:color w:val="FF0000"/>
                            </w:rPr>
                          </w:pPr>
                          <w:r w:rsidRPr="00D6070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06CBBD" id="_x0000_t202" coordsize="21600,21600" o:spt="202" path="m,l,21600r21600,l21600,xe">
              <v:stroke joinstyle="miter"/>
              <v:path gradientshapeok="t" o:connecttype="rect"/>
            </v:shapetype>
            <v:shape id="Text Box 11" o:spid="_x0000_s1028" type="#_x0000_t202" alt="OFFICIAL" style="position:absolute;margin-left:0;margin-top:0;width:49pt;height:31.9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uVDg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VXy2dj9DqoTDYUw7Ns7uWmo9L3w4UkgLZi6JdGG&#10;Rzp0C13J4WxxVgP++Js/5hPvFOWsI8GU3JKiOWu/WdpH1NZo4GjskjH9nM8jPfZgboFkOKUX4WQy&#10;yYuhHU2NYF5IzutYiELCSipX8t1o3oZBufQcpFqvUxLJyIlwb7dORuhIV+TyuX8R6M6EB9rUA4xq&#10;EsUr3ofceNO79SEQ+2kpkdqByDPjJMG01vNziRr/9T9lXR/16ic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BSNpuVDgIAABwE&#10;AAAOAAAAAAAAAAAAAAAAAC4CAABkcnMvZTJvRG9jLnhtbFBLAQItABQABgAIAAAAIQDAscVe2gAA&#10;AAMBAAAPAAAAAAAAAAAAAAAAAGgEAABkcnMvZG93bnJldi54bWxQSwUGAAAAAAQABADzAAAAbwUA&#10;AAAA&#10;" filled="f" stroked="f">
              <v:textbox style="mso-fit-shape-to-text:t" inset="0,0,0,15pt">
                <w:txbxContent>
                  <w:p w14:paraId="6221B00A" w14:textId="416B5995" w:rsidR="00D60705" w:rsidRPr="00D60705" w:rsidRDefault="00D60705" w:rsidP="00D60705">
                    <w:pPr>
                      <w:spacing w:after="0"/>
                      <w:rPr>
                        <w:rFonts w:ascii="Aptos" w:eastAsia="Aptos" w:hAnsi="Aptos" w:cs="Aptos"/>
                        <w:noProof/>
                        <w:color w:val="FF0000"/>
                      </w:rPr>
                    </w:pPr>
                    <w:r w:rsidRPr="00D60705">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F14C3" w14:textId="4730B076" w:rsidR="00532F79" w:rsidRDefault="00D60705">
    <w:pPr>
      <w:pStyle w:val="Footer"/>
    </w:pPr>
    <w:r>
      <w:rPr>
        <w:noProof/>
      </w:rPr>
      <mc:AlternateContent>
        <mc:Choice Requires="wps">
          <w:drawing>
            <wp:anchor distT="0" distB="0" distL="0" distR="0" simplePos="0" relativeHeight="251669504" behindDoc="0" locked="0" layoutInCell="1" allowOverlap="1" wp14:anchorId="31EE75B6" wp14:editId="1169CA0B">
              <wp:simplePos x="914400" y="10058400"/>
              <wp:positionH relativeFrom="page">
                <wp:align>center</wp:align>
              </wp:positionH>
              <wp:positionV relativeFrom="page">
                <wp:align>bottom</wp:align>
              </wp:positionV>
              <wp:extent cx="622300" cy="405765"/>
              <wp:effectExtent l="0" t="0" r="6350" b="0"/>
              <wp:wrapNone/>
              <wp:docPr id="77929484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639685C" w14:textId="13657707" w:rsidR="00D60705" w:rsidRPr="00D60705" w:rsidRDefault="00D60705" w:rsidP="00D60705">
                          <w:pPr>
                            <w:spacing w:after="0"/>
                            <w:rPr>
                              <w:rFonts w:ascii="Aptos" w:eastAsia="Aptos" w:hAnsi="Aptos" w:cs="Aptos"/>
                              <w:noProof/>
                              <w:color w:val="FF0000"/>
                            </w:rPr>
                          </w:pPr>
                          <w:r w:rsidRPr="00D6070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EE75B6" id="_x0000_t202" coordsize="21600,21600" o:spt="202" path="m,l,21600r21600,l21600,xe">
              <v:stroke joinstyle="miter"/>
              <v:path gradientshapeok="t" o:connecttype="rect"/>
            </v:shapetype>
            <v:shape id="Text Box 12" o:spid="_x0000_s1029" type="#_x0000_t202" alt="OFFICIAL" style="position:absolute;margin-left:0;margin-top:0;width:49pt;height:31.9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o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Y+5vNPi3lEya6XrfPhqwBNolFSh1tJZLHj&#10;1ochdUyJtQxsWqXSZpT5zYGY0ZNdO4xW6KuetHVJb8buK6hPOJSDYd/e8k2LpbfMh2fmcMHYLYo2&#10;POEhFXQlhbNFSQPux9/8MR95xyglHQqmpAYVTYn6ZnAfUVuj4UajSsb0cz6P9JiDvgeU4RRfhOXJ&#10;RK8LajSlA/2Kcl7HQhhihmO5klajeR8G5eJz4GK9TkkoI8vC1uwsj9CRrsjlS//KnD0THnBTjzCq&#10;iRVveB9y401v14eA7KelRGoHIs+MowTTWs/PJWr81/+UdX3Uq58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A/iSmoDgIAABwE&#10;AAAOAAAAAAAAAAAAAAAAAC4CAABkcnMvZTJvRG9jLnhtbFBLAQItABQABgAIAAAAIQDAscVe2gAA&#10;AAMBAAAPAAAAAAAAAAAAAAAAAGgEAABkcnMvZG93bnJldi54bWxQSwUGAAAAAAQABADzAAAAbwUA&#10;AAAA&#10;" filled="f" stroked="f">
              <v:textbox style="mso-fit-shape-to-text:t" inset="0,0,0,15pt">
                <w:txbxContent>
                  <w:p w14:paraId="7639685C" w14:textId="13657707" w:rsidR="00D60705" w:rsidRPr="00D60705" w:rsidRDefault="00D60705" w:rsidP="00D60705">
                    <w:pPr>
                      <w:spacing w:after="0"/>
                      <w:rPr>
                        <w:rFonts w:ascii="Aptos" w:eastAsia="Aptos" w:hAnsi="Aptos" w:cs="Aptos"/>
                        <w:noProof/>
                        <w:color w:val="FF0000"/>
                      </w:rPr>
                    </w:pPr>
                    <w:r w:rsidRPr="00D60705">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4BDA4" w14:textId="06D78131" w:rsidR="00532F79" w:rsidRDefault="00D60705">
    <w:pPr>
      <w:pStyle w:val="Footer"/>
    </w:pPr>
    <w:r>
      <w:rPr>
        <w:noProof/>
      </w:rPr>
      <mc:AlternateContent>
        <mc:Choice Requires="wps">
          <w:drawing>
            <wp:anchor distT="0" distB="0" distL="0" distR="0" simplePos="0" relativeHeight="251667456" behindDoc="0" locked="0" layoutInCell="1" allowOverlap="1" wp14:anchorId="1483DCF7" wp14:editId="13C7D84D">
              <wp:simplePos x="635" y="635"/>
              <wp:positionH relativeFrom="page">
                <wp:align>center</wp:align>
              </wp:positionH>
              <wp:positionV relativeFrom="page">
                <wp:align>bottom</wp:align>
              </wp:positionV>
              <wp:extent cx="622300" cy="405765"/>
              <wp:effectExtent l="0" t="0" r="6350" b="0"/>
              <wp:wrapNone/>
              <wp:docPr id="269406787"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852E220" w14:textId="1EB9EE5F" w:rsidR="00D60705" w:rsidRPr="00D60705" w:rsidRDefault="00D60705" w:rsidP="00D60705">
                          <w:pPr>
                            <w:spacing w:after="0"/>
                            <w:rPr>
                              <w:rFonts w:ascii="Aptos" w:eastAsia="Aptos" w:hAnsi="Aptos" w:cs="Aptos"/>
                              <w:noProof/>
                              <w:color w:val="FF0000"/>
                            </w:rPr>
                          </w:pPr>
                          <w:r w:rsidRPr="00D6070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83DCF7" id="_x0000_t202" coordsize="21600,21600" o:spt="202" path="m,l,21600r21600,l21600,xe">
              <v:stroke joinstyle="miter"/>
              <v:path gradientshapeok="t" o:connecttype="rect"/>
            </v:shapetype>
            <v:shape id="Text Box 10" o:spid="_x0000_s1031" type="#_x0000_t202" alt="OFFICIAL" style="position:absolute;margin-left:0;margin-top:0;width:49pt;height:31.9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UQqGJQwCAAAcBAAA&#10;DgAAAAAAAAAAAAAAAAAuAgAAZHJzL2Uyb0RvYy54bWxQSwECLQAUAAYACAAAACEAwLHFXtoAAAAD&#10;AQAADwAAAAAAAAAAAAAAAABmBAAAZHJzL2Rvd25yZXYueG1sUEsFBgAAAAAEAAQA8wAAAG0FAAAA&#10;AA==&#10;" filled="f" stroked="f">
              <v:textbox style="mso-fit-shape-to-text:t" inset="0,0,0,15pt">
                <w:txbxContent>
                  <w:p w14:paraId="7852E220" w14:textId="1EB9EE5F" w:rsidR="00D60705" w:rsidRPr="00D60705" w:rsidRDefault="00D60705" w:rsidP="00D60705">
                    <w:pPr>
                      <w:spacing w:after="0"/>
                      <w:rPr>
                        <w:rFonts w:ascii="Aptos" w:eastAsia="Aptos" w:hAnsi="Aptos" w:cs="Aptos"/>
                        <w:noProof/>
                        <w:color w:val="FF0000"/>
                      </w:rPr>
                    </w:pPr>
                    <w:r w:rsidRPr="00D60705">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FAE87" w14:textId="77777777" w:rsidR="009066BB" w:rsidRDefault="009066BB" w:rsidP="00532F79">
      <w:pPr>
        <w:spacing w:after="0" w:line="240" w:lineRule="auto"/>
      </w:pPr>
      <w:r>
        <w:separator/>
      </w:r>
    </w:p>
  </w:footnote>
  <w:footnote w:type="continuationSeparator" w:id="0">
    <w:p w14:paraId="0A821151" w14:textId="77777777" w:rsidR="009066BB" w:rsidRDefault="009066BB" w:rsidP="00532F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A55B9" w14:textId="732F2862" w:rsidR="00532F79" w:rsidRDefault="00D60705">
    <w:pPr>
      <w:pStyle w:val="Header"/>
    </w:pPr>
    <w:r>
      <w:rPr>
        <w:noProof/>
      </w:rPr>
      <mc:AlternateContent>
        <mc:Choice Requires="wps">
          <w:drawing>
            <wp:anchor distT="0" distB="0" distL="0" distR="0" simplePos="0" relativeHeight="251665408" behindDoc="0" locked="0" layoutInCell="1" allowOverlap="1" wp14:anchorId="732D321B" wp14:editId="0F212CBF">
              <wp:simplePos x="635" y="635"/>
              <wp:positionH relativeFrom="page">
                <wp:align>center</wp:align>
              </wp:positionH>
              <wp:positionV relativeFrom="page">
                <wp:align>top</wp:align>
              </wp:positionV>
              <wp:extent cx="622300" cy="405765"/>
              <wp:effectExtent l="0" t="0" r="6350" b="13335"/>
              <wp:wrapNone/>
              <wp:docPr id="203918792"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255E3E0" w14:textId="0413BCFB" w:rsidR="00D60705" w:rsidRPr="00D60705" w:rsidRDefault="00D60705" w:rsidP="00D60705">
                          <w:pPr>
                            <w:spacing w:after="0"/>
                            <w:rPr>
                              <w:rFonts w:ascii="Aptos" w:eastAsia="Aptos" w:hAnsi="Aptos" w:cs="Aptos"/>
                              <w:noProof/>
                              <w:color w:val="FF0000"/>
                            </w:rPr>
                          </w:pPr>
                          <w:r w:rsidRPr="00D6070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2D321B" id="_x0000_t202" coordsize="21600,21600" o:spt="202" path="m,l,21600r21600,l21600,xe">
              <v:stroke joinstyle="miter"/>
              <v:path gradientshapeok="t" o:connecttype="rect"/>
            </v:shapetype>
            <v:shape id="Text Box 8" o:spid="_x0000_s1026" type="#_x0000_t202" alt="OFFICIAL" style="position:absolute;margin-left:0;margin-top:0;width:49pt;height:31.9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1255E3E0" w14:textId="0413BCFB" w:rsidR="00D60705" w:rsidRPr="00D60705" w:rsidRDefault="00D60705" w:rsidP="00D60705">
                    <w:pPr>
                      <w:spacing w:after="0"/>
                      <w:rPr>
                        <w:rFonts w:ascii="Aptos" w:eastAsia="Aptos" w:hAnsi="Aptos" w:cs="Aptos"/>
                        <w:noProof/>
                        <w:color w:val="FF0000"/>
                      </w:rPr>
                    </w:pPr>
                    <w:r w:rsidRPr="00D6070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6D9F0" w14:textId="4DD026DD" w:rsidR="00532F79" w:rsidRDefault="00D60705">
    <w:pPr>
      <w:pStyle w:val="Header"/>
    </w:pPr>
    <w:r>
      <w:rPr>
        <w:noProof/>
      </w:rPr>
      <mc:AlternateContent>
        <mc:Choice Requires="wps">
          <w:drawing>
            <wp:anchor distT="0" distB="0" distL="0" distR="0" simplePos="0" relativeHeight="251666432" behindDoc="0" locked="0" layoutInCell="1" allowOverlap="1" wp14:anchorId="456FBC29" wp14:editId="0D83D713">
              <wp:simplePos x="914400" y="449580"/>
              <wp:positionH relativeFrom="page">
                <wp:align>center</wp:align>
              </wp:positionH>
              <wp:positionV relativeFrom="page">
                <wp:align>top</wp:align>
              </wp:positionV>
              <wp:extent cx="622300" cy="405765"/>
              <wp:effectExtent l="0" t="0" r="6350" b="13335"/>
              <wp:wrapNone/>
              <wp:docPr id="106744853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727B88B" w14:textId="19DF6F43" w:rsidR="00D60705" w:rsidRPr="00D60705" w:rsidRDefault="00D60705" w:rsidP="00D60705">
                          <w:pPr>
                            <w:spacing w:after="0"/>
                            <w:rPr>
                              <w:rFonts w:ascii="Aptos" w:eastAsia="Aptos" w:hAnsi="Aptos" w:cs="Aptos"/>
                              <w:noProof/>
                              <w:color w:val="FF0000"/>
                            </w:rPr>
                          </w:pPr>
                          <w:r w:rsidRPr="00D6070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6FBC29" id="_x0000_t202" coordsize="21600,21600" o:spt="202" path="m,l,21600r21600,l21600,xe">
              <v:stroke joinstyle="miter"/>
              <v:path gradientshapeok="t" o:connecttype="rect"/>
            </v:shapetype>
            <v:shape id="Text Box 9" o:spid="_x0000_s1027" type="#_x0000_t202" alt="OFFICIAL" style="position:absolute;margin-left:0;margin-top:0;width:49pt;height:31.9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textbox style="mso-fit-shape-to-text:t" inset="0,15pt,0,0">
                <w:txbxContent>
                  <w:p w14:paraId="0727B88B" w14:textId="19DF6F43" w:rsidR="00D60705" w:rsidRPr="00D60705" w:rsidRDefault="00D60705" w:rsidP="00D60705">
                    <w:pPr>
                      <w:spacing w:after="0"/>
                      <w:rPr>
                        <w:rFonts w:ascii="Aptos" w:eastAsia="Aptos" w:hAnsi="Aptos" w:cs="Aptos"/>
                        <w:noProof/>
                        <w:color w:val="FF0000"/>
                      </w:rPr>
                    </w:pPr>
                    <w:r w:rsidRPr="00D60705">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1EE55" w14:textId="38A6B2F2" w:rsidR="00532F79" w:rsidRDefault="00D60705">
    <w:pPr>
      <w:pStyle w:val="Header"/>
    </w:pPr>
    <w:r>
      <w:rPr>
        <w:noProof/>
      </w:rPr>
      <mc:AlternateContent>
        <mc:Choice Requires="wps">
          <w:drawing>
            <wp:anchor distT="0" distB="0" distL="0" distR="0" simplePos="0" relativeHeight="251664384" behindDoc="0" locked="0" layoutInCell="1" allowOverlap="1" wp14:anchorId="6E2BC3EE" wp14:editId="0E36EC68">
              <wp:simplePos x="635" y="635"/>
              <wp:positionH relativeFrom="page">
                <wp:align>center</wp:align>
              </wp:positionH>
              <wp:positionV relativeFrom="page">
                <wp:align>top</wp:align>
              </wp:positionV>
              <wp:extent cx="622300" cy="405765"/>
              <wp:effectExtent l="0" t="0" r="6350" b="13335"/>
              <wp:wrapNone/>
              <wp:docPr id="112633042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EA5C80E" w14:textId="38F8CFE6" w:rsidR="00D60705" w:rsidRPr="00D60705" w:rsidRDefault="00D60705" w:rsidP="00D60705">
                          <w:pPr>
                            <w:spacing w:after="0"/>
                            <w:rPr>
                              <w:rFonts w:ascii="Aptos" w:eastAsia="Aptos" w:hAnsi="Aptos" w:cs="Aptos"/>
                              <w:noProof/>
                              <w:color w:val="FF0000"/>
                            </w:rPr>
                          </w:pPr>
                          <w:r w:rsidRPr="00D6070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2BC3EE" id="_x0000_t202" coordsize="21600,21600" o:spt="202" path="m,l,21600r21600,l21600,xe">
              <v:stroke joinstyle="miter"/>
              <v:path gradientshapeok="t" o:connecttype="rect"/>
            </v:shapetype>
            <v:shape id="Text Box 7" o:spid="_x0000_s1030" type="#_x0000_t202" alt="OFFICIAL" style="position:absolute;margin-left:0;margin-top:0;width:49pt;height:31.9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WsDA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" filled="f" stroked="f">
              <v:textbox style="mso-fit-shape-to-text:t" inset="0,15pt,0,0">
                <w:txbxContent>
                  <w:p w14:paraId="7EA5C80E" w14:textId="38F8CFE6" w:rsidR="00D60705" w:rsidRPr="00D60705" w:rsidRDefault="00D60705" w:rsidP="00D60705">
                    <w:pPr>
                      <w:spacing w:after="0"/>
                      <w:rPr>
                        <w:rFonts w:ascii="Aptos" w:eastAsia="Aptos" w:hAnsi="Aptos" w:cs="Aptos"/>
                        <w:noProof/>
                        <w:color w:val="FF0000"/>
                      </w:rPr>
                    </w:pPr>
                    <w:r w:rsidRPr="00D60705">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C0A1E"/>
    <w:multiLevelType w:val="hybridMultilevel"/>
    <w:tmpl w:val="BDB2061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16cid:durableId="12150949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F89"/>
    <w:rsid w:val="00006842"/>
    <w:rsid w:val="00007F39"/>
    <w:rsid w:val="00027FB1"/>
    <w:rsid w:val="00056DFF"/>
    <w:rsid w:val="00057C8D"/>
    <w:rsid w:val="0006131B"/>
    <w:rsid w:val="00064B91"/>
    <w:rsid w:val="00083094"/>
    <w:rsid w:val="000E1C69"/>
    <w:rsid w:val="000F761B"/>
    <w:rsid w:val="00101A5B"/>
    <w:rsid w:val="00115F44"/>
    <w:rsid w:val="00120019"/>
    <w:rsid w:val="00123842"/>
    <w:rsid w:val="00125107"/>
    <w:rsid w:val="00174CBB"/>
    <w:rsid w:val="001A726C"/>
    <w:rsid w:val="001B16EA"/>
    <w:rsid w:val="001D21E6"/>
    <w:rsid w:val="001F594C"/>
    <w:rsid w:val="0020439C"/>
    <w:rsid w:val="0020514C"/>
    <w:rsid w:val="00211289"/>
    <w:rsid w:val="00222CB1"/>
    <w:rsid w:val="00242D38"/>
    <w:rsid w:val="0025499C"/>
    <w:rsid w:val="00261B80"/>
    <w:rsid w:val="002729F9"/>
    <w:rsid w:val="00293C85"/>
    <w:rsid w:val="0029773B"/>
    <w:rsid w:val="002F07CF"/>
    <w:rsid w:val="002F51B6"/>
    <w:rsid w:val="002F73D3"/>
    <w:rsid w:val="0034603F"/>
    <w:rsid w:val="00353DEF"/>
    <w:rsid w:val="00357E91"/>
    <w:rsid w:val="00360AB2"/>
    <w:rsid w:val="003720BF"/>
    <w:rsid w:val="00377DD0"/>
    <w:rsid w:val="00394022"/>
    <w:rsid w:val="0039522F"/>
    <w:rsid w:val="003A1380"/>
    <w:rsid w:val="003A2A67"/>
    <w:rsid w:val="003A57F2"/>
    <w:rsid w:val="003A7028"/>
    <w:rsid w:val="003D0227"/>
    <w:rsid w:val="003D24DF"/>
    <w:rsid w:val="003E192E"/>
    <w:rsid w:val="003F49A9"/>
    <w:rsid w:val="00415BA3"/>
    <w:rsid w:val="004559AD"/>
    <w:rsid w:val="00462B12"/>
    <w:rsid w:val="00474356"/>
    <w:rsid w:val="00483FDE"/>
    <w:rsid w:val="004B04A9"/>
    <w:rsid w:val="00516760"/>
    <w:rsid w:val="00532F79"/>
    <w:rsid w:val="0055079E"/>
    <w:rsid w:val="00593F4F"/>
    <w:rsid w:val="00597B75"/>
    <w:rsid w:val="005B5AEE"/>
    <w:rsid w:val="005E2C0A"/>
    <w:rsid w:val="005E3BE7"/>
    <w:rsid w:val="005E4EEE"/>
    <w:rsid w:val="005F1F4F"/>
    <w:rsid w:val="005F733B"/>
    <w:rsid w:val="00606DC8"/>
    <w:rsid w:val="00621AD5"/>
    <w:rsid w:val="00641ACA"/>
    <w:rsid w:val="006849C3"/>
    <w:rsid w:val="0069391B"/>
    <w:rsid w:val="006962A4"/>
    <w:rsid w:val="0069760E"/>
    <w:rsid w:val="006B4F94"/>
    <w:rsid w:val="006D6EE9"/>
    <w:rsid w:val="006E203D"/>
    <w:rsid w:val="006E353F"/>
    <w:rsid w:val="007135C5"/>
    <w:rsid w:val="0072311C"/>
    <w:rsid w:val="00742B49"/>
    <w:rsid w:val="007D2434"/>
    <w:rsid w:val="007E369D"/>
    <w:rsid w:val="00803208"/>
    <w:rsid w:val="0084112E"/>
    <w:rsid w:val="008641A0"/>
    <w:rsid w:val="008A250A"/>
    <w:rsid w:val="008A7029"/>
    <w:rsid w:val="008B06B2"/>
    <w:rsid w:val="008C3129"/>
    <w:rsid w:val="008E4C61"/>
    <w:rsid w:val="008F4288"/>
    <w:rsid w:val="009066BB"/>
    <w:rsid w:val="009168F8"/>
    <w:rsid w:val="00922426"/>
    <w:rsid w:val="00941DC8"/>
    <w:rsid w:val="00943143"/>
    <w:rsid w:val="00950D7C"/>
    <w:rsid w:val="0095341A"/>
    <w:rsid w:val="00956BD0"/>
    <w:rsid w:val="0095715A"/>
    <w:rsid w:val="0098414C"/>
    <w:rsid w:val="009A1FD3"/>
    <w:rsid w:val="009A3B7A"/>
    <w:rsid w:val="009B2712"/>
    <w:rsid w:val="009C4E73"/>
    <w:rsid w:val="009E542D"/>
    <w:rsid w:val="009E556F"/>
    <w:rsid w:val="00A17809"/>
    <w:rsid w:val="00A37DB9"/>
    <w:rsid w:val="00A56EE2"/>
    <w:rsid w:val="00A6522D"/>
    <w:rsid w:val="00A71CA3"/>
    <w:rsid w:val="00A858C4"/>
    <w:rsid w:val="00A97597"/>
    <w:rsid w:val="00AA421C"/>
    <w:rsid w:val="00AA4FBA"/>
    <w:rsid w:val="00AC27F1"/>
    <w:rsid w:val="00AD67E5"/>
    <w:rsid w:val="00AE2112"/>
    <w:rsid w:val="00B014DB"/>
    <w:rsid w:val="00B0321F"/>
    <w:rsid w:val="00B339A9"/>
    <w:rsid w:val="00B74DF3"/>
    <w:rsid w:val="00B767BA"/>
    <w:rsid w:val="00BB05CF"/>
    <w:rsid w:val="00BC6395"/>
    <w:rsid w:val="00BE1F89"/>
    <w:rsid w:val="00C16DA0"/>
    <w:rsid w:val="00C246D1"/>
    <w:rsid w:val="00C44A9D"/>
    <w:rsid w:val="00C46376"/>
    <w:rsid w:val="00C55FB6"/>
    <w:rsid w:val="00C828A0"/>
    <w:rsid w:val="00CA49A3"/>
    <w:rsid w:val="00CD0E7D"/>
    <w:rsid w:val="00CE676C"/>
    <w:rsid w:val="00D0616F"/>
    <w:rsid w:val="00D22550"/>
    <w:rsid w:val="00D539B0"/>
    <w:rsid w:val="00D60705"/>
    <w:rsid w:val="00D66C8D"/>
    <w:rsid w:val="00D77561"/>
    <w:rsid w:val="00D86FF0"/>
    <w:rsid w:val="00DC0B9B"/>
    <w:rsid w:val="00DC3066"/>
    <w:rsid w:val="00DE7692"/>
    <w:rsid w:val="00E12470"/>
    <w:rsid w:val="00E23CB9"/>
    <w:rsid w:val="00E5497D"/>
    <w:rsid w:val="00E60B1E"/>
    <w:rsid w:val="00E61C2E"/>
    <w:rsid w:val="00E62188"/>
    <w:rsid w:val="00E635D6"/>
    <w:rsid w:val="00E6405C"/>
    <w:rsid w:val="00E644EE"/>
    <w:rsid w:val="00E64992"/>
    <w:rsid w:val="00E74898"/>
    <w:rsid w:val="00E765A4"/>
    <w:rsid w:val="00E82224"/>
    <w:rsid w:val="00EA70F6"/>
    <w:rsid w:val="00EE0649"/>
    <w:rsid w:val="00EF5A7F"/>
    <w:rsid w:val="00F0137D"/>
    <w:rsid w:val="00F22C5B"/>
    <w:rsid w:val="00F50D0D"/>
    <w:rsid w:val="00F5102A"/>
    <w:rsid w:val="00F72A73"/>
    <w:rsid w:val="00FA5A88"/>
    <w:rsid w:val="00FA6AC3"/>
    <w:rsid w:val="00FE73A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AB2FB"/>
  <w15:chartTrackingRefBased/>
  <w15:docId w15:val="{6C014B74-33C7-44BD-8940-222B497AE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898"/>
  </w:style>
  <w:style w:type="paragraph" w:styleId="Heading1">
    <w:name w:val="heading 1"/>
    <w:basedOn w:val="Normal"/>
    <w:next w:val="Normal"/>
    <w:link w:val="Heading1Char"/>
    <w:uiPriority w:val="9"/>
    <w:qFormat/>
    <w:rsid w:val="00BE1F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1F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1F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1F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1F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1F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1F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1F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1F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F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1F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1F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1F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1F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1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1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1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1F89"/>
    <w:rPr>
      <w:rFonts w:eastAsiaTheme="majorEastAsia" w:cstheme="majorBidi"/>
      <w:color w:val="272727" w:themeColor="text1" w:themeTint="D8"/>
    </w:rPr>
  </w:style>
  <w:style w:type="paragraph" w:styleId="Title">
    <w:name w:val="Title"/>
    <w:basedOn w:val="Normal"/>
    <w:next w:val="Normal"/>
    <w:link w:val="TitleChar"/>
    <w:uiPriority w:val="10"/>
    <w:qFormat/>
    <w:rsid w:val="00BE1F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1F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1F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1F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1F89"/>
    <w:pPr>
      <w:spacing w:before="160"/>
      <w:jc w:val="center"/>
    </w:pPr>
    <w:rPr>
      <w:i/>
      <w:iCs/>
      <w:color w:val="404040" w:themeColor="text1" w:themeTint="BF"/>
    </w:rPr>
  </w:style>
  <w:style w:type="character" w:customStyle="1" w:styleId="QuoteChar">
    <w:name w:val="Quote Char"/>
    <w:basedOn w:val="DefaultParagraphFont"/>
    <w:link w:val="Quote"/>
    <w:uiPriority w:val="29"/>
    <w:rsid w:val="00BE1F89"/>
    <w:rPr>
      <w:i/>
      <w:iCs/>
      <w:color w:val="404040" w:themeColor="text1" w:themeTint="BF"/>
    </w:rPr>
  </w:style>
  <w:style w:type="paragraph" w:styleId="ListParagraph">
    <w:name w:val="List Paragraph"/>
    <w:basedOn w:val="Normal"/>
    <w:uiPriority w:val="34"/>
    <w:qFormat/>
    <w:rsid w:val="00BE1F89"/>
    <w:pPr>
      <w:ind w:left="720"/>
      <w:contextualSpacing/>
    </w:pPr>
  </w:style>
  <w:style w:type="character" w:styleId="IntenseEmphasis">
    <w:name w:val="Intense Emphasis"/>
    <w:basedOn w:val="DefaultParagraphFont"/>
    <w:uiPriority w:val="21"/>
    <w:qFormat/>
    <w:rsid w:val="00BE1F89"/>
    <w:rPr>
      <w:i/>
      <w:iCs/>
      <w:color w:val="0F4761" w:themeColor="accent1" w:themeShade="BF"/>
    </w:rPr>
  </w:style>
  <w:style w:type="paragraph" w:styleId="IntenseQuote">
    <w:name w:val="Intense Quote"/>
    <w:basedOn w:val="Normal"/>
    <w:next w:val="Normal"/>
    <w:link w:val="IntenseQuoteChar"/>
    <w:uiPriority w:val="30"/>
    <w:qFormat/>
    <w:rsid w:val="00BE1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1F89"/>
    <w:rPr>
      <w:i/>
      <w:iCs/>
      <w:color w:val="0F4761" w:themeColor="accent1" w:themeShade="BF"/>
    </w:rPr>
  </w:style>
  <w:style w:type="character" w:styleId="IntenseReference">
    <w:name w:val="Intense Reference"/>
    <w:basedOn w:val="DefaultParagraphFont"/>
    <w:uiPriority w:val="32"/>
    <w:qFormat/>
    <w:rsid w:val="00BE1F89"/>
    <w:rPr>
      <w:b/>
      <w:bCs/>
      <w:smallCaps/>
      <w:color w:val="0F4761" w:themeColor="accent1" w:themeShade="BF"/>
      <w:spacing w:val="5"/>
    </w:rPr>
  </w:style>
  <w:style w:type="character" w:styleId="CommentReference">
    <w:name w:val="annotation reference"/>
    <w:basedOn w:val="DefaultParagraphFont"/>
    <w:uiPriority w:val="99"/>
    <w:semiHidden/>
    <w:unhideWhenUsed/>
    <w:rsid w:val="00BE1F89"/>
    <w:rPr>
      <w:sz w:val="16"/>
      <w:szCs w:val="16"/>
    </w:rPr>
  </w:style>
  <w:style w:type="paragraph" w:styleId="CommentText">
    <w:name w:val="annotation text"/>
    <w:basedOn w:val="Normal"/>
    <w:link w:val="CommentTextChar"/>
    <w:uiPriority w:val="99"/>
    <w:unhideWhenUsed/>
    <w:rsid w:val="00BE1F89"/>
    <w:pPr>
      <w:spacing w:line="240" w:lineRule="auto"/>
    </w:pPr>
    <w:rPr>
      <w:sz w:val="20"/>
      <w:szCs w:val="20"/>
    </w:rPr>
  </w:style>
  <w:style w:type="character" w:customStyle="1" w:styleId="CommentTextChar">
    <w:name w:val="Comment Text Char"/>
    <w:basedOn w:val="DefaultParagraphFont"/>
    <w:link w:val="CommentText"/>
    <w:uiPriority w:val="99"/>
    <w:rsid w:val="00BE1F89"/>
    <w:rPr>
      <w:sz w:val="20"/>
      <w:szCs w:val="20"/>
    </w:rPr>
  </w:style>
  <w:style w:type="table" w:styleId="TableGrid">
    <w:name w:val="Table Grid"/>
    <w:basedOn w:val="TableNormal"/>
    <w:uiPriority w:val="39"/>
    <w:rsid w:val="007E3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32F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2F79"/>
  </w:style>
  <w:style w:type="paragraph" w:styleId="Footer">
    <w:name w:val="footer"/>
    <w:basedOn w:val="Normal"/>
    <w:link w:val="FooterChar"/>
    <w:uiPriority w:val="99"/>
    <w:unhideWhenUsed/>
    <w:rsid w:val="00532F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2F79"/>
  </w:style>
  <w:style w:type="paragraph" w:styleId="FootnoteText">
    <w:name w:val="footnote text"/>
    <w:basedOn w:val="Normal"/>
    <w:link w:val="FootnoteTextChar"/>
    <w:uiPriority w:val="99"/>
    <w:semiHidden/>
    <w:unhideWhenUsed/>
    <w:rsid w:val="00E549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497D"/>
    <w:rPr>
      <w:sz w:val="20"/>
      <w:szCs w:val="20"/>
    </w:rPr>
  </w:style>
  <w:style w:type="character" w:styleId="FootnoteReference">
    <w:name w:val="footnote reference"/>
    <w:basedOn w:val="DefaultParagraphFont"/>
    <w:uiPriority w:val="99"/>
    <w:semiHidden/>
    <w:unhideWhenUsed/>
    <w:rsid w:val="00E5497D"/>
    <w:rPr>
      <w:vertAlign w:val="superscript"/>
    </w:rPr>
  </w:style>
  <w:style w:type="character" w:styleId="Hyperlink">
    <w:name w:val="Hyperlink"/>
    <w:basedOn w:val="DefaultParagraphFont"/>
    <w:uiPriority w:val="99"/>
    <w:unhideWhenUsed/>
    <w:rsid w:val="00E5497D"/>
    <w:rPr>
      <w:color w:val="467886" w:themeColor="hyperlink"/>
      <w:u w:val="single"/>
    </w:rPr>
  </w:style>
  <w:style w:type="character" w:styleId="UnresolvedMention">
    <w:name w:val="Unresolved Mention"/>
    <w:basedOn w:val="DefaultParagraphFont"/>
    <w:uiPriority w:val="99"/>
    <w:semiHidden/>
    <w:unhideWhenUsed/>
    <w:rsid w:val="00E5497D"/>
    <w:rPr>
      <w:color w:val="605E5C"/>
      <w:shd w:val="clear" w:color="auto" w:fill="E1DFDD"/>
    </w:rPr>
  </w:style>
  <w:style w:type="paragraph" w:styleId="NormalWeb">
    <w:name w:val="Normal (Web)"/>
    <w:basedOn w:val="Normal"/>
    <w:uiPriority w:val="99"/>
    <w:semiHidden/>
    <w:unhideWhenUsed/>
    <w:rsid w:val="00956BD0"/>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styleId="Revision">
    <w:name w:val="Revision"/>
    <w:hidden/>
    <w:uiPriority w:val="99"/>
    <w:semiHidden/>
    <w:rsid w:val="00C246D1"/>
    <w:pPr>
      <w:spacing w:after="0" w:line="240" w:lineRule="auto"/>
    </w:pPr>
  </w:style>
  <w:style w:type="paragraph" w:styleId="CommentSubject">
    <w:name w:val="annotation subject"/>
    <w:basedOn w:val="CommentText"/>
    <w:next w:val="CommentText"/>
    <w:link w:val="CommentSubjectChar"/>
    <w:uiPriority w:val="99"/>
    <w:semiHidden/>
    <w:unhideWhenUsed/>
    <w:rsid w:val="00F22C5B"/>
    <w:rPr>
      <w:b/>
      <w:bCs/>
    </w:rPr>
  </w:style>
  <w:style w:type="character" w:customStyle="1" w:styleId="CommentSubjectChar">
    <w:name w:val="Comment Subject Char"/>
    <w:basedOn w:val="CommentTextChar"/>
    <w:link w:val="CommentSubject"/>
    <w:uiPriority w:val="99"/>
    <w:semiHidden/>
    <w:rsid w:val="00F22C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3e026f-d91d-4067-b771-acec417eee3f">
      <Terms xmlns="http://schemas.microsoft.com/office/infopath/2007/PartnerControls"/>
    </lcf76f155ced4ddcb4097134ff3c332f>
    <TaxCatchAll xmlns="81c01dc6-2c49-4730-b140-874c95cac37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4B571243F11248B2B4156FE3E85C30" ma:contentTypeVersion="16" ma:contentTypeDescription="Create a new document." ma:contentTypeScope="" ma:versionID="448c50cafea6f31591dbe912684a404f">
  <xsd:schema xmlns:xsd="http://www.w3.org/2001/XMLSchema" xmlns:xs="http://www.w3.org/2001/XMLSchema" xmlns:p="http://schemas.microsoft.com/office/2006/metadata/properties" xmlns:ns2="6d3e026f-d91d-4067-b771-acec417eee3f" xmlns:ns3="dfb2263b-dad8-47cd-a907-873aafebd685" xmlns:ns4="81c01dc6-2c49-4730-b140-874c95cac377" targetNamespace="http://schemas.microsoft.com/office/2006/metadata/properties" ma:root="true" ma:fieldsID="8d7c841385bd4acc5773baca1d248ff6" ns2:_="" ns3:_="" ns4:_="">
    <xsd:import namespace="6d3e026f-d91d-4067-b771-acec417eee3f"/>
    <xsd:import namespace="dfb2263b-dad8-47cd-a907-873aafebd685"/>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e026f-d91d-4067-b771-acec417eee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b2263b-dad8-47cd-a907-873aafebd6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74256ef-929b-4f21-9be9-cb5c3d50d307}" ma:internalName="TaxCatchAll" ma:showField="CatchAllData" ma:web="dfb2263b-dad8-47cd-a907-873aafebd6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F98DB-F073-4E76-A4E8-61E764BAB40B}">
  <ds:schemaRefs>
    <ds:schemaRef ds:uri="http://schemas.microsoft.com/office/2006/metadata/properties"/>
    <ds:schemaRef ds:uri="http://schemas.microsoft.com/office/infopath/2007/PartnerControls"/>
    <ds:schemaRef ds:uri="6d3e026f-d91d-4067-b771-acec417eee3f"/>
    <ds:schemaRef ds:uri="81c01dc6-2c49-4730-b140-874c95cac377"/>
  </ds:schemaRefs>
</ds:datastoreItem>
</file>

<file path=customXml/itemProps2.xml><?xml version="1.0" encoding="utf-8"?>
<ds:datastoreItem xmlns:ds="http://schemas.openxmlformats.org/officeDocument/2006/customXml" ds:itemID="{F2EFFB9F-351D-4013-9E00-8A438E0622CE}">
  <ds:schemaRefs>
    <ds:schemaRef ds:uri="http://schemas.microsoft.com/sharepoint/v3/contenttype/forms"/>
  </ds:schemaRefs>
</ds:datastoreItem>
</file>

<file path=customXml/itemProps3.xml><?xml version="1.0" encoding="utf-8"?>
<ds:datastoreItem xmlns:ds="http://schemas.openxmlformats.org/officeDocument/2006/customXml" ds:itemID="{08166613-29E2-44C7-8385-F5B72913B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e026f-d91d-4067-b771-acec417eee3f"/>
    <ds:schemaRef ds:uri="dfb2263b-dad8-47cd-a907-873aafebd685"/>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D2D05E-D4AF-4707-BB3B-4E0876994950}">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14</TotalTime>
  <Pages>7</Pages>
  <Words>1420</Words>
  <Characters>8100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Learmonth, Bonnie</dc:creator>
  <cp:keywords/>
  <dc:description/>
  <cp:lastModifiedBy>Learmonth, Bonnie</cp:lastModifiedBy>
  <cp:revision>16</cp:revision>
  <dcterms:created xsi:type="dcterms:W3CDTF">2026-08-17T22:41:00Z</dcterms:created>
  <dcterms:modified xsi:type="dcterms:W3CDTF">2026-08-27T08:03:00Z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4322703b,c278dc8,3f9ff8d2</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100ed243,5cd59c3d,2e73187a</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0x010100624B571243F11248B2B4156FE3E85C30</vt:lpwstr>
  </property>
  <property fmtid="{D5CDD505-2E9C-101B-9397-08002B2CF9AE}" pid="9" name="MediaServiceImageTags">
    <vt:lpwstr/>
  </property>
</Properties>
</file>