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D9659" w14:textId="02431E36" w:rsidR="002F63DB" w:rsidRPr="00255081" w:rsidRDefault="005E4799" w:rsidP="00B82F1E">
      <w:pPr>
        <w:pStyle w:val="Heading1nonumber"/>
        <w:spacing w:after="120"/>
        <w:rPr>
          <w:sz w:val="42"/>
          <w:szCs w:val="42"/>
        </w:rPr>
      </w:pPr>
      <w:bookmarkStart w:id="1" w:name="_GoBack"/>
      <w:bookmarkEnd w:id="1"/>
      <w:r w:rsidRPr="00255081">
        <w:rPr>
          <w:sz w:val="42"/>
          <w:szCs w:val="42"/>
        </w:rPr>
        <w:t>Data on exports</w:t>
      </w:r>
      <w:r w:rsidR="002F6E47" w:rsidRPr="00255081">
        <w:rPr>
          <w:sz w:val="42"/>
          <w:szCs w:val="42"/>
        </w:rPr>
        <w:t xml:space="preserve"> of Australia</w:t>
      </w:r>
      <w:r w:rsidR="00DA773F">
        <w:rPr>
          <w:sz w:val="42"/>
          <w:szCs w:val="42"/>
        </w:rPr>
        <w:t>n</w:t>
      </w:r>
      <w:r w:rsidR="00F03FAB">
        <w:rPr>
          <w:sz w:val="42"/>
          <w:szCs w:val="42"/>
        </w:rPr>
        <w:t xml:space="preserve"> waste</w:t>
      </w:r>
      <w:r w:rsidR="003726B0">
        <w:rPr>
          <w:sz w:val="42"/>
          <w:szCs w:val="42"/>
        </w:rPr>
        <w:t>s</w:t>
      </w:r>
      <w:r w:rsidR="008214EB">
        <w:rPr>
          <w:sz w:val="42"/>
          <w:szCs w:val="42"/>
        </w:rPr>
        <w:t xml:space="preserve"> </w:t>
      </w:r>
      <w:r w:rsidR="00FF2464">
        <w:rPr>
          <w:sz w:val="42"/>
          <w:szCs w:val="42"/>
        </w:rPr>
        <w:t>2018-19</w:t>
      </w:r>
    </w:p>
    <w:p w14:paraId="6BC0E3B3" w14:textId="2FB21515" w:rsidR="00E61E00" w:rsidRDefault="00EC1E7D" w:rsidP="00E61E00">
      <w:pPr>
        <w:pStyle w:val="BodyText"/>
        <w:ind w:right="169"/>
        <w:jc w:val="right"/>
        <w:rPr>
          <w:sz w:val="20"/>
        </w:rPr>
      </w:pPr>
      <w:r>
        <w:rPr>
          <w:sz w:val="20"/>
        </w:rPr>
        <w:t>1</w:t>
      </w:r>
      <w:r w:rsidR="00802241">
        <w:rPr>
          <w:sz w:val="20"/>
        </w:rPr>
        <w:t xml:space="preserve"> </w:t>
      </w:r>
      <w:r>
        <w:rPr>
          <w:sz w:val="20"/>
        </w:rPr>
        <w:t xml:space="preserve">November </w:t>
      </w:r>
      <w:r w:rsidR="00241F9D">
        <w:rPr>
          <w:sz w:val="20"/>
        </w:rPr>
        <w:t>2019</w:t>
      </w:r>
      <w:r>
        <w:rPr>
          <w:sz w:val="20"/>
        </w:rPr>
        <w:t xml:space="preserve"> (version 2)</w:t>
      </w:r>
    </w:p>
    <w:p w14:paraId="082B03A3" w14:textId="32EA5B86" w:rsidR="00066C1F" w:rsidRPr="00066C1F" w:rsidRDefault="00E61E00" w:rsidP="00E61E00">
      <w:pPr>
        <w:pStyle w:val="BodyText"/>
        <w:ind w:right="169"/>
        <w:jc w:val="right"/>
        <w:rPr>
          <w:sz w:val="20"/>
        </w:rPr>
      </w:pPr>
      <w:r>
        <w:rPr>
          <w:sz w:val="20"/>
        </w:rPr>
        <w:t>Joe Pickin and Jenny Trinh</w:t>
      </w:r>
      <w:r>
        <w:rPr>
          <w:rStyle w:val="FootnoteReference"/>
          <w:sz w:val="20"/>
        </w:rPr>
        <w:footnoteReference w:id="1"/>
      </w:r>
      <w:r w:rsidR="00066C1F" w:rsidRPr="00066C1F">
        <w:rPr>
          <w:sz w:val="20"/>
        </w:rPr>
        <w:t xml:space="preserve"> </w:t>
      </w:r>
    </w:p>
    <w:p w14:paraId="62E13A84" w14:textId="2B90CD59" w:rsidR="0012567E" w:rsidRDefault="0012567E" w:rsidP="00E61E00">
      <w:pPr>
        <w:pStyle w:val="BodyText"/>
        <w:spacing w:before="120"/>
      </w:pPr>
      <w:r>
        <w:t xml:space="preserve">This analysis examines exports of waste-derived materials from Australia to all countries in 2018-19. The export tonnages and values reported are Australian Border Force data obtained via the Australian Bureau of Statistics. </w:t>
      </w:r>
      <w:r w:rsidR="00C57F76">
        <w:t xml:space="preserve">Nearly all the materials discussed </w:t>
      </w:r>
      <w:r>
        <w:t>are recovered from our waste streams for recycling or energy recovery, but a small portion is</w:t>
      </w:r>
      <w:r w:rsidR="00D03655">
        <w:t xml:space="preserve"> hazardous waste</w:t>
      </w:r>
      <w:r>
        <w:t xml:space="preserve"> sent for </w:t>
      </w:r>
      <w:r w:rsidR="00D03655">
        <w:t xml:space="preserve">treatment. </w:t>
      </w:r>
      <w:r w:rsidR="00C57F76">
        <w:t xml:space="preserve">This document uses the terms ‘wastes’ and ‘waste-derived’ </w:t>
      </w:r>
      <w:r>
        <w:t xml:space="preserve">to include </w:t>
      </w:r>
      <w:r w:rsidR="00D03655">
        <w:t xml:space="preserve">all </w:t>
      </w:r>
      <w:r>
        <w:t xml:space="preserve">these materials. </w:t>
      </w:r>
    </w:p>
    <w:p w14:paraId="758EC579" w14:textId="77777777" w:rsidR="0012567E" w:rsidRDefault="0012567E" w:rsidP="0012567E">
      <w:pPr>
        <w:pStyle w:val="BodyText"/>
      </w:pPr>
    </w:p>
    <w:p w14:paraId="75374819" w14:textId="77777777" w:rsidR="009806B1" w:rsidRDefault="009806B1" w:rsidP="007A7E21">
      <w:pPr>
        <w:pStyle w:val="Heading2nonumber"/>
      </w:pPr>
      <w:r>
        <w:t>Background</w:t>
      </w:r>
    </w:p>
    <w:p w14:paraId="431E8C48" w14:textId="75D75DB3" w:rsidR="00576CA1" w:rsidRDefault="005C521B" w:rsidP="005E4799">
      <w:pPr>
        <w:pStyle w:val="BodyText"/>
      </w:pPr>
      <w:r>
        <w:t>E</w:t>
      </w:r>
      <w:r w:rsidR="00171DC7">
        <w:t>xports</w:t>
      </w:r>
      <w:r>
        <w:t xml:space="preserve"> of</w:t>
      </w:r>
      <w:r w:rsidR="003726B0">
        <w:t xml:space="preserve"> waste</w:t>
      </w:r>
      <w:r w:rsidR="00B23386">
        <w:t>-derived materials</w:t>
      </w:r>
      <w:r w:rsidR="003726B0">
        <w:t xml:space="preserve"> </w:t>
      </w:r>
      <w:r w:rsidR="00171DC7">
        <w:t xml:space="preserve">came to public prominence after China made a series of announcements </w:t>
      </w:r>
      <w:r w:rsidR="00C57F76">
        <w:t>in</w:t>
      </w:r>
      <w:r w:rsidR="00171DC7">
        <w:t xml:space="preserve"> 2017 and 2018 that restricted the import of certain</w:t>
      </w:r>
      <w:r w:rsidR="00CE61BB">
        <w:t xml:space="preserve"> </w:t>
      </w:r>
      <w:r w:rsidR="00171DC7">
        <w:t>materials</w:t>
      </w:r>
      <w:r w:rsidR="00CE61BB">
        <w:t xml:space="preserve"> if contaminated</w:t>
      </w:r>
      <w:r w:rsidR="00036377">
        <w:t xml:space="preserve"> </w:t>
      </w:r>
      <w:r w:rsidR="00AD0B13">
        <w:t xml:space="preserve">above </w:t>
      </w:r>
      <w:r w:rsidR="00CE61BB">
        <w:t>a</w:t>
      </w:r>
      <w:r w:rsidR="00AB1473">
        <w:t xml:space="preserve"> threshold </w:t>
      </w:r>
      <w:r w:rsidR="00A57EDF">
        <w:t xml:space="preserve">contamination rate </w:t>
      </w:r>
      <w:r w:rsidR="00AB1473">
        <w:t xml:space="preserve">of </w:t>
      </w:r>
      <w:r w:rsidR="00A57EDF">
        <w:t>0.5%</w:t>
      </w:r>
      <w:r w:rsidR="00623B71">
        <w:t>,</w:t>
      </w:r>
      <w:r w:rsidR="00CB43BE">
        <w:t xml:space="preserve"> </w:t>
      </w:r>
      <w:r w:rsidR="00AD0B13">
        <w:t xml:space="preserve">and </w:t>
      </w:r>
      <w:r w:rsidR="00C57F76">
        <w:t>established a</w:t>
      </w:r>
      <w:r w:rsidR="00CB43BE">
        <w:t xml:space="preserve"> </w:t>
      </w:r>
      <w:r w:rsidR="00064051">
        <w:t>staged ban for 32 material</w:t>
      </w:r>
      <w:r w:rsidR="00CE61BB">
        <w:t xml:space="preserve"> types</w:t>
      </w:r>
      <w:r w:rsidR="00064051">
        <w:t>. The first wave of the ban</w:t>
      </w:r>
      <w:r w:rsidR="00C32AAA">
        <w:t>s</w:t>
      </w:r>
      <w:r w:rsidR="00C57F76">
        <w:t xml:space="preserve"> </w:t>
      </w:r>
      <w:r w:rsidR="00064051">
        <w:t>took effect from 31 December 2018</w:t>
      </w:r>
      <w:r w:rsidR="00C57F76">
        <w:t>, covering</w:t>
      </w:r>
      <w:r w:rsidR="00064051">
        <w:t xml:space="preserve"> 16 material codes</w:t>
      </w:r>
      <w:r w:rsidR="00623B71">
        <w:t xml:space="preserve"> that were previously restricted. </w:t>
      </w:r>
      <w:r w:rsidR="00CE61BB">
        <w:t>An</w:t>
      </w:r>
      <w:r w:rsidR="00623B71">
        <w:t>other 16 materials are</w:t>
      </w:r>
      <w:r w:rsidR="00064051">
        <w:t xml:space="preserve"> expected </w:t>
      </w:r>
      <w:r w:rsidR="00623B71">
        <w:t xml:space="preserve">to be banned from </w:t>
      </w:r>
      <w:r w:rsidR="00064051">
        <w:t xml:space="preserve">31 December 2019. </w:t>
      </w:r>
    </w:p>
    <w:p w14:paraId="26036580" w14:textId="77777777" w:rsidR="00576CA1" w:rsidRDefault="00576CA1" w:rsidP="005E4799">
      <w:pPr>
        <w:pStyle w:val="BodyText"/>
      </w:pPr>
    </w:p>
    <w:p w14:paraId="51AE9534" w14:textId="148EDF25" w:rsidR="00E60889" w:rsidRPr="00E60889" w:rsidRDefault="0081209B" w:rsidP="00E60889">
      <w:pPr>
        <w:pStyle w:val="BodyText"/>
      </w:pPr>
      <w:r w:rsidRPr="0081209B">
        <w:t xml:space="preserve">Following China’s lead, several Asian countries </w:t>
      </w:r>
      <w:r w:rsidR="00C57F76">
        <w:t>subsequently</w:t>
      </w:r>
      <w:r w:rsidRPr="0081209B">
        <w:t xml:space="preserve"> ramped up import regulations for waste-derived materials</w:t>
      </w:r>
      <w:r w:rsidR="00AA3FA5">
        <w:t xml:space="preserve">. </w:t>
      </w:r>
      <w:r w:rsidR="00E60889" w:rsidRPr="000B7D6D">
        <w:t xml:space="preserve">India and Taiwan introduced bans on the import of </w:t>
      </w:r>
      <w:r w:rsidR="00AA3FA5">
        <w:t xml:space="preserve">waste-derived </w:t>
      </w:r>
      <w:r w:rsidR="00E60889" w:rsidRPr="000B7D6D">
        <w:t>plastic</w:t>
      </w:r>
      <w:r w:rsidR="00AA3FA5">
        <w:t xml:space="preserve">s; </w:t>
      </w:r>
      <w:r w:rsidR="00E60889" w:rsidRPr="000B7D6D">
        <w:t xml:space="preserve">Malaysia and Thailand are expected to </w:t>
      </w:r>
      <w:r w:rsidR="00AA3FA5">
        <w:t>do so</w:t>
      </w:r>
      <w:r w:rsidR="00E60889" w:rsidRPr="000B7D6D">
        <w:t xml:space="preserve"> from 2021</w:t>
      </w:r>
      <w:r w:rsidR="00AA3FA5">
        <w:t xml:space="preserve">; and </w:t>
      </w:r>
      <w:r w:rsidR="00E60889" w:rsidRPr="000B7D6D">
        <w:t>Vietnam from 2025.</w:t>
      </w:r>
      <w:r w:rsidR="00AA3FA5">
        <w:t xml:space="preserve"> Inspections of imported </w:t>
      </w:r>
      <w:r w:rsidR="00C57F76">
        <w:t>waste</w:t>
      </w:r>
      <w:r w:rsidR="00B23386">
        <w:t>-derived material</w:t>
      </w:r>
      <w:r w:rsidR="00C57F76">
        <w:t>s</w:t>
      </w:r>
      <w:r w:rsidR="00AA3FA5">
        <w:t xml:space="preserve"> </w:t>
      </w:r>
      <w:r w:rsidR="00E60889" w:rsidRPr="000B7D6D">
        <w:t xml:space="preserve">have also increased </w:t>
      </w:r>
      <w:r w:rsidR="00AA3FA5">
        <w:t>in</w:t>
      </w:r>
      <w:r w:rsidR="00E60889" w:rsidRPr="000B7D6D">
        <w:t xml:space="preserve"> a number of countries</w:t>
      </w:r>
      <w:r w:rsidR="00AA3FA5">
        <w:t>.</w:t>
      </w:r>
      <w:r w:rsidR="00E60889" w:rsidRPr="000B7D6D">
        <w:t xml:space="preserve"> Recent reports suggest 210 tonnes of contaminated waste exports from Australia are to be returned. </w:t>
      </w:r>
    </w:p>
    <w:p w14:paraId="26DDB86A" w14:textId="4236E2F1" w:rsidR="0081209B" w:rsidRDefault="0081209B" w:rsidP="0081209B">
      <w:pPr>
        <w:pStyle w:val="BodyText"/>
      </w:pPr>
    </w:p>
    <w:p w14:paraId="4EAD1117" w14:textId="4AB459B6" w:rsidR="00AA3FA5" w:rsidRDefault="00AA3FA5" w:rsidP="0081209B">
      <w:pPr>
        <w:pStyle w:val="BodyText"/>
      </w:pPr>
      <w:r>
        <w:t xml:space="preserve">The restrictions have had global consequences, reducing prices for recycled </w:t>
      </w:r>
      <w:r w:rsidR="00327334">
        <w:t xml:space="preserve">plastics, paper and cardboard </w:t>
      </w:r>
      <w:r>
        <w:t>and causing market blockages, stockpiling and some instability in the provision of</w:t>
      </w:r>
      <w:r w:rsidR="00327334">
        <w:t xml:space="preserve"> domestic</w:t>
      </w:r>
      <w:r>
        <w:t xml:space="preserve"> collection services.</w:t>
      </w:r>
      <w:r w:rsidR="00104563">
        <w:t xml:space="preserve"> This is being referred to as the recycling crisis.</w:t>
      </w:r>
    </w:p>
    <w:p w14:paraId="771EABE7" w14:textId="77777777" w:rsidR="00CE61BB" w:rsidRPr="0081209B" w:rsidRDefault="00CE61BB" w:rsidP="0081209B">
      <w:pPr>
        <w:pStyle w:val="BodyText"/>
      </w:pPr>
    </w:p>
    <w:p w14:paraId="3D983724" w14:textId="446EB2B4" w:rsidR="005C1254" w:rsidRDefault="00A45909" w:rsidP="007A7E21">
      <w:pPr>
        <w:pStyle w:val="Heading2nonumber"/>
      </w:pPr>
      <w:r>
        <w:t>Annual t</w:t>
      </w:r>
      <w:r w:rsidR="005C1254">
        <w:t>rends in exports</w:t>
      </w:r>
      <w:r w:rsidR="00B23386">
        <w:t xml:space="preserve"> of waste-derived materials</w:t>
      </w:r>
    </w:p>
    <w:p w14:paraId="74A437EA" w14:textId="4F4550D2" w:rsidR="006561A1" w:rsidRPr="0065614F" w:rsidRDefault="0065614F" w:rsidP="0065614F">
      <w:pPr>
        <w:pStyle w:val="BodyText"/>
      </w:pPr>
      <w:r>
        <w:fldChar w:fldCharType="begin"/>
      </w:r>
      <w:r>
        <w:instrText xml:space="preserve"> REF _Ref17628258 \h </w:instrText>
      </w:r>
      <w:r>
        <w:fldChar w:fldCharType="separate"/>
      </w:r>
      <w:r w:rsidR="001032E2">
        <w:t xml:space="preserve">Figure </w:t>
      </w:r>
      <w:r w:rsidR="001032E2">
        <w:rPr>
          <w:noProof/>
        </w:rPr>
        <w:t>1</w:t>
      </w:r>
      <w:r>
        <w:fldChar w:fldCharType="end"/>
      </w:r>
      <w:r>
        <w:t xml:space="preserve"> </w:t>
      </w:r>
      <w:r w:rsidR="006561A1" w:rsidRPr="0065614F">
        <w:t>displays</w:t>
      </w:r>
      <w:r w:rsidRPr="0065614F">
        <w:t xml:space="preserve"> the tonnage of</w:t>
      </w:r>
      <w:r w:rsidR="006561A1" w:rsidRPr="0065614F">
        <w:t xml:space="preserve"> exports of waste</w:t>
      </w:r>
      <w:r w:rsidR="00C57F76" w:rsidRPr="0065614F">
        <w:t>s</w:t>
      </w:r>
      <w:r w:rsidR="006561A1" w:rsidRPr="0065614F">
        <w:t xml:space="preserve"> to all destinations </w:t>
      </w:r>
      <w:r w:rsidR="00831C4E" w:rsidRPr="0065614F">
        <w:t xml:space="preserve">over a 12-year period from 2006-07 to </w:t>
      </w:r>
      <w:r w:rsidR="006C24FE" w:rsidRPr="0065614F">
        <w:t>2018-19</w:t>
      </w:r>
      <w:r w:rsidR="006561A1" w:rsidRPr="0065614F">
        <w:t xml:space="preserve">. </w:t>
      </w:r>
      <w:r w:rsidR="00104563" w:rsidRPr="0065614F">
        <w:t>The recycling crisis</w:t>
      </w:r>
      <w:r w:rsidR="00C32AAA">
        <w:t xml:space="preserve"> cannot be easily seen in the tonnage quantities shown in this chart </w:t>
      </w:r>
      <w:r w:rsidR="00104563" w:rsidRPr="0065614F">
        <w:t xml:space="preserve">– </w:t>
      </w:r>
      <w:r w:rsidR="00C96013">
        <w:t>total</w:t>
      </w:r>
      <w:r w:rsidR="00104563" w:rsidRPr="0065614F">
        <w:t xml:space="preserve"> quantities increased in all recent years and reached 4.44 Mt in 2018-19, which was 0.15 Mt (0.3%) higher than in 2017-18.</w:t>
      </w:r>
      <w:r w:rsidR="00327334" w:rsidRPr="0065614F">
        <w:t xml:space="preserve"> However, </w:t>
      </w:r>
      <w:r w:rsidR="00AE086E" w:rsidRPr="0065614F">
        <w:t xml:space="preserve">most of the </w:t>
      </w:r>
      <w:r w:rsidR="00327334" w:rsidRPr="0065614F">
        <w:t>recent increase</w:t>
      </w:r>
      <w:r>
        <w:t xml:space="preserve"> was</w:t>
      </w:r>
      <w:r w:rsidR="00AE086E" w:rsidRPr="0065614F">
        <w:t xml:space="preserve"> </w:t>
      </w:r>
      <w:r w:rsidR="00327334" w:rsidRPr="0065614F">
        <w:t xml:space="preserve">in </w:t>
      </w:r>
      <w:r>
        <w:t xml:space="preserve">scrap </w:t>
      </w:r>
      <w:r w:rsidR="00327334" w:rsidRPr="0065614F">
        <w:t>metals</w:t>
      </w:r>
      <w:r w:rsidR="00AE086E" w:rsidRPr="0065614F">
        <w:t xml:space="preserve">, </w:t>
      </w:r>
      <w:r w:rsidRPr="0065614F">
        <w:t xml:space="preserve">which </w:t>
      </w:r>
      <w:r w:rsidR="00AE086E" w:rsidRPr="0065614F">
        <w:t>were at their second highest level in the 12-year timeframe. Metals have</w:t>
      </w:r>
      <w:r w:rsidR="00327334" w:rsidRPr="0065614F">
        <w:t xml:space="preserve"> not</w:t>
      </w:r>
      <w:r w:rsidR="00AE086E" w:rsidRPr="0065614F">
        <w:t xml:space="preserve"> been</w:t>
      </w:r>
      <w:r w:rsidR="00327334" w:rsidRPr="0065614F">
        <w:t xml:space="preserve"> greatly affected by the</w:t>
      </w:r>
      <w:r w:rsidR="00AE086E" w:rsidRPr="0065614F">
        <w:t xml:space="preserve"> recycling crisis</w:t>
      </w:r>
      <w:r w:rsidR="00327334" w:rsidRPr="0065614F">
        <w:t xml:space="preserve">. </w:t>
      </w:r>
      <w:r w:rsidRPr="0065614F">
        <w:t>Exported q</w:t>
      </w:r>
      <w:r w:rsidR="00284AF0" w:rsidRPr="0065614F">
        <w:t xml:space="preserve">uantities of </w:t>
      </w:r>
      <w:r w:rsidRPr="0065614F">
        <w:t xml:space="preserve">scrap </w:t>
      </w:r>
      <w:r w:rsidR="00284AF0" w:rsidRPr="0065614F">
        <w:t xml:space="preserve">plastics and paper and cardboard peaked in 2015-16. In 2018-19, paper and cardboard quantities were 27% below that peak </w:t>
      </w:r>
      <w:r w:rsidR="00AE086E" w:rsidRPr="0065614F">
        <w:t xml:space="preserve">and </w:t>
      </w:r>
      <w:r w:rsidR="00284AF0" w:rsidRPr="0065614F">
        <w:t xml:space="preserve">plastics 7% lower. </w:t>
      </w:r>
    </w:p>
    <w:p w14:paraId="335244FD" w14:textId="0A811C0E" w:rsidR="0065614F" w:rsidRPr="0065614F" w:rsidRDefault="0065614F" w:rsidP="0065614F">
      <w:pPr>
        <w:pStyle w:val="BodyText"/>
      </w:pPr>
    </w:p>
    <w:p w14:paraId="161DFE56" w14:textId="00C134C6" w:rsidR="0065614F" w:rsidRPr="0065614F" w:rsidRDefault="0065614F" w:rsidP="0065614F">
      <w:pPr>
        <w:pStyle w:val="BodyText"/>
      </w:pPr>
      <w:r>
        <w:fldChar w:fldCharType="begin"/>
      </w:r>
      <w:r>
        <w:instrText xml:space="preserve"> REF _Ref524614971 \h </w:instrText>
      </w:r>
      <w:r>
        <w:fldChar w:fldCharType="separate"/>
      </w:r>
      <w:r w:rsidR="001032E2">
        <w:t xml:space="preserve">Figure </w:t>
      </w:r>
      <w:r w:rsidR="001032E2">
        <w:rPr>
          <w:noProof/>
        </w:rPr>
        <w:t>2</w:t>
      </w:r>
      <w:r>
        <w:fldChar w:fldCharType="end"/>
      </w:r>
      <w:r>
        <w:t xml:space="preserve"> </w:t>
      </w:r>
      <w:r w:rsidRPr="0065614F">
        <w:t>shows exports of waste to China</w:t>
      </w:r>
      <w:r w:rsidR="00F85C3E">
        <w:rPr>
          <w:rStyle w:val="FootnoteReference"/>
        </w:rPr>
        <w:footnoteReference w:id="2"/>
      </w:r>
      <w:r w:rsidRPr="0065614F">
        <w:t xml:space="preserve"> only over the same timeframe. Here, the effect of the restrictions on plastics, paper and cardboard and, to a lesser extent metals, is readily apparent. </w:t>
      </w:r>
    </w:p>
    <w:p w14:paraId="37838880" w14:textId="77777777" w:rsidR="00AE086E" w:rsidRPr="0065614F" w:rsidRDefault="00AE086E" w:rsidP="0065614F">
      <w:pPr>
        <w:pStyle w:val="BodyText"/>
      </w:pPr>
      <w:bookmarkStart w:id="2" w:name="_Ref524614848"/>
    </w:p>
    <w:p w14:paraId="55ED8C08" w14:textId="5726AF6F" w:rsidR="0065614F" w:rsidRDefault="00280540" w:rsidP="0065614F">
      <w:pPr>
        <w:pStyle w:val="BodyText"/>
      </w:pPr>
      <w:r>
        <w:fldChar w:fldCharType="begin"/>
      </w:r>
      <w:r>
        <w:instrText xml:space="preserve"> REF _Ref17628278 \h </w:instrText>
      </w:r>
      <w:r>
        <w:fldChar w:fldCharType="separate"/>
      </w:r>
      <w:r w:rsidR="001032E2">
        <w:t xml:space="preserve">Figure </w:t>
      </w:r>
      <w:r w:rsidR="001032E2">
        <w:rPr>
          <w:noProof/>
        </w:rPr>
        <w:t>3</w:t>
      </w:r>
      <w:r>
        <w:fldChar w:fldCharType="end"/>
      </w:r>
      <w:r>
        <w:t xml:space="preserve"> shows the value of Australian exports</w:t>
      </w:r>
      <w:r w:rsidR="00B23386">
        <w:t xml:space="preserve"> of waste-derived materials</w:t>
      </w:r>
      <w:r>
        <w:t xml:space="preserve"> over the same timeframe.</w:t>
      </w:r>
      <w:r w:rsidR="00AE086E">
        <w:t xml:space="preserve"> The total value </w:t>
      </w:r>
      <w:r w:rsidR="00ED2545">
        <w:t>rose</w:t>
      </w:r>
      <w:r w:rsidR="00AE086E">
        <w:t xml:space="preserve"> strongly </w:t>
      </w:r>
      <w:r w:rsidR="00ED2545">
        <w:t xml:space="preserve">from </w:t>
      </w:r>
      <w:r w:rsidR="00AE086E">
        <w:t>2015-16 to reach $3.1</w:t>
      </w:r>
      <w:r w:rsidR="008A3126">
        <w:t>9</w:t>
      </w:r>
      <w:r w:rsidR="00AE086E">
        <w:t xml:space="preserve"> billion in 2018-19. </w:t>
      </w:r>
      <w:r w:rsidR="003767F8">
        <w:t>This is $A</w:t>
      </w:r>
      <w:r w:rsidR="008C0E7A">
        <w:t>347</w:t>
      </w:r>
      <w:r w:rsidR="003767F8">
        <w:t xml:space="preserve"> million (1</w:t>
      </w:r>
      <w:r w:rsidR="008C0E7A">
        <w:t>2</w:t>
      </w:r>
      <w:r w:rsidR="003767F8">
        <w:t xml:space="preserve">%) higher than the previous year, and is despite </w:t>
      </w:r>
      <w:r w:rsidR="003767F8" w:rsidRPr="00971C28">
        <w:t xml:space="preserve">a </w:t>
      </w:r>
      <w:r w:rsidR="003767F8">
        <w:t>7.8</w:t>
      </w:r>
      <w:r w:rsidR="003767F8" w:rsidRPr="00971C28">
        <w:t xml:space="preserve">% </w:t>
      </w:r>
      <w:r w:rsidR="003767F8">
        <w:t>fall in the average value of the Australian dollar against the US dollar, in which currency most trades occur. Scrap m</w:t>
      </w:r>
      <w:r w:rsidR="00AE086E">
        <w:t>etals represent</w:t>
      </w:r>
      <w:r w:rsidR="0065614F">
        <w:t>ed</w:t>
      </w:r>
      <w:r w:rsidR="00AE086E">
        <w:t xml:space="preserve"> 68% of th</w:t>
      </w:r>
      <w:r w:rsidR="003767F8">
        <w:t>e value of 2018-19 exports</w:t>
      </w:r>
      <w:r w:rsidR="00AE086E">
        <w:t xml:space="preserve">. Between 2015-16 and 2018-19 the value of exports of </w:t>
      </w:r>
      <w:r w:rsidR="00B23386">
        <w:t>scrap</w:t>
      </w:r>
      <w:r w:rsidR="00AE086E">
        <w:t xml:space="preserve"> plastics fell by 38% and paper and cardboard by 5%. The</w:t>
      </w:r>
      <w:r w:rsidR="0080386A">
        <w:t>re were strong increases in the</w:t>
      </w:r>
      <w:r w:rsidR="00AE086E">
        <w:t xml:space="preserve"> value of </w:t>
      </w:r>
      <w:r w:rsidR="0080386A">
        <w:t xml:space="preserve">exported </w:t>
      </w:r>
      <w:r w:rsidR="00AE086E">
        <w:t>hazardous wastes</w:t>
      </w:r>
      <w:r w:rsidR="0080386A">
        <w:t xml:space="preserve"> (</w:t>
      </w:r>
      <w:r w:rsidR="00AE086E">
        <w:t>mainly metal</w:t>
      </w:r>
      <w:r w:rsidR="00F87F00">
        <w:t xml:space="preserve"> processing wastes</w:t>
      </w:r>
      <w:r w:rsidR="0080386A">
        <w:t xml:space="preserve">) and </w:t>
      </w:r>
      <w:r w:rsidR="00C32AAA">
        <w:t>‘</w:t>
      </w:r>
      <w:r w:rsidR="0080386A">
        <w:t>other</w:t>
      </w:r>
      <w:r w:rsidR="00C32AAA">
        <w:t>’</w:t>
      </w:r>
      <w:r w:rsidR="0080386A">
        <w:t xml:space="preserve"> wastes (</w:t>
      </w:r>
      <w:r w:rsidR="003767F8">
        <w:t>mainly organic</w:t>
      </w:r>
      <w:r w:rsidR="00F87F00">
        <w:t>s</w:t>
      </w:r>
      <w:r w:rsidR="003767F8">
        <w:t>).</w:t>
      </w:r>
    </w:p>
    <w:p w14:paraId="1F369E3F" w14:textId="67936AC8" w:rsidR="006561A1" w:rsidRDefault="006561A1" w:rsidP="006561A1">
      <w:pPr>
        <w:pStyle w:val="Caption"/>
        <w:spacing w:after="120"/>
      </w:pPr>
      <w:bookmarkStart w:id="3" w:name="_Ref17628258"/>
      <w:r>
        <w:lastRenderedPageBreak/>
        <w:t xml:space="preserve">Figure </w:t>
      </w:r>
      <w:r>
        <w:rPr>
          <w:noProof/>
        </w:rPr>
        <w:fldChar w:fldCharType="begin"/>
      </w:r>
      <w:r>
        <w:rPr>
          <w:noProof/>
        </w:rPr>
        <w:instrText xml:space="preserve"> SEQ Figure \* ARABIC </w:instrText>
      </w:r>
      <w:r>
        <w:rPr>
          <w:noProof/>
        </w:rPr>
        <w:fldChar w:fldCharType="separate"/>
      </w:r>
      <w:r w:rsidR="001032E2">
        <w:rPr>
          <w:noProof/>
        </w:rPr>
        <w:t>1</w:t>
      </w:r>
      <w:r>
        <w:rPr>
          <w:noProof/>
        </w:rPr>
        <w:fldChar w:fldCharType="end"/>
      </w:r>
      <w:bookmarkEnd w:id="2"/>
      <w:bookmarkEnd w:id="3"/>
      <w:r>
        <w:tab/>
      </w:r>
      <w:r w:rsidR="00C96013">
        <w:t>E</w:t>
      </w:r>
      <w:r>
        <w:t>xports of waste from Australia by financial year and type</w:t>
      </w:r>
      <w:r w:rsidR="00DC406E">
        <w:t>, 2006-07 to 2018-19</w:t>
      </w:r>
      <w:r w:rsidR="00C96013">
        <w:t xml:space="preserve"> (millions of tonnes)</w:t>
      </w:r>
    </w:p>
    <w:p w14:paraId="0D618B31" w14:textId="2E674EFB" w:rsidR="006561A1" w:rsidRDefault="00EA4543" w:rsidP="006561A1">
      <w:pPr>
        <w:pStyle w:val="BodyText"/>
      </w:pPr>
      <w:r>
        <w:rPr>
          <w:noProof/>
          <w:lang w:eastAsia="en-AU"/>
        </w:rPr>
        <w:drawing>
          <wp:inline distT="0" distB="0" distL="0" distR="0" wp14:anchorId="3C5ED172" wp14:editId="305EDE6E">
            <wp:extent cx="6145530" cy="2867025"/>
            <wp:effectExtent l="0" t="0" r="762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564"/>
                    <a:stretch/>
                  </pic:blipFill>
                  <pic:spPr bwMode="auto">
                    <a:xfrm>
                      <a:off x="0" y="0"/>
                      <a:ext cx="6145530" cy="2867025"/>
                    </a:xfrm>
                    <a:prstGeom prst="rect">
                      <a:avLst/>
                    </a:prstGeom>
                    <a:noFill/>
                    <a:ln>
                      <a:noFill/>
                    </a:ln>
                    <a:extLst>
                      <a:ext uri="{53640926-AAD7-44D8-BBD7-CCE9431645EC}">
                        <a14:shadowObscured xmlns:a14="http://schemas.microsoft.com/office/drawing/2010/main"/>
                      </a:ext>
                    </a:extLst>
                  </pic:spPr>
                </pic:pic>
              </a:graphicData>
            </a:graphic>
          </wp:inline>
        </w:drawing>
      </w:r>
    </w:p>
    <w:p w14:paraId="65DBBE02" w14:textId="12690B52" w:rsidR="00DC406E" w:rsidRDefault="00DC406E" w:rsidP="00DC406E">
      <w:pPr>
        <w:pStyle w:val="Caption"/>
        <w:spacing w:after="120"/>
      </w:pPr>
      <w:bookmarkStart w:id="4" w:name="_Ref524614971"/>
      <w:bookmarkStart w:id="5" w:name="_Ref17627870"/>
      <w:bookmarkStart w:id="6" w:name="_Ref17383208"/>
      <w:r>
        <w:t xml:space="preserve">Figure </w:t>
      </w:r>
      <w:r>
        <w:rPr>
          <w:noProof/>
        </w:rPr>
        <w:fldChar w:fldCharType="begin"/>
      </w:r>
      <w:r>
        <w:rPr>
          <w:noProof/>
        </w:rPr>
        <w:instrText xml:space="preserve"> SEQ Figure \* ARABIC </w:instrText>
      </w:r>
      <w:r>
        <w:rPr>
          <w:noProof/>
        </w:rPr>
        <w:fldChar w:fldCharType="separate"/>
      </w:r>
      <w:r w:rsidR="001032E2">
        <w:rPr>
          <w:noProof/>
        </w:rPr>
        <w:t>2</w:t>
      </w:r>
      <w:r>
        <w:rPr>
          <w:noProof/>
        </w:rPr>
        <w:fldChar w:fldCharType="end"/>
      </w:r>
      <w:bookmarkEnd w:id="4"/>
      <w:r>
        <w:tab/>
        <w:t>Exports of waste from Australia to China by financial year and type</w:t>
      </w:r>
      <w:bookmarkEnd w:id="5"/>
      <w:r w:rsidR="00C96013">
        <w:t xml:space="preserve"> (millions of tonnes)</w:t>
      </w:r>
    </w:p>
    <w:p w14:paraId="3A15345C" w14:textId="2878AFB3" w:rsidR="00DC406E" w:rsidRPr="00280540" w:rsidRDefault="00EA4543" w:rsidP="00280540">
      <w:pPr>
        <w:pStyle w:val="BodyText"/>
      </w:pPr>
      <w:r w:rsidRPr="00280540">
        <w:rPr>
          <w:noProof/>
          <w:lang w:eastAsia="en-AU"/>
        </w:rPr>
        <w:drawing>
          <wp:inline distT="0" distB="0" distL="0" distR="0" wp14:anchorId="64A57727" wp14:editId="0C5A0ACE">
            <wp:extent cx="6084570" cy="1514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0304"/>
                    <a:stretch/>
                  </pic:blipFill>
                  <pic:spPr bwMode="auto">
                    <a:xfrm>
                      <a:off x="0" y="0"/>
                      <a:ext cx="6084570" cy="1514475"/>
                    </a:xfrm>
                    <a:prstGeom prst="rect">
                      <a:avLst/>
                    </a:prstGeom>
                    <a:noFill/>
                    <a:ln>
                      <a:noFill/>
                    </a:ln>
                    <a:extLst>
                      <a:ext uri="{53640926-AAD7-44D8-BBD7-CCE9431645EC}">
                        <a14:shadowObscured xmlns:a14="http://schemas.microsoft.com/office/drawing/2010/main"/>
                      </a:ext>
                    </a:extLst>
                  </pic:spPr>
                </pic:pic>
              </a:graphicData>
            </a:graphic>
          </wp:inline>
        </w:drawing>
      </w:r>
    </w:p>
    <w:p w14:paraId="0E7420B2" w14:textId="78DE9AA8" w:rsidR="006561A1" w:rsidRDefault="00BF20D4" w:rsidP="003767F8">
      <w:pPr>
        <w:pStyle w:val="Caption"/>
        <w:spacing w:after="120"/>
      </w:pPr>
      <w:bookmarkStart w:id="7" w:name="_Ref17628278"/>
      <w:r>
        <w:t xml:space="preserve">Figure </w:t>
      </w:r>
      <w:r>
        <w:rPr>
          <w:noProof/>
        </w:rPr>
        <w:fldChar w:fldCharType="begin"/>
      </w:r>
      <w:r>
        <w:rPr>
          <w:noProof/>
        </w:rPr>
        <w:instrText xml:space="preserve"> SEQ Figure \* ARABIC </w:instrText>
      </w:r>
      <w:r>
        <w:rPr>
          <w:noProof/>
        </w:rPr>
        <w:fldChar w:fldCharType="separate"/>
      </w:r>
      <w:r w:rsidR="001032E2">
        <w:rPr>
          <w:noProof/>
        </w:rPr>
        <w:t>3</w:t>
      </w:r>
      <w:r>
        <w:rPr>
          <w:noProof/>
        </w:rPr>
        <w:fldChar w:fldCharType="end"/>
      </w:r>
      <w:bookmarkEnd w:id="6"/>
      <w:bookmarkEnd w:id="7"/>
      <w:r>
        <w:tab/>
      </w:r>
      <w:r w:rsidR="003767F8">
        <w:t>Value of e</w:t>
      </w:r>
      <w:r>
        <w:t>xports of waste from Australia by financial year and type</w:t>
      </w:r>
      <w:r w:rsidR="00DC406E">
        <w:t xml:space="preserve"> </w:t>
      </w:r>
      <w:r w:rsidR="00C96013">
        <w:t>(billions of dollars)</w:t>
      </w:r>
    </w:p>
    <w:p w14:paraId="60601844" w14:textId="42F20AE9" w:rsidR="00BF20D4" w:rsidRDefault="006C5985" w:rsidP="00036682">
      <w:pPr>
        <w:pStyle w:val="BodyText"/>
      </w:pPr>
      <w:r>
        <w:rPr>
          <w:noProof/>
          <w:lang w:eastAsia="en-AU"/>
        </w:rPr>
        <w:drawing>
          <wp:inline distT="0" distB="0" distL="0" distR="0" wp14:anchorId="78BEA7B9" wp14:editId="4B1A1705">
            <wp:extent cx="6163310" cy="26035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3310" cy="2603500"/>
                    </a:xfrm>
                    <a:prstGeom prst="rect">
                      <a:avLst/>
                    </a:prstGeom>
                    <a:noFill/>
                  </pic:spPr>
                </pic:pic>
              </a:graphicData>
            </a:graphic>
          </wp:inline>
        </w:drawing>
      </w:r>
    </w:p>
    <w:p w14:paraId="507F72AE" w14:textId="77777777" w:rsidR="00844F44" w:rsidRDefault="00844F44">
      <w:r>
        <w:br w:type="page"/>
      </w:r>
    </w:p>
    <w:p w14:paraId="46AB511E" w14:textId="573371CC" w:rsidR="00E937A1" w:rsidRDefault="00E853E2" w:rsidP="00E853E2">
      <w:pPr>
        <w:pStyle w:val="BodyText"/>
      </w:pPr>
      <w:r>
        <w:lastRenderedPageBreak/>
        <w:fldChar w:fldCharType="begin"/>
      </w:r>
      <w:r>
        <w:instrText xml:space="preserve"> REF _Ref524614867 \h </w:instrText>
      </w:r>
      <w:r>
        <w:fldChar w:fldCharType="separate"/>
      </w:r>
      <w:r w:rsidR="001032E2">
        <w:t xml:space="preserve">Figure </w:t>
      </w:r>
      <w:r w:rsidR="001032E2">
        <w:rPr>
          <w:noProof/>
        </w:rPr>
        <w:t>4</w:t>
      </w:r>
      <w:r>
        <w:fldChar w:fldCharType="end"/>
      </w:r>
      <w:r w:rsidR="00313ED4">
        <w:t xml:space="preserve"> examines the trend in exports of paper and cardboard over the past </w:t>
      </w:r>
      <w:r w:rsidR="00E937A1">
        <w:t xml:space="preserve">five </w:t>
      </w:r>
      <w:r w:rsidR="00313ED4">
        <w:t>years. It distinguishes exports to China (o</w:t>
      </w:r>
      <w:r w:rsidR="009F5258">
        <w:t>n</w:t>
      </w:r>
      <w:r w:rsidR="00313ED4">
        <w:t xml:space="preserve"> the left) from those to other destinations (o</w:t>
      </w:r>
      <w:r w:rsidR="009F5258">
        <w:t>n</w:t>
      </w:r>
      <w:r w:rsidR="00313ED4">
        <w:t xml:space="preserve"> the right) and shows material grade. </w:t>
      </w:r>
      <w:r w:rsidR="005E79BE">
        <w:t xml:space="preserve">The figure shows </w:t>
      </w:r>
      <w:r w:rsidR="008247D1">
        <w:t xml:space="preserve">a </w:t>
      </w:r>
      <w:r w:rsidR="005E79BE">
        <w:t>large fall in the exports of low</w:t>
      </w:r>
      <w:r w:rsidR="008247D1">
        <w:t>-</w:t>
      </w:r>
      <w:r w:rsidR="005E79BE">
        <w:t xml:space="preserve">grade unsorted materials </w:t>
      </w:r>
      <w:r w:rsidR="008247D1">
        <w:t xml:space="preserve">– which are </w:t>
      </w:r>
      <w:r w:rsidR="005E79BE">
        <w:t>mainly from domestic recycling</w:t>
      </w:r>
      <w:r w:rsidR="008247D1">
        <w:t xml:space="preserve"> – to China, but diversion of much of this quantity </w:t>
      </w:r>
      <w:r w:rsidR="005E79BE">
        <w:t>to other destination</w:t>
      </w:r>
      <w:r w:rsidR="008247D1">
        <w:t xml:space="preserve">s (mainly India, Thailand and Indonesia). </w:t>
      </w:r>
      <w:r w:rsidR="00F55DDB">
        <w:t>Exports of both m</w:t>
      </w:r>
      <w:r w:rsidR="008247D1">
        <w:t xml:space="preserve">echanically pulped papers </w:t>
      </w:r>
      <w:r w:rsidR="00F55DDB">
        <w:t>(</w:t>
      </w:r>
      <w:r w:rsidR="008247D1">
        <w:t>newsprint</w:t>
      </w:r>
      <w:r w:rsidR="00F55DDB">
        <w:t xml:space="preserve">) and bleached chemical </w:t>
      </w:r>
      <w:r w:rsidR="008247D1">
        <w:t>(office paper)</w:t>
      </w:r>
      <w:r w:rsidR="00F55DDB">
        <w:t xml:space="preserve"> declined to all destinations. U</w:t>
      </w:r>
      <w:r w:rsidR="008247D1">
        <w:t xml:space="preserve">nbleached kraft (old corrugated containers) </w:t>
      </w:r>
      <w:r w:rsidR="00F55DDB">
        <w:t>is little changed.</w:t>
      </w:r>
    </w:p>
    <w:p w14:paraId="3C40BE71" w14:textId="00A4AC1E" w:rsidR="00313ED4" w:rsidRDefault="00313ED4" w:rsidP="0029695A">
      <w:pPr>
        <w:pStyle w:val="Caption"/>
        <w:spacing w:after="120"/>
      </w:pPr>
      <w:bookmarkStart w:id="8" w:name="_Ref524614867"/>
      <w:r>
        <w:t xml:space="preserve">Figure </w:t>
      </w:r>
      <w:r>
        <w:rPr>
          <w:noProof/>
        </w:rPr>
        <w:fldChar w:fldCharType="begin"/>
      </w:r>
      <w:r>
        <w:rPr>
          <w:noProof/>
        </w:rPr>
        <w:instrText xml:space="preserve"> SEQ Figure \* ARABIC </w:instrText>
      </w:r>
      <w:r>
        <w:rPr>
          <w:noProof/>
        </w:rPr>
        <w:fldChar w:fldCharType="separate"/>
      </w:r>
      <w:r w:rsidR="001032E2">
        <w:rPr>
          <w:noProof/>
        </w:rPr>
        <w:t>4</w:t>
      </w:r>
      <w:r>
        <w:rPr>
          <w:noProof/>
        </w:rPr>
        <w:fldChar w:fldCharType="end"/>
      </w:r>
      <w:bookmarkEnd w:id="8"/>
      <w:r>
        <w:tab/>
        <w:t>Exports of scrap paper and cardboard from Australia to China and other destinations by financial year</w:t>
      </w:r>
      <w:r w:rsidR="00C96013">
        <w:t xml:space="preserve"> (thousands of tonnes)</w:t>
      </w:r>
    </w:p>
    <w:p w14:paraId="114BC61E" w14:textId="35363A08" w:rsidR="009A56EF" w:rsidRDefault="008247D1" w:rsidP="00313ED4">
      <w:pPr>
        <w:pStyle w:val="BodyText"/>
      </w:pPr>
      <w:r>
        <w:rPr>
          <w:noProof/>
          <w:lang w:eastAsia="en-AU"/>
        </w:rPr>
        <w:drawing>
          <wp:inline distT="0" distB="0" distL="0" distR="0" wp14:anchorId="7052C110" wp14:editId="15D7940D">
            <wp:extent cx="5999474" cy="19621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2890" cy="1963267"/>
                    </a:xfrm>
                    <a:prstGeom prst="rect">
                      <a:avLst/>
                    </a:prstGeom>
                    <a:noFill/>
                  </pic:spPr>
                </pic:pic>
              </a:graphicData>
            </a:graphic>
          </wp:inline>
        </w:drawing>
      </w:r>
    </w:p>
    <w:p w14:paraId="7898FDBD" w14:textId="77777777" w:rsidR="0035211C" w:rsidRDefault="0035211C" w:rsidP="00313ED4">
      <w:pPr>
        <w:pStyle w:val="BodyText"/>
      </w:pPr>
    </w:p>
    <w:p w14:paraId="744BE886" w14:textId="4916E406" w:rsidR="00F55DDB" w:rsidRDefault="0007368B" w:rsidP="00313ED4">
      <w:pPr>
        <w:pStyle w:val="BodyText"/>
      </w:pPr>
      <w:r>
        <w:t>The</w:t>
      </w:r>
      <w:r w:rsidR="008247D1">
        <w:t xml:space="preserve"> </w:t>
      </w:r>
      <w:r w:rsidR="00B23386">
        <w:t>material</w:t>
      </w:r>
      <w:r w:rsidR="008247D1">
        <w:t xml:space="preserve"> type most affected by the recycling crisis is scrap</w:t>
      </w:r>
      <w:r w:rsidR="002B6B42">
        <w:t xml:space="preserve"> plastics</w:t>
      </w:r>
      <w:r w:rsidR="008247D1">
        <w:t xml:space="preserve">. </w:t>
      </w:r>
      <w:r w:rsidR="00F55DDB">
        <w:fldChar w:fldCharType="begin"/>
      </w:r>
      <w:r w:rsidR="00F55DDB">
        <w:instrText xml:space="preserve"> REF _Ref523488518 \h </w:instrText>
      </w:r>
      <w:r w:rsidR="00F55DDB">
        <w:fldChar w:fldCharType="separate"/>
      </w:r>
      <w:r w:rsidR="001032E2">
        <w:t xml:space="preserve">Figure </w:t>
      </w:r>
      <w:r w:rsidR="001032E2">
        <w:rPr>
          <w:noProof/>
        </w:rPr>
        <w:t>5</w:t>
      </w:r>
      <w:r w:rsidR="00F55DDB">
        <w:fldChar w:fldCharType="end"/>
      </w:r>
      <w:r w:rsidR="00F55DDB">
        <w:t xml:space="preserve"> examines the trend in exports of plastics over the past five years, displaying exports to China on the left and to other destinations on the right, and showing the export grades. </w:t>
      </w:r>
      <w:r>
        <w:t xml:space="preserve">The </w:t>
      </w:r>
      <w:r w:rsidR="001E50EB">
        <w:t xml:space="preserve">largest export grade </w:t>
      </w:r>
      <w:r>
        <w:t>is mixed plastics</w:t>
      </w:r>
      <w:r w:rsidR="001E50EB">
        <w:t xml:space="preserve"> (unsorted mixed materials</w:t>
      </w:r>
      <w:r>
        <w:t xml:space="preserve"> from domestic recycling collections</w:t>
      </w:r>
      <w:r w:rsidR="001E50EB">
        <w:t>)</w:t>
      </w:r>
      <w:r>
        <w:t xml:space="preserve"> followed by polymers of ethylene </w:t>
      </w:r>
      <w:r w:rsidR="003636B8">
        <w:t>(PET and HDPE)</w:t>
      </w:r>
      <w:r>
        <w:t>.</w:t>
      </w:r>
      <w:r w:rsidR="001E50EB">
        <w:t xml:space="preserve"> China was the largest market for these materials until 2016-17. Subsequently, quantities to China plummeted but were diverted to other Asian destinations, mainly Indonesia and Malaysia. </w:t>
      </w:r>
      <w:r w:rsidR="00527ADA">
        <w:t>The quantities of waste-derived plastics exported in 2018-19 were 18% higher than the year before but still 7% lower than the quantity in 2014-15.</w:t>
      </w:r>
    </w:p>
    <w:p w14:paraId="00EC9C3B" w14:textId="7B2752A6" w:rsidR="007D24C3" w:rsidRDefault="002B6B42" w:rsidP="0029695A">
      <w:pPr>
        <w:pStyle w:val="Caption"/>
        <w:spacing w:after="120"/>
      </w:pPr>
      <w:bookmarkStart w:id="9" w:name="_Ref523488518"/>
      <w:r>
        <w:t xml:space="preserve">Figure </w:t>
      </w:r>
      <w:r w:rsidR="002F01D1">
        <w:rPr>
          <w:noProof/>
        </w:rPr>
        <w:fldChar w:fldCharType="begin"/>
      </w:r>
      <w:r w:rsidR="002F01D1">
        <w:rPr>
          <w:noProof/>
        </w:rPr>
        <w:instrText xml:space="preserve"> SEQ Figure \* ARABIC </w:instrText>
      </w:r>
      <w:r w:rsidR="002F01D1">
        <w:rPr>
          <w:noProof/>
        </w:rPr>
        <w:fldChar w:fldCharType="separate"/>
      </w:r>
      <w:r w:rsidR="001032E2">
        <w:rPr>
          <w:noProof/>
        </w:rPr>
        <w:t>5</w:t>
      </w:r>
      <w:r w:rsidR="002F01D1">
        <w:rPr>
          <w:noProof/>
        </w:rPr>
        <w:fldChar w:fldCharType="end"/>
      </w:r>
      <w:bookmarkEnd w:id="9"/>
      <w:r>
        <w:tab/>
        <w:t>Exports of waste plastic from Australia to China and other destinations by financial year</w:t>
      </w:r>
      <w:r w:rsidR="00C96013">
        <w:t xml:space="preserve"> (thousands of tonnes)</w:t>
      </w:r>
    </w:p>
    <w:p w14:paraId="267A163E" w14:textId="63140C3F" w:rsidR="009A56EF" w:rsidRDefault="003325EC" w:rsidP="00313ED4">
      <w:pPr>
        <w:pStyle w:val="BodyText"/>
      </w:pPr>
      <w:r>
        <w:rPr>
          <w:noProof/>
          <w:lang w:eastAsia="en-AU"/>
        </w:rPr>
        <w:drawing>
          <wp:inline distT="0" distB="0" distL="0" distR="0" wp14:anchorId="21C8D1CB" wp14:editId="5BE3CBDA">
            <wp:extent cx="6087780" cy="1876425"/>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7905" cy="1882628"/>
                    </a:xfrm>
                    <a:prstGeom prst="rect">
                      <a:avLst/>
                    </a:prstGeom>
                    <a:noFill/>
                  </pic:spPr>
                </pic:pic>
              </a:graphicData>
            </a:graphic>
          </wp:inline>
        </w:drawing>
      </w:r>
    </w:p>
    <w:p w14:paraId="25710BC2" w14:textId="2B508570" w:rsidR="007C4488" w:rsidRDefault="007C4488" w:rsidP="00313ED4">
      <w:pPr>
        <w:pStyle w:val="BodyText"/>
      </w:pPr>
    </w:p>
    <w:p w14:paraId="597F7DF9" w14:textId="54662A36" w:rsidR="00787F56" w:rsidRDefault="00787F56">
      <w:r>
        <w:br w:type="page"/>
      </w:r>
    </w:p>
    <w:p w14:paraId="04DAC954" w14:textId="5B9AB786" w:rsidR="009A56EF" w:rsidRDefault="009A56EF" w:rsidP="00313ED4">
      <w:pPr>
        <w:pStyle w:val="BodyText"/>
        <w:sectPr w:rsidR="009A56EF" w:rsidSect="00DA23A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361" w:right="1077" w:bottom="1304" w:left="1304" w:header="709" w:footer="454" w:gutter="0"/>
          <w:cols w:space="708"/>
          <w:docGrid w:linePitch="360"/>
        </w:sectPr>
      </w:pPr>
    </w:p>
    <w:p w14:paraId="11E2EC1A" w14:textId="4291907E" w:rsidR="007C4488" w:rsidRDefault="00AA1576" w:rsidP="00682C69">
      <w:pPr>
        <w:pStyle w:val="BodyText"/>
      </w:pPr>
      <w:r>
        <w:lastRenderedPageBreak/>
        <w:fldChar w:fldCharType="begin"/>
      </w:r>
      <w:r>
        <w:instrText xml:space="preserve"> REF _Ref17648531 \h </w:instrText>
      </w:r>
      <w:r>
        <w:fldChar w:fldCharType="separate"/>
      </w:r>
      <w:r w:rsidR="001032E2">
        <w:t xml:space="preserve">Figure </w:t>
      </w:r>
      <w:r w:rsidR="001032E2">
        <w:rPr>
          <w:noProof/>
        </w:rPr>
        <w:t>6</w:t>
      </w:r>
      <w:r>
        <w:fldChar w:fldCharType="end"/>
      </w:r>
      <w:r>
        <w:t xml:space="preserve"> </w:t>
      </w:r>
      <w:r w:rsidR="00787F56">
        <w:t xml:space="preserve">shows exports of </w:t>
      </w:r>
      <w:r w:rsidR="00313ED4">
        <w:t>all</w:t>
      </w:r>
      <w:r w:rsidR="00682C69">
        <w:t xml:space="preserve"> waste</w:t>
      </w:r>
      <w:r w:rsidR="00B23386">
        <w:t>-derived materials</w:t>
      </w:r>
      <w:r w:rsidR="00682C69">
        <w:t xml:space="preserve"> by destination</w:t>
      </w:r>
      <w:r w:rsidR="006A739D">
        <w:t xml:space="preserve"> over the past five years</w:t>
      </w:r>
      <w:r w:rsidR="00682C69">
        <w:t>, ranking the six destinations that received the most materials</w:t>
      </w:r>
      <w:r w:rsidR="00313ED4">
        <w:t xml:space="preserve"> </w:t>
      </w:r>
      <w:r w:rsidR="006A739D">
        <w:t>in 2018-19</w:t>
      </w:r>
      <w:r w:rsidR="00682C69">
        <w:t xml:space="preserve">. </w:t>
      </w:r>
    </w:p>
    <w:p w14:paraId="0ECFAC2B" w14:textId="297BB409" w:rsidR="007C4488" w:rsidRPr="004C29BB" w:rsidRDefault="007C4488" w:rsidP="004C29BB">
      <w:pPr>
        <w:pStyle w:val="BodyText"/>
      </w:pPr>
    </w:p>
    <w:p w14:paraId="6EEDE73D" w14:textId="77777777" w:rsidR="004C29BB" w:rsidRDefault="007C4488" w:rsidP="004C29BB">
      <w:pPr>
        <w:pStyle w:val="BodyText"/>
      </w:pPr>
      <w:r w:rsidRPr="004C29BB">
        <w:t xml:space="preserve">China was the top ranked destination in </w:t>
      </w:r>
      <w:r w:rsidR="00787F56" w:rsidRPr="004C29BB">
        <w:t>the first four</w:t>
      </w:r>
      <w:r w:rsidRPr="004C29BB">
        <w:t xml:space="preserve"> years </w:t>
      </w:r>
      <w:r w:rsidR="00787F56" w:rsidRPr="004C29BB">
        <w:t xml:space="preserve">but was overtaken in 2018-19 by </w:t>
      </w:r>
      <w:r w:rsidRPr="004C29BB">
        <w:t xml:space="preserve">Vietnam </w:t>
      </w:r>
      <w:r w:rsidR="00787F56" w:rsidRPr="004C29BB">
        <w:t>and Indonesia. All the countries listed other than China saw increases in volumes over the five-year timeframe, suggesting that materials formerly sent to China were dispersed across these countries</w:t>
      </w:r>
      <w:r w:rsidRPr="004C29BB">
        <w:t>.</w:t>
      </w:r>
      <w:bookmarkStart w:id="10" w:name="_Ref524614882"/>
    </w:p>
    <w:bookmarkEnd w:id="10"/>
    <w:p w14:paraId="596CF03B" w14:textId="77777777" w:rsidR="004C29BB" w:rsidRDefault="004C29BB" w:rsidP="004C29BB">
      <w:pPr>
        <w:pStyle w:val="BodyText"/>
      </w:pPr>
    </w:p>
    <w:p w14:paraId="02EC265C" w14:textId="2DFDA9F6" w:rsidR="00682C69" w:rsidRDefault="004C29BB" w:rsidP="004C29BB">
      <w:pPr>
        <w:pStyle w:val="Caption"/>
        <w:spacing w:before="0"/>
      </w:pPr>
      <w:r>
        <w:br w:type="column"/>
      </w:r>
      <w:bookmarkStart w:id="11" w:name="_Ref17648531"/>
      <w:r>
        <w:t xml:space="preserve">Figure </w:t>
      </w:r>
      <w:fldSimple w:instr=" SEQ Figure \* ARABIC ">
        <w:r w:rsidR="001032E2">
          <w:rPr>
            <w:noProof/>
          </w:rPr>
          <w:t>6</w:t>
        </w:r>
      </w:fldSimple>
      <w:bookmarkEnd w:id="11"/>
      <w:r>
        <w:tab/>
        <w:t xml:space="preserve"> Exports of waste from Australia by financial year, showing the top six recipient destinations</w:t>
      </w:r>
      <w:r w:rsidR="00C96013">
        <w:t xml:space="preserve"> (millions of tonnes)</w:t>
      </w:r>
    </w:p>
    <w:p w14:paraId="6AD39AD6" w14:textId="195D8904" w:rsidR="004C29BB" w:rsidRDefault="007F5F45" w:rsidP="004C29BB">
      <w:pPr>
        <w:pStyle w:val="BodyText"/>
      </w:pPr>
      <w:r>
        <w:rPr>
          <w:noProof/>
          <w:lang w:eastAsia="en-AU"/>
        </w:rPr>
        <w:drawing>
          <wp:inline distT="0" distB="0" distL="0" distR="0" wp14:anchorId="4E536198" wp14:editId="59151899">
            <wp:extent cx="345694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6940" cy="2524125"/>
                    </a:xfrm>
                    <a:prstGeom prst="rect">
                      <a:avLst/>
                    </a:prstGeom>
                    <a:noFill/>
                  </pic:spPr>
                </pic:pic>
              </a:graphicData>
            </a:graphic>
          </wp:inline>
        </w:drawing>
      </w:r>
    </w:p>
    <w:p w14:paraId="49197F40" w14:textId="77777777" w:rsidR="005F693F" w:rsidRDefault="005F693F" w:rsidP="009C3CB6">
      <w:pPr>
        <w:pStyle w:val="BodyText"/>
        <w:jc w:val="center"/>
        <w:sectPr w:rsidR="005F693F" w:rsidSect="004C29BB">
          <w:type w:val="continuous"/>
          <w:pgSz w:w="11906" w:h="16838" w:code="9"/>
          <w:pgMar w:top="1361" w:right="1077" w:bottom="1134" w:left="1304" w:header="709" w:footer="454" w:gutter="0"/>
          <w:cols w:num="2" w:space="851" w:equalWidth="0">
            <w:col w:w="3686" w:space="851"/>
            <w:col w:w="4988"/>
          </w:cols>
          <w:docGrid w:linePitch="360"/>
        </w:sectPr>
      </w:pPr>
    </w:p>
    <w:p w14:paraId="7233A1B9" w14:textId="03245D0B" w:rsidR="007A7E21" w:rsidRDefault="00D44B37" w:rsidP="007A7E21">
      <w:pPr>
        <w:pStyle w:val="Heading2nonumber"/>
      </w:pPr>
      <w:r>
        <w:t>2018-19</w:t>
      </w:r>
      <w:r w:rsidR="007A7E21">
        <w:t xml:space="preserve"> in focus</w:t>
      </w:r>
    </w:p>
    <w:p w14:paraId="24CCD1A2" w14:textId="29AD7A52" w:rsidR="00AE626C" w:rsidRDefault="00E853E2" w:rsidP="008807B5">
      <w:pPr>
        <w:pStyle w:val="BodyText"/>
      </w:pPr>
      <w:r>
        <w:fldChar w:fldCharType="begin"/>
      </w:r>
      <w:r>
        <w:instrText xml:space="preserve"> REF _Ref524614889 \h </w:instrText>
      </w:r>
      <w:r>
        <w:fldChar w:fldCharType="separate"/>
      </w:r>
      <w:r w:rsidR="001032E2">
        <w:t xml:space="preserve">Figure </w:t>
      </w:r>
      <w:r w:rsidR="001032E2">
        <w:rPr>
          <w:noProof/>
        </w:rPr>
        <w:t>7</w:t>
      </w:r>
      <w:r>
        <w:fldChar w:fldCharType="end"/>
      </w:r>
      <w:r w:rsidR="008807B5">
        <w:t xml:space="preserve"> shows </w:t>
      </w:r>
      <w:r w:rsidR="00B27C38">
        <w:t>monthly exports of waste</w:t>
      </w:r>
      <w:r w:rsidR="00B23386">
        <w:t>-derived materials</w:t>
      </w:r>
      <w:r w:rsidR="00B27C38">
        <w:t xml:space="preserve"> by category.</w:t>
      </w:r>
      <w:r w:rsidR="002F3DD7">
        <w:t xml:space="preserve"> The figure contains two charts with different vertical axes so that the pattern for each material can be readily seen. </w:t>
      </w:r>
    </w:p>
    <w:p w14:paraId="010BB8CF" w14:textId="77777777" w:rsidR="00AE626C" w:rsidRDefault="00AE626C" w:rsidP="008807B5">
      <w:pPr>
        <w:pStyle w:val="BodyText"/>
      </w:pPr>
    </w:p>
    <w:p w14:paraId="333333BC" w14:textId="436CBBD3" w:rsidR="00AE626C" w:rsidRDefault="002F3DD7" w:rsidP="008807B5">
      <w:pPr>
        <w:pStyle w:val="BodyText"/>
      </w:pPr>
      <w:r>
        <w:t>Starting with the chart to the left, m</w:t>
      </w:r>
      <w:r w:rsidR="00B27C38">
        <w:t>etals quantities</w:t>
      </w:r>
      <w:r>
        <w:t xml:space="preserve"> </w:t>
      </w:r>
      <w:r w:rsidR="00AE626C">
        <w:t>were the most variable</w:t>
      </w:r>
      <w:r w:rsidR="00B27C38">
        <w:t xml:space="preserve">, due to </w:t>
      </w:r>
      <w:r w:rsidR="00AE626C">
        <w:t xml:space="preserve">uneven quantities of the </w:t>
      </w:r>
      <w:r w:rsidR="00B27C38">
        <w:t xml:space="preserve">ferrous </w:t>
      </w:r>
      <w:r w:rsidR="00B23386">
        <w:t>scrap</w:t>
      </w:r>
      <w:r w:rsidR="00B27C38">
        <w:t xml:space="preserve"> and mixed metal waste </w:t>
      </w:r>
      <w:r w:rsidR="00AE626C">
        <w:t xml:space="preserve">grades. </w:t>
      </w:r>
      <w:r w:rsidR="004F53FB">
        <w:t xml:space="preserve">The top destinations – </w:t>
      </w:r>
      <w:r w:rsidR="00AE626C">
        <w:t xml:space="preserve">Vietnam, Indonesia and India </w:t>
      </w:r>
      <w:r w:rsidR="004F53FB">
        <w:t>– received 1.15 million tonnes (</w:t>
      </w:r>
      <w:r w:rsidR="00AE626C">
        <w:t>58%</w:t>
      </w:r>
      <w:r w:rsidR="004F53FB">
        <w:t>)</w:t>
      </w:r>
      <w:r>
        <w:t xml:space="preserve"> over the year</w:t>
      </w:r>
      <w:r w:rsidR="004F53FB">
        <w:t xml:space="preserve">. </w:t>
      </w:r>
      <w:r w:rsidR="00883A80">
        <w:t>Monthly exports of scrap paper and cardboard remained level in 2018-19. China was the biggest recipient, accepting 540,400 tonnes (48%).</w:t>
      </w:r>
      <w:r w:rsidR="004F53FB">
        <w:t xml:space="preserve"> Plastics also remained consistent. Indonesia and Malaysia were the top recipients at 118,000 tonnes (63%)</w:t>
      </w:r>
      <w:r>
        <w:t xml:space="preserve"> over the year</w:t>
      </w:r>
      <w:r w:rsidR="004F53FB">
        <w:t>.</w:t>
      </w:r>
    </w:p>
    <w:p w14:paraId="627F1962" w14:textId="3D6E5E20" w:rsidR="00B27C38" w:rsidRDefault="00B27C38" w:rsidP="008807B5">
      <w:pPr>
        <w:pStyle w:val="BodyText"/>
      </w:pPr>
    </w:p>
    <w:p w14:paraId="64C2FFA3" w14:textId="59CF05BA" w:rsidR="004F53FB" w:rsidRDefault="002F3DD7" w:rsidP="008807B5">
      <w:pPr>
        <w:pStyle w:val="BodyText"/>
      </w:pPr>
      <w:r>
        <w:t xml:space="preserve">The chart to the right shows </w:t>
      </w:r>
      <w:r w:rsidR="004967FE">
        <w:t xml:space="preserve">hazardous and other waste exports. </w:t>
      </w:r>
      <w:r w:rsidR="004F53FB">
        <w:t>The hazardous category</w:t>
      </w:r>
      <w:r w:rsidR="005130B0">
        <w:t>, comprising mainly metal processing wastes and end-of-life tyres,</w:t>
      </w:r>
      <w:r w:rsidR="004F53FB">
        <w:t xml:space="preserve"> remained relatively stable</w:t>
      </w:r>
      <w:r w:rsidR="005130B0">
        <w:t xml:space="preserve">. The </w:t>
      </w:r>
      <w:r w:rsidR="004F53FB">
        <w:t xml:space="preserve">‘other’ </w:t>
      </w:r>
      <w:r w:rsidR="005130B0">
        <w:t>categor</w:t>
      </w:r>
      <w:r w:rsidR="000C77CA">
        <w:t>y</w:t>
      </w:r>
      <w:r w:rsidR="005130B0">
        <w:t xml:space="preserve"> </w:t>
      </w:r>
      <w:r w:rsidR="004F53FB">
        <w:t xml:space="preserve">varied widely, mainly due to varied quantities of </w:t>
      </w:r>
      <w:r w:rsidR="00AF3436">
        <w:t>organics.</w:t>
      </w:r>
      <w:r w:rsidR="005130B0">
        <w:t xml:space="preserve"> This category also includes glass and textiles.</w:t>
      </w:r>
    </w:p>
    <w:p w14:paraId="427F8486" w14:textId="3425AEF8" w:rsidR="00B27C38" w:rsidRDefault="00B27C38" w:rsidP="00B27C38">
      <w:pPr>
        <w:pStyle w:val="Caption"/>
        <w:spacing w:after="120"/>
      </w:pPr>
      <w:bookmarkStart w:id="12" w:name="_Ref524614889"/>
      <w:r>
        <w:t xml:space="preserve">Figure </w:t>
      </w:r>
      <w:r>
        <w:rPr>
          <w:noProof/>
        </w:rPr>
        <w:fldChar w:fldCharType="begin"/>
      </w:r>
      <w:r>
        <w:rPr>
          <w:noProof/>
        </w:rPr>
        <w:instrText xml:space="preserve"> SEQ Figure \* ARABIC </w:instrText>
      </w:r>
      <w:r>
        <w:rPr>
          <w:noProof/>
        </w:rPr>
        <w:fldChar w:fldCharType="separate"/>
      </w:r>
      <w:r w:rsidR="001032E2">
        <w:rPr>
          <w:noProof/>
        </w:rPr>
        <w:t>7</w:t>
      </w:r>
      <w:r>
        <w:rPr>
          <w:noProof/>
        </w:rPr>
        <w:fldChar w:fldCharType="end"/>
      </w:r>
      <w:bookmarkEnd w:id="12"/>
      <w:r>
        <w:tab/>
      </w:r>
      <w:r w:rsidRPr="00B27C38">
        <w:t>Monthly trend of total exports by material, 2018-19</w:t>
      </w:r>
      <w:r w:rsidR="00C96013">
        <w:t xml:space="preserve"> (thousands of tonnes)</w:t>
      </w:r>
    </w:p>
    <w:p w14:paraId="310BD303" w14:textId="77777777" w:rsidR="00B27C38" w:rsidRDefault="00B27C38" w:rsidP="00B27C38">
      <w:pPr>
        <w:pStyle w:val="BodyText"/>
      </w:pPr>
      <w:r>
        <w:rPr>
          <w:noProof/>
          <w:lang w:eastAsia="en-AU"/>
        </w:rPr>
        <w:drawing>
          <wp:inline distT="0" distB="0" distL="0" distR="0" wp14:anchorId="2DAAD4C3" wp14:editId="0DB0F8F0">
            <wp:extent cx="6048375" cy="227436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8375" cy="2274363"/>
                    </a:xfrm>
                    <a:prstGeom prst="rect">
                      <a:avLst/>
                    </a:prstGeom>
                    <a:noFill/>
                  </pic:spPr>
                </pic:pic>
              </a:graphicData>
            </a:graphic>
          </wp:inline>
        </w:drawing>
      </w:r>
    </w:p>
    <w:p w14:paraId="6F384302" w14:textId="2F0D0736" w:rsidR="00471095" w:rsidRDefault="00E853E2" w:rsidP="00471095">
      <w:pPr>
        <w:pStyle w:val="BodyText"/>
      </w:pPr>
      <w:r w:rsidRPr="001061CA">
        <w:fldChar w:fldCharType="begin"/>
      </w:r>
      <w:r w:rsidRPr="001061CA">
        <w:instrText xml:space="preserve"> REF _Ref524614896 \h </w:instrText>
      </w:r>
      <w:r w:rsidR="001061CA">
        <w:instrText xml:space="preserve"> \* MERGEFORMAT </w:instrText>
      </w:r>
      <w:r w:rsidRPr="001061CA">
        <w:fldChar w:fldCharType="separate"/>
      </w:r>
      <w:r w:rsidR="001032E2">
        <w:t xml:space="preserve">Figure </w:t>
      </w:r>
      <w:r w:rsidR="001032E2">
        <w:rPr>
          <w:noProof/>
        </w:rPr>
        <w:t>8</w:t>
      </w:r>
      <w:r w:rsidRPr="001061CA">
        <w:fldChar w:fldCharType="end"/>
      </w:r>
      <w:r w:rsidR="00471095" w:rsidRPr="001061CA">
        <w:t xml:space="preserve"> shows exports from Australia in </w:t>
      </w:r>
      <w:r w:rsidR="00B90899">
        <w:t>2018-19</w:t>
      </w:r>
      <w:r w:rsidR="00471095" w:rsidRPr="001061CA">
        <w:t xml:space="preserve"> by month, </w:t>
      </w:r>
      <w:r w:rsidR="003B443A" w:rsidRPr="001061CA">
        <w:t>again ranking the six destinations receiv</w:t>
      </w:r>
      <w:r w:rsidR="00313ED4" w:rsidRPr="001061CA">
        <w:t>ing</w:t>
      </w:r>
      <w:r w:rsidR="003B443A" w:rsidRPr="001061CA">
        <w:t xml:space="preserve"> the most materials</w:t>
      </w:r>
      <w:r w:rsidR="00C92105">
        <w:t xml:space="preserve"> in the year</w:t>
      </w:r>
      <w:r w:rsidR="001004C1">
        <w:t xml:space="preserve"> (ranked from the bottom)</w:t>
      </w:r>
      <w:r w:rsidR="003B443A" w:rsidRPr="001061CA">
        <w:t>.</w:t>
      </w:r>
      <w:r w:rsidR="00721AB7" w:rsidRPr="001061CA">
        <w:t xml:space="preserve"> </w:t>
      </w:r>
      <w:r w:rsidR="001004C1">
        <w:t xml:space="preserve">Vietnam was our biggest export destination, mainly due to receiving large quantities of scrap metals. </w:t>
      </w:r>
    </w:p>
    <w:p w14:paraId="4B1B373C" w14:textId="77777777" w:rsidR="004967FE" w:rsidRDefault="004967FE" w:rsidP="00471095">
      <w:pPr>
        <w:pStyle w:val="BodyText"/>
      </w:pPr>
    </w:p>
    <w:p w14:paraId="5C6F9E62" w14:textId="0B0CC047" w:rsidR="00471095" w:rsidRDefault="00471095" w:rsidP="0029695A">
      <w:pPr>
        <w:pStyle w:val="Caption"/>
        <w:spacing w:after="120"/>
      </w:pPr>
      <w:bookmarkStart w:id="13" w:name="_Ref524614896"/>
      <w:r>
        <w:lastRenderedPageBreak/>
        <w:t xml:space="preserve">Figure </w:t>
      </w:r>
      <w:r>
        <w:rPr>
          <w:noProof/>
        </w:rPr>
        <w:fldChar w:fldCharType="begin"/>
      </w:r>
      <w:r>
        <w:rPr>
          <w:noProof/>
        </w:rPr>
        <w:instrText xml:space="preserve"> SEQ Figure \* ARABIC </w:instrText>
      </w:r>
      <w:r>
        <w:rPr>
          <w:noProof/>
        </w:rPr>
        <w:fldChar w:fldCharType="separate"/>
      </w:r>
      <w:r w:rsidR="001032E2">
        <w:rPr>
          <w:noProof/>
        </w:rPr>
        <w:t>8</w:t>
      </w:r>
      <w:r>
        <w:rPr>
          <w:noProof/>
        </w:rPr>
        <w:fldChar w:fldCharType="end"/>
      </w:r>
      <w:bookmarkEnd w:id="13"/>
      <w:r>
        <w:tab/>
        <w:t>Exports of waste from Australia by</w:t>
      </w:r>
      <w:r w:rsidR="003B443A">
        <w:t xml:space="preserve"> destination and</w:t>
      </w:r>
      <w:r>
        <w:t xml:space="preserve"> month, </w:t>
      </w:r>
      <w:r w:rsidR="0056710B">
        <w:t>2018-19</w:t>
      </w:r>
      <w:r w:rsidR="00C96013">
        <w:t xml:space="preserve"> (thousands of tonnes)</w:t>
      </w:r>
    </w:p>
    <w:p w14:paraId="326BC1F8" w14:textId="11068634" w:rsidR="00B27C38" w:rsidRPr="00B27C38" w:rsidRDefault="007F5F45" w:rsidP="00B27C38">
      <w:pPr>
        <w:pStyle w:val="BodyText"/>
      </w:pPr>
      <w:r>
        <w:rPr>
          <w:noProof/>
          <w:lang w:eastAsia="en-AU"/>
        </w:rPr>
        <w:drawing>
          <wp:inline distT="0" distB="0" distL="0" distR="0" wp14:anchorId="42573B6D" wp14:editId="0234C3FD">
            <wp:extent cx="6044565" cy="2695575"/>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D49358-79FF-4E4C-B6D3-E81D45DB8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D21919" w14:textId="77777777" w:rsidR="0039652B" w:rsidRDefault="0039652B" w:rsidP="009806B1">
      <w:pPr>
        <w:pStyle w:val="BodyText"/>
        <w:sectPr w:rsidR="0039652B" w:rsidSect="0093510B">
          <w:type w:val="continuous"/>
          <w:pgSz w:w="11906" w:h="16838" w:code="9"/>
          <w:pgMar w:top="1361" w:right="1077" w:bottom="1134" w:left="1304" w:header="709" w:footer="454" w:gutter="0"/>
          <w:cols w:space="708"/>
          <w:docGrid w:linePitch="360"/>
        </w:sectPr>
      </w:pPr>
    </w:p>
    <w:p w14:paraId="79921C0F" w14:textId="77777777" w:rsidR="0039652B" w:rsidRDefault="0039652B" w:rsidP="009806B1">
      <w:pPr>
        <w:pStyle w:val="BodyText"/>
      </w:pPr>
    </w:p>
    <w:p w14:paraId="5284ED10" w14:textId="1D313453" w:rsidR="00E613FF" w:rsidRDefault="00D33738" w:rsidP="009806B1">
      <w:pPr>
        <w:pStyle w:val="BodyText"/>
      </w:pPr>
      <w:r>
        <w:t>Australia</w:t>
      </w:r>
      <w:r w:rsidR="007A7E21">
        <w:t xml:space="preserve">’s </w:t>
      </w:r>
      <w:r w:rsidR="0056710B">
        <w:t>2018-19</w:t>
      </w:r>
      <w:r w:rsidR="007A7E21">
        <w:t xml:space="preserve"> exports of</w:t>
      </w:r>
      <w:r>
        <w:t xml:space="preserve"> w</w:t>
      </w:r>
      <w:r w:rsidR="009806B1">
        <w:t>aste</w:t>
      </w:r>
      <w:r w:rsidR="00B23386">
        <w:t>-derived</w:t>
      </w:r>
      <w:r>
        <w:t xml:space="preserve"> </w:t>
      </w:r>
      <w:r w:rsidR="007A7E21">
        <w:t>materials</w:t>
      </w:r>
      <w:r>
        <w:t xml:space="preserve"> were </w:t>
      </w:r>
      <w:r w:rsidR="00975522">
        <w:t>export</w:t>
      </w:r>
      <w:r>
        <w:t xml:space="preserve">ed </w:t>
      </w:r>
      <w:r w:rsidR="009806B1">
        <w:t>from ports in the jurisdictions shown</w:t>
      </w:r>
      <w:r>
        <w:t xml:space="preserve"> in</w:t>
      </w:r>
      <w:r w:rsidR="00F34298">
        <w:t xml:space="preserve"> </w:t>
      </w:r>
      <w:r w:rsidR="00F34298">
        <w:fldChar w:fldCharType="begin"/>
      </w:r>
      <w:r w:rsidR="00F34298">
        <w:instrText xml:space="preserve"> REF _Ref17648775 \h </w:instrText>
      </w:r>
      <w:r w:rsidR="00F34298">
        <w:fldChar w:fldCharType="separate"/>
      </w:r>
      <w:r w:rsidR="001032E2">
        <w:t xml:space="preserve">Figure </w:t>
      </w:r>
      <w:r w:rsidR="001032E2">
        <w:rPr>
          <w:noProof/>
        </w:rPr>
        <w:t>9</w:t>
      </w:r>
      <w:r w:rsidR="00F34298">
        <w:fldChar w:fldCharType="end"/>
      </w:r>
      <w:r>
        <w:t xml:space="preserve">. </w:t>
      </w:r>
      <w:r w:rsidR="009806B1">
        <w:t xml:space="preserve">The fact that material was exported from a jurisdiction does not necessarily mean it was generated </w:t>
      </w:r>
      <w:r w:rsidR="00182224">
        <w:t>with</w:t>
      </w:r>
      <w:r w:rsidR="009806B1">
        <w:t>in that jurisdiction</w:t>
      </w:r>
      <w:r w:rsidR="00FC04C1">
        <w:t xml:space="preserve"> – it may have been transported from interstate.</w:t>
      </w:r>
      <w:r w:rsidR="00B615CE">
        <w:t xml:space="preserve"> In 2018-19</w:t>
      </w:r>
      <w:r w:rsidR="00200A99">
        <w:t xml:space="preserve"> Queensland exported the most metals, Victoria the most paper and cardboard and NSW the most plastics.</w:t>
      </w:r>
    </w:p>
    <w:p w14:paraId="50875A60" w14:textId="0D6490B5" w:rsidR="009806B1" w:rsidRDefault="0039652B" w:rsidP="0039652B">
      <w:pPr>
        <w:pStyle w:val="Caption"/>
        <w:spacing w:before="0" w:after="120"/>
        <w:rPr>
          <w:i w:val="0"/>
          <w:szCs w:val="22"/>
        </w:rPr>
      </w:pPr>
      <w:bookmarkStart w:id="14" w:name="_Ref524614902"/>
      <w:r w:rsidRPr="00F34298">
        <w:rPr>
          <w:rStyle w:val="BodyTextChar"/>
        </w:rPr>
        <w:br w:type="column"/>
      </w:r>
      <w:bookmarkStart w:id="15" w:name="_Ref17648775"/>
      <w:r w:rsidR="00D33738">
        <w:t xml:space="preserve">Figure </w:t>
      </w:r>
      <w:r w:rsidR="00871CD9">
        <w:rPr>
          <w:noProof/>
        </w:rPr>
        <w:fldChar w:fldCharType="begin"/>
      </w:r>
      <w:r w:rsidR="00871CD9">
        <w:rPr>
          <w:noProof/>
        </w:rPr>
        <w:instrText xml:space="preserve"> SEQ Figure \* ARABIC </w:instrText>
      </w:r>
      <w:r w:rsidR="00871CD9">
        <w:rPr>
          <w:noProof/>
        </w:rPr>
        <w:fldChar w:fldCharType="separate"/>
      </w:r>
      <w:r w:rsidR="001032E2">
        <w:rPr>
          <w:noProof/>
        </w:rPr>
        <w:t>9</w:t>
      </w:r>
      <w:r w:rsidR="00871CD9">
        <w:rPr>
          <w:noProof/>
        </w:rPr>
        <w:fldChar w:fldCharType="end"/>
      </w:r>
      <w:bookmarkEnd w:id="14"/>
      <w:bookmarkEnd w:id="15"/>
      <w:r w:rsidR="00CA6391">
        <w:tab/>
      </w:r>
      <w:r w:rsidR="009806B1" w:rsidRPr="009806B1">
        <w:rPr>
          <w:szCs w:val="22"/>
        </w:rPr>
        <w:t>Australian</w:t>
      </w:r>
      <w:r w:rsidR="00B802FF">
        <w:rPr>
          <w:szCs w:val="22"/>
        </w:rPr>
        <w:t xml:space="preserve"> </w:t>
      </w:r>
      <w:r w:rsidR="0056710B">
        <w:rPr>
          <w:szCs w:val="22"/>
        </w:rPr>
        <w:t>2018-19</w:t>
      </w:r>
      <w:r w:rsidR="00B802FF">
        <w:rPr>
          <w:szCs w:val="22"/>
        </w:rPr>
        <w:t xml:space="preserve"> </w:t>
      </w:r>
      <w:r w:rsidR="009F5258">
        <w:rPr>
          <w:szCs w:val="22"/>
        </w:rPr>
        <w:t xml:space="preserve">waste </w:t>
      </w:r>
      <w:r w:rsidR="00B802FF">
        <w:rPr>
          <w:szCs w:val="22"/>
        </w:rPr>
        <w:t xml:space="preserve">exports </w:t>
      </w:r>
      <w:r w:rsidR="00243155">
        <w:rPr>
          <w:szCs w:val="22"/>
        </w:rPr>
        <w:t xml:space="preserve">by </w:t>
      </w:r>
      <w:r w:rsidR="00DB39E5">
        <w:rPr>
          <w:szCs w:val="22"/>
        </w:rPr>
        <w:t>jurisdiction of origin</w:t>
      </w:r>
      <w:r w:rsidR="00C96013">
        <w:rPr>
          <w:szCs w:val="22"/>
        </w:rPr>
        <w:t xml:space="preserve"> (thousands of tonnes)</w:t>
      </w:r>
    </w:p>
    <w:p w14:paraId="73A2ED5D" w14:textId="3797B128" w:rsidR="000742A2" w:rsidRDefault="00C92105" w:rsidP="009B61C8">
      <w:pPr>
        <w:pStyle w:val="BodyText"/>
        <w:jc w:val="right"/>
      </w:pPr>
      <w:r w:rsidRPr="00C92105">
        <w:t xml:space="preserve"> </w:t>
      </w:r>
      <w:r w:rsidR="00B615CE">
        <w:rPr>
          <w:noProof/>
          <w:lang w:eastAsia="en-AU"/>
        </w:rPr>
        <w:drawing>
          <wp:inline distT="0" distB="0" distL="0" distR="0" wp14:anchorId="708CA731" wp14:editId="00F75FF0">
            <wp:extent cx="3917315" cy="2040704"/>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43385" cy="2054285"/>
                    </a:xfrm>
                    <a:prstGeom prst="rect">
                      <a:avLst/>
                    </a:prstGeom>
                    <a:noFill/>
                  </pic:spPr>
                </pic:pic>
              </a:graphicData>
            </a:graphic>
          </wp:inline>
        </w:drawing>
      </w:r>
    </w:p>
    <w:p w14:paraId="698B2465" w14:textId="77777777" w:rsidR="0039652B" w:rsidRDefault="0039652B" w:rsidP="005D1801">
      <w:pPr>
        <w:pStyle w:val="BodyText"/>
        <w:sectPr w:rsidR="0039652B" w:rsidSect="009B61C8">
          <w:type w:val="continuous"/>
          <w:pgSz w:w="11906" w:h="16838" w:code="9"/>
          <w:pgMar w:top="1361" w:right="1077" w:bottom="1134" w:left="1304" w:header="709" w:footer="454" w:gutter="0"/>
          <w:cols w:num="2" w:space="567" w:equalWidth="0">
            <w:col w:w="3119" w:space="567"/>
            <w:col w:w="5839"/>
          </w:cols>
          <w:docGrid w:linePitch="360"/>
        </w:sectPr>
      </w:pPr>
    </w:p>
    <w:p w14:paraId="7C523985" w14:textId="7919B03E" w:rsidR="000742A2" w:rsidRDefault="000742A2" w:rsidP="005D1801">
      <w:pPr>
        <w:pStyle w:val="BodyText"/>
      </w:pPr>
    </w:p>
    <w:p w14:paraId="605DEF29" w14:textId="77777777" w:rsidR="00846447" w:rsidRDefault="00846447" w:rsidP="00B53831">
      <w:pPr>
        <w:pStyle w:val="BodyText"/>
      </w:pPr>
      <w:bookmarkStart w:id="16" w:name="_Ref17149444"/>
    </w:p>
    <w:p w14:paraId="796A3F64" w14:textId="04587AF7" w:rsidR="00B53831" w:rsidRDefault="00F34298" w:rsidP="00B53831">
      <w:pPr>
        <w:pStyle w:val="BodyText"/>
      </w:pPr>
      <w:r>
        <w:fldChar w:fldCharType="begin"/>
      </w:r>
      <w:r>
        <w:instrText xml:space="preserve"> REF _Ref17648827 \h </w:instrText>
      </w:r>
      <w:r>
        <w:fldChar w:fldCharType="separate"/>
      </w:r>
      <w:r w:rsidR="001032E2">
        <w:t xml:space="preserve">Figure </w:t>
      </w:r>
      <w:r w:rsidR="001032E2">
        <w:rPr>
          <w:noProof/>
        </w:rPr>
        <w:t>10</w:t>
      </w:r>
      <w:r>
        <w:fldChar w:fldCharType="end"/>
      </w:r>
      <w:r>
        <w:t xml:space="preserve"> </w:t>
      </w:r>
      <w:r w:rsidR="00B53831" w:rsidRPr="00B53831">
        <w:t>presents monthly trends in the unit prices of key waste</w:t>
      </w:r>
      <w:r w:rsidR="00B23386">
        <w:t>-derived material</w:t>
      </w:r>
      <w:r w:rsidR="00B53831" w:rsidRPr="00B53831">
        <w:t xml:space="preserve"> exports </w:t>
      </w:r>
      <w:r w:rsidR="00846447">
        <w:t>over</w:t>
      </w:r>
      <w:r w:rsidR="00312216">
        <w:t xml:space="preserve"> 2018-19. </w:t>
      </w:r>
      <w:r w:rsidR="009B61C8">
        <w:t>Comparing the start and end of the year, a</w:t>
      </w:r>
      <w:r w:rsidR="00846447">
        <w:t xml:space="preserve">verage </w:t>
      </w:r>
      <w:r w:rsidR="00CB2175">
        <w:t>prices for metals</w:t>
      </w:r>
      <w:r w:rsidR="00846447">
        <w:t xml:space="preserve"> declined by </w:t>
      </w:r>
      <w:r w:rsidR="009B61C8">
        <w:t xml:space="preserve">25%; </w:t>
      </w:r>
      <w:r w:rsidR="00312216">
        <w:t>paper and cardboard</w:t>
      </w:r>
      <w:r w:rsidR="009B61C8">
        <w:t xml:space="preserve"> by 19%; and plastics by 7%. However, 2018-19 average prices for metals and paper and cardboard exceed those for 2017-18. Plastics, on the other hand, were 14% lower</w:t>
      </w:r>
      <w:r w:rsidR="004D234B">
        <w:t>, mainly due to falling prices for mixed plastics.</w:t>
      </w:r>
    </w:p>
    <w:p w14:paraId="68770FA9" w14:textId="4E323710" w:rsidR="003836B5" w:rsidRDefault="00846447" w:rsidP="00B53831">
      <w:pPr>
        <w:pStyle w:val="Caption"/>
      </w:pPr>
      <w:bookmarkStart w:id="17" w:name="_Ref17643541"/>
      <w:r w:rsidRPr="00F34298">
        <w:rPr>
          <w:rStyle w:val="BodyTextChar"/>
        </w:rPr>
        <w:br w:type="column"/>
      </w:r>
      <w:bookmarkStart w:id="18" w:name="_Ref17648827"/>
      <w:r w:rsidR="00B53831">
        <w:t xml:space="preserve">Figure </w:t>
      </w:r>
      <w:fldSimple w:instr=" SEQ Figure \* ARABIC ">
        <w:r w:rsidR="001032E2">
          <w:rPr>
            <w:noProof/>
          </w:rPr>
          <w:t>10</w:t>
        </w:r>
      </w:fldSimple>
      <w:bookmarkEnd w:id="16"/>
      <w:bookmarkEnd w:id="17"/>
      <w:bookmarkEnd w:id="18"/>
      <w:r w:rsidR="00B53831">
        <w:tab/>
        <w:t xml:space="preserve">Comparison of unit prices by material, July </w:t>
      </w:r>
      <w:r w:rsidR="009E7525">
        <w:t>-</w:t>
      </w:r>
      <w:r w:rsidR="00B53831">
        <w:t xml:space="preserve">June </w:t>
      </w:r>
      <w:r w:rsidR="009E7525">
        <w:t>2018-</w:t>
      </w:r>
      <w:r w:rsidR="00B53831">
        <w:t>19</w:t>
      </w:r>
      <w:r w:rsidR="00C96013">
        <w:t xml:space="preserve"> ($/tonne)</w:t>
      </w:r>
    </w:p>
    <w:p w14:paraId="3AA0A973" w14:textId="09E032D4" w:rsidR="003836B5" w:rsidRDefault="004D234B" w:rsidP="00846447">
      <w:pPr>
        <w:pStyle w:val="BodyText"/>
        <w:jc w:val="center"/>
      </w:pPr>
      <w:r>
        <w:rPr>
          <w:noProof/>
          <w:lang w:eastAsia="en-AU"/>
        </w:rPr>
        <w:drawing>
          <wp:inline distT="0" distB="0" distL="0" distR="0" wp14:anchorId="2829D833" wp14:editId="45F30915">
            <wp:extent cx="3299346" cy="2171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4982" cy="2188574"/>
                    </a:xfrm>
                    <a:prstGeom prst="rect">
                      <a:avLst/>
                    </a:prstGeom>
                    <a:noFill/>
                  </pic:spPr>
                </pic:pic>
              </a:graphicData>
            </a:graphic>
          </wp:inline>
        </w:drawing>
      </w:r>
    </w:p>
    <w:p w14:paraId="40917F90" w14:textId="77777777" w:rsidR="003836B5" w:rsidRDefault="003836B5" w:rsidP="005D1801">
      <w:pPr>
        <w:pStyle w:val="BodyText"/>
      </w:pPr>
    </w:p>
    <w:p w14:paraId="46988364" w14:textId="77777777" w:rsidR="00846447" w:rsidRDefault="00846447" w:rsidP="0035086C">
      <w:pPr>
        <w:pStyle w:val="BodyText"/>
        <w:rPr>
          <w:b/>
        </w:rPr>
        <w:sectPr w:rsidR="00846447" w:rsidSect="009B61C8">
          <w:type w:val="continuous"/>
          <w:pgSz w:w="11906" w:h="16838" w:code="9"/>
          <w:pgMar w:top="1361" w:right="1077" w:bottom="1134" w:left="1304" w:header="709" w:footer="454" w:gutter="0"/>
          <w:cols w:num="2" w:space="567" w:equalWidth="0">
            <w:col w:w="3119" w:space="567"/>
            <w:col w:w="5839"/>
          </w:cols>
          <w:docGrid w:linePitch="360"/>
        </w:sectPr>
      </w:pPr>
    </w:p>
    <w:p w14:paraId="0E2F0FBB" w14:textId="77777777" w:rsidR="00B06277" w:rsidRDefault="00B06277">
      <w:pPr>
        <w:rPr>
          <w:b/>
        </w:rPr>
      </w:pPr>
      <w:r>
        <w:rPr>
          <w:b/>
        </w:rPr>
        <w:br w:type="page"/>
      </w:r>
    </w:p>
    <w:p w14:paraId="32A69206" w14:textId="268AFAE5" w:rsidR="00B06277" w:rsidRDefault="00B06277" w:rsidP="00B06277">
      <w:pPr>
        <w:pStyle w:val="Heading2nonumber"/>
      </w:pPr>
      <w:r>
        <w:lastRenderedPageBreak/>
        <w:t>June 2019 in focus</w:t>
      </w:r>
    </w:p>
    <w:p w14:paraId="5EEBA1A4" w14:textId="3D7B01A7" w:rsidR="0035086C" w:rsidRDefault="0035086C" w:rsidP="0035086C">
      <w:pPr>
        <w:pStyle w:val="BodyText"/>
      </w:pPr>
      <w:r>
        <w:t>In June, Australia exported about 473,000 tonnes of waste</w:t>
      </w:r>
      <w:r w:rsidR="00B23386">
        <w:t>-derived materials</w:t>
      </w:r>
      <w:r>
        <w:t xml:space="preserve"> with a </w:t>
      </w:r>
      <w:r w:rsidR="00B23386">
        <w:t xml:space="preserve">reported </w:t>
      </w:r>
      <w:r>
        <w:t>value of A$</w:t>
      </w:r>
      <w:r w:rsidR="00844F44">
        <w:t>2</w:t>
      </w:r>
      <w:r w:rsidR="00D01493">
        <w:t>72</w:t>
      </w:r>
      <w:r>
        <w:t xml:space="preserve"> million. </w:t>
      </w:r>
      <w:r w:rsidR="00B06277">
        <w:t>Compared with May, t</w:t>
      </w:r>
      <w:r>
        <w:t xml:space="preserve">his </w:t>
      </w:r>
      <w:r w:rsidR="00B06277">
        <w:t xml:space="preserve">is </w:t>
      </w:r>
      <w:r>
        <w:t>a</w:t>
      </w:r>
      <w:r w:rsidR="00B23386">
        <w:t xml:space="preserve"> 41% </w:t>
      </w:r>
      <w:r>
        <w:t xml:space="preserve">increase in quantity and </w:t>
      </w:r>
      <w:r w:rsidR="00B06277">
        <w:t xml:space="preserve">a </w:t>
      </w:r>
      <w:r w:rsidR="00D01493">
        <w:t>10</w:t>
      </w:r>
      <w:r>
        <w:t xml:space="preserve">% </w:t>
      </w:r>
      <w:r w:rsidR="00B06277">
        <w:t>increase in the value</w:t>
      </w:r>
      <w:r>
        <w:t>.</w:t>
      </w:r>
      <w:r w:rsidR="00B06277">
        <w:t xml:space="preserve"> </w:t>
      </w:r>
      <w:r>
        <w:t>Bangladesh was the top receiver of waste</w:t>
      </w:r>
      <w:r w:rsidR="00B23386">
        <w:t>-derived</w:t>
      </w:r>
      <w:r>
        <w:t xml:space="preserve"> exports for the month, receiving mostly</w:t>
      </w:r>
      <w:r w:rsidR="00B06277">
        <w:t xml:space="preserve"> scrap</w:t>
      </w:r>
      <w:r>
        <w:t xml:space="preserve"> metal</w:t>
      </w:r>
      <w:r w:rsidR="00B06277">
        <w:t>s</w:t>
      </w:r>
      <w:r>
        <w:t>. Vietnam ranked second highest followed by Malaysia.</w:t>
      </w:r>
      <w:r w:rsidR="00B06277">
        <w:t xml:space="preserve"> W</w:t>
      </w:r>
      <w:r>
        <w:t>aste exports increase</w:t>
      </w:r>
      <w:r w:rsidR="00B06277">
        <w:t>d</w:t>
      </w:r>
      <w:r>
        <w:t xml:space="preserve"> across each material type</w:t>
      </w:r>
      <w:r w:rsidR="00B06277">
        <w:t>. The</w:t>
      </w:r>
      <w:r>
        <w:t xml:space="preserve"> largest increase</w:t>
      </w:r>
      <w:r w:rsidR="00B06277">
        <w:t xml:space="preserve"> was in scrap</w:t>
      </w:r>
      <w:r>
        <w:t xml:space="preserve"> metal</w:t>
      </w:r>
      <w:r w:rsidR="00B06277">
        <w:t>s</w:t>
      </w:r>
      <w:r>
        <w:t xml:space="preserve"> (53%). Plastics exports increased slightly by 2%, paper and cardboard by 7%, hazardous waste by 10%. Exports of ‘other wastes’ increased sharply mainly due to higher exports of organic materials. </w:t>
      </w:r>
    </w:p>
    <w:p w14:paraId="4D8E71F4" w14:textId="77777777" w:rsidR="009165A1" w:rsidRDefault="009165A1" w:rsidP="005D1801">
      <w:pPr>
        <w:pStyle w:val="BodyText"/>
      </w:pPr>
    </w:p>
    <w:p w14:paraId="7975AE74" w14:textId="77777777" w:rsidR="007A7E21" w:rsidRDefault="007A7E21" w:rsidP="007A7E21">
      <w:pPr>
        <w:pStyle w:val="Heading2nonumber"/>
      </w:pPr>
      <w:r>
        <w:t>Context – Australian waste exports compared with overall waste flows</w:t>
      </w:r>
    </w:p>
    <w:p w14:paraId="32B2A42F" w14:textId="2A0639E9" w:rsidR="00A1119F" w:rsidRDefault="007A7E21" w:rsidP="007A7E21">
      <w:pPr>
        <w:pStyle w:val="BodyText"/>
      </w:pPr>
      <w:r>
        <w:t>The most recent published national data (</w:t>
      </w:r>
      <w:r w:rsidR="00053C5A">
        <w:t>2016-17</w:t>
      </w:r>
      <w:r>
        <w:t xml:space="preserve">) had Australia generating </w:t>
      </w:r>
      <w:r w:rsidR="00053C5A">
        <w:t xml:space="preserve">67 </w:t>
      </w:r>
      <w:r>
        <w:t>million tonnes (Mt) of waste, sending</w:t>
      </w:r>
      <w:r w:rsidR="009F5258">
        <w:t xml:space="preserve"> </w:t>
      </w:r>
      <w:r w:rsidR="00053C5A">
        <w:t>55</w:t>
      </w:r>
      <w:r w:rsidR="009F5258">
        <w:t>% (</w:t>
      </w:r>
      <w:r w:rsidR="00053C5A">
        <w:t xml:space="preserve">37 </w:t>
      </w:r>
      <w:r>
        <w:t>Mt</w:t>
      </w:r>
      <w:r w:rsidR="009F5258">
        <w:t>)</w:t>
      </w:r>
      <w:r>
        <w:t xml:space="preserve"> to recycling, </w:t>
      </w:r>
      <w:r w:rsidR="00053C5A">
        <w:t>3</w:t>
      </w:r>
      <w:r>
        <w:t>% to energy recovery and</w:t>
      </w:r>
      <w:r w:rsidR="007441AD">
        <w:t xml:space="preserve"> </w:t>
      </w:r>
      <w:r w:rsidR="007441AD" w:rsidRPr="00C92126">
        <w:t>nearly all the remainder</w:t>
      </w:r>
      <w:r w:rsidRPr="00C92126">
        <w:t xml:space="preserve"> to disposal in landfill and incineration. In </w:t>
      </w:r>
      <w:r w:rsidR="00A94175" w:rsidRPr="00C92126">
        <w:t>2018-19</w:t>
      </w:r>
      <w:r w:rsidRPr="00C92126">
        <w:t xml:space="preserve"> Australia exported </w:t>
      </w:r>
      <w:r w:rsidR="00A94175" w:rsidRPr="00C92126">
        <w:t>4.4</w:t>
      </w:r>
      <w:r w:rsidR="004967FE">
        <w:t>4</w:t>
      </w:r>
      <w:r w:rsidR="0079066C" w:rsidRPr="00C92126">
        <w:t xml:space="preserve"> </w:t>
      </w:r>
      <w:r w:rsidRPr="00C92126">
        <w:t xml:space="preserve">Mt of </w:t>
      </w:r>
      <w:r w:rsidR="00932F89" w:rsidRPr="00C92126">
        <w:t>waste</w:t>
      </w:r>
      <w:r w:rsidR="00B23386">
        <w:t>-derived materials</w:t>
      </w:r>
      <w:r w:rsidR="008E7262">
        <w:t xml:space="preserve">, representing </w:t>
      </w:r>
      <w:r w:rsidR="001D0320" w:rsidRPr="00C92126">
        <w:t>about</w:t>
      </w:r>
      <w:r w:rsidR="003E25A3" w:rsidRPr="00C92126">
        <w:t xml:space="preserve"> </w:t>
      </w:r>
      <w:r w:rsidR="00D56ABC" w:rsidRPr="00C92126">
        <w:t>12</w:t>
      </w:r>
      <w:r w:rsidR="003E25A3" w:rsidRPr="00C92126">
        <w:t xml:space="preserve">% of </w:t>
      </w:r>
      <w:r w:rsidR="001D0320" w:rsidRPr="00C92126">
        <w:t xml:space="preserve">national </w:t>
      </w:r>
      <w:r w:rsidR="003E25A3" w:rsidRPr="00C92126">
        <w:t xml:space="preserve">recycling and </w:t>
      </w:r>
      <w:r w:rsidR="0078200D" w:rsidRPr="00C92126">
        <w:t>7</w:t>
      </w:r>
      <w:r w:rsidR="003E25A3" w:rsidRPr="00C92126">
        <w:t xml:space="preserve">% of </w:t>
      </w:r>
      <w:r w:rsidR="001D0320" w:rsidRPr="00C92126">
        <w:t>national</w:t>
      </w:r>
      <w:r w:rsidR="003E25A3" w:rsidRPr="00C92126">
        <w:t xml:space="preserve"> waste generation</w:t>
      </w:r>
      <w:r w:rsidRPr="00C92126">
        <w:t xml:space="preserve">. </w:t>
      </w:r>
      <w:r w:rsidR="003E25A3" w:rsidRPr="00C92126">
        <w:fldChar w:fldCharType="begin"/>
      </w:r>
      <w:r w:rsidR="003E25A3" w:rsidRPr="00C92126">
        <w:instrText xml:space="preserve"> REF _Ref524615648 \h </w:instrText>
      </w:r>
      <w:r w:rsidR="00C92126">
        <w:instrText xml:space="preserve"> \* MERGEFORMAT </w:instrText>
      </w:r>
      <w:r w:rsidR="003E25A3" w:rsidRPr="00C92126">
        <w:fldChar w:fldCharType="separate"/>
      </w:r>
      <w:r w:rsidR="001032E2">
        <w:t xml:space="preserve">Table </w:t>
      </w:r>
      <w:r w:rsidR="001032E2">
        <w:rPr>
          <w:noProof/>
        </w:rPr>
        <w:t>1</w:t>
      </w:r>
      <w:r w:rsidR="003E25A3" w:rsidRPr="00C92126">
        <w:fldChar w:fldCharType="end"/>
      </w:r>
      <w:r w:rsidR="00197139" w:rsidRPr="00C92126">
        <w:t xml:space="preserve"> </w:t>
      </w:r>
      <w:r w:rsidRPr="00C92126">
        <w:t xml:space="preserve">compares </w:t>
      </w:r>
      <w:r w:rsidR="00825A4A" w:rsidRPr="00C92126">
        <w:t xml:space="preserve">quantities recycling in </w:t>
      </w:r>
      <w:r w:rsidR="00B61EAE" w:rsidRPr="00C92126">
        <w:t>Australia</w:t>
      </w:r>
      <w:r w:rsidR="00B61EAE">
        <w:t xml:space="preserve"> with </w:t>
      </w:r>
      <w:r>
        <w:t>exports of waste materials, noting that nearly all exports are</w:t>
      </w:r>
      <w:r w:rsidR="00E613FF">
        <w:t xml:space="preserve"> destined</w:t>
      </w:r>
      <w:r>
        <w:t xml:space="preserve"> for recycling or energy recovery. </w:t>
      </w:r>
      <w:r w:rsidR="005130B0">
        <w:t xml:space="preserve">The hazardous and ‘other’ categories are combined because the proportions </w:t>
      </w:r>
      <w:r w:rsidR="00634366">
        <w:t>of both are</w:t>
      </w:r>
      <w:r w:rsidR="005130B0">
        <w:t xml:space="preserve"> low. </w:t>
      </w:r>
    </w:p>
    <w:p w14:paraId="0A516549" w14:textId="77777777" w:rsidR="00BE591E" w:rsidRDefault="00BE591E" w:rsidP="007A7E21">
      <w:pPr>
        <w:pStyle w:val="BodyText"/>
      </w:pPr>
    </w:p>
    <w:p w14:paraId="6FA75C8F" w14:textId="3640C24D" w:rsidR="005F693F" w:rsidRDefault="00BE591E" w:rsidP="008C6031">
      <w:pPr>
        <w:pStyle w:val="BodyText"/>
      </w:pPr>
      <w:r>
        <w:t xml:space="preserve">The table suggests that </w:t>
      </w:r>
      <w:r w:rsidR="00233281">
        <w:t>201</w:t>
      </w:r>
      <w:r w:rsidR="004967FE">
        <w:t>8</w:t>
      </w:r>
      <w:r w:rsidR="00233281">
        <w:t>-1</w:t>
      </w:r>
      <w:r w:rsidR="004967FE">
        <w:t>9</w:t>
      </w:r>
      <w:r w:rsidR="00233281">
        <w:t xml:space="preserve"> exports encompassed most</w:t>
      </w:r>
      <w:r>
        <w:t xml:space="preserve"> recovered metals</w:t>
      </w:r>
      <w:r w:rsidR="00233281">
        <w:t xml:space="preserve"> and</w:t>
      </w:r>
      <w:r>
        <w:t xml:space="preserve"> plastics and</w:t>
      </w:r>
      <w:r w:rsidR="00233281">
        <w:t xml:space="preserve"> a third of recovered</w:t>
      </w:r>
      <w:r>
        <w:t xml:space="preserve"> paper and cardboard.</w:t>
      </w:r>
      <w:r w:rsidR="008C6031">
        <w:t xml:space="preserve"> Nearly all other recovered materials were recycled in Australia. These encompass a wide range of materials but the majority of the tonnes were demolition materials, organic wastes and fly ash from coal-fired power stations.</w:t>
      </w:r>
      <w:r w:rsidR="00233281">
        <w:t xml:space="preserve"> Only about 12% of materials collected for recycling were exported.</w:t>
      </w:r>
    </w:p>
    <w:p w14:paraId="70FF531E" w14:textId="198CCD24" w:rsidR="007A7E21" w:rsidRPr="009806B1" w:rsidRDefault="006A14D1" w:rsidP="006A14D1">
      <w:pPr>
        <w:pStyle w:val="Caption"/>
        <w:rPr>
          <w:szCs w:val="22"/>
        </w:rPr>
      </w:pPr>
      <w:bookmarkStart w:id="19" w:name="_Ref524615648"/>
      <w:r>
        <w:t xml:space="preserve">Table </w:t>
      </w:r>
      <w:r w:rsidR="00871CD9">
        <w:rPr>
          <w:noProof/>
        </w:rPr>
        <w:fldChar w:fldCharType="begin"/>
      </w:r>
      <w:r w:rsidR="00871CD9">
        <w:rPr>
          <w:noProof/>
        </w:rPr>
        <w:instrText xml:space="preserve"> SEQ Table \* ARABIC </w:instrText>
      </w:r>
      <w:r w:rsidR="00871CD9">
        <w:rPr>
          <w:noProof/>
        </w:rPr>
        <w:fldChar w:fldCharType="separate"/>
      </w:r>
      <w:r w:rsidR="001032E2">
        <w:rPr>
          <w:noProof/>
        </w:rPr>
        <w:t>1</w:t>
      </w:r>
      <w:r w:rsidR="00871CD9">
        <w:rPr>
          <w:noProof/>
        </w:rPr>
        <w:fldChar w:fldCharType="end"/>
      </w:r>
      <w:bookmarkEnd w:id="19"/>
      <w:r w:rsidR="007A7E21">
        <w:tab/>
      </w:r>
      <w:r w:rsidR="007A7E21">
        <w:rPr>
          <w:szCs w:val="22"/>
        </w:rPr>
        <w:t>D</w:t>
      </w:r>
      <w:r w:rsidR="007A7E21" w:rsidRPr="009806B1">
        <w:rPr>
          <w:szCs w:val="22"/>
        </w:rPr>
        <w:t>ata</w:t>
      </w:r>
      <w:r w:rsidR="007A7E21">
        <w:rPr>
          <w:szCs w:val="22"/>
        </w:rPr>
        <w:t xml:space="preserve"> comparing</w:t>
      </w:r>
      <w:r w:rsidR="007A7E21" w:rsidRPr="009806B1">
        <w:rPr>
          <w:szCs w:val="22"/>
        </w:rPr>
        <w:t xml:space="preserve"> Australian</w:t>
      </w:r>
      <w:r w:rsidR="007A7E21">
        <w:rPr>
          <w:szCs w:val="22"/>
        </w:rPr>
        <w:t xml:space="preserve"> </w:t>
      </w:r>
      <w:r w:rsidR="007A7E21" w:rsidRPr="009806B1">
        <w:rPr>
          <w:szCs w:val="22"/>
        </w:rPr>
        <w:t xml:space="preserve">exports </w:t>
      </w:r>
      <w:r w:rsidR="007A7E21">
        <w:rPr>
          <w:szCs w:val="22"/>
        </w:rPr>
        <w:t>and overall recycling of wastes</w:t>
      </w:r>
      <w:r w:rsidR="007A7E21" w:rsidRPr="009806B1">
        <w:rPr>
          <w:szCs w:val="22"/>
        </w:rPr>
        <w:tab/>
      </w:r>
    </w:p>
    <w:tbl>
      <w:tblPr>
        <w:tblStyle w:val="BE-table"/>
        <w:tblW w:w="0" w:type="auto"/>
        <w:tblLayout w:type="fixed"/>
        <w:tblLook w:val="04A0" w:firstRow="1" w:lastRow="0" w:firstColumn="1" w:lastColumn="0" w:noHBand="0" w:noVBand="1"/>
      </w:tblPr>
      <w:tblGrid>
        <w:gridCol w:w="2122"/>
        <w:gridCol w:w="1275"/>
        <w:gridCol w:w="1276"/>
        <w:gridCol w:w="1418"/>
        <w:gridCol w:w="1134"/>
        <w:gridCol w:w="1275"/>
        <w:gridCol w:w="1015"/>
      </w:tblGrid>
      <w:tr w:rsidR="00477AA0" w14:paraId="4664B976" w14:textId="1D246F66" w:rsidTr="00477A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Borders>
              <w:right w:val="single" w:sz="4" w:space="0" w:color="FFFFFF" w:themeColor="background1"/>
            </w:tcBorders>
          </w:tcPr>
          <w:p w14:paraId="790AC875" w14:textId="12861162" w:rsidR="00EB018B" w:rsidRDefault="00EB018B" w:rsidP="00477AA0">
            <w:pPr>
              <w:pStyle w:val="BodyText"/>
              <w:spacing w:beforeLines="0" w:before="0" w:afterLines="0" w:after="0"/>
            </w:pPr>
            <w:r w:rsidRPr="003E25A3">
              <w:rPr>
                <w:b w:val="0"/>
              </w:rPr>
              <w:t>Waste material type</w:t>
            </w:r>
          </w:p>
        </w:tc>
        <w:tc>
          <w:tcPr>
            <w:tcW w:w="1275" w:type="dxa"/>
            <w:tcBorders>
              <w:top w:val="nil"/>
              <w:left w:val="single" w:sz="4" w:space="0" w:color="FFFFFF" w:themeColor="background1"/>
              <w:bottom w:val="nil"/>
              <w:right w:val="single" w:sz="4" w:space="0" w:color="FFFFFF" w:themeColor="background1"/>
            </w:tcBorders>
          </w:tcPr>
          <w:p w14:paraId="2DB92458" w14:textId="2D389AB0" w:rsidR="00EB018B" w:rsidRPr="00DC2A8A" w:rsidRDefault="00EB018B" w:rsidP="00477AA0">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rPr>
                <w:vertAlign w:val="superscript"/>
              </w:rPr>
            </w:pPr>
            <w:r>
              <w:t>Recycled in 2016-17</w:t>
            </w:r>
            <w:r>
              <w:rPr>
                <w:vertAlign w:val="superscript"/>
              </w:rPr>
              <w:t>1</w:t>
            </w:r>
          </w:p>
        </w:tc>
        <w:tc>
          <w:tcPr>
            <w:tcW w:w="3828" w:type="dxa"/>
            <w:gridSpan w:val="3"/>
            <w:tcBorders>
              <w:top w:val="nil"/>
              <w:left w:val="single" w:sz="4" w:space="0" w:color="FFFFFF" w:themeColor="background1"/>
              <w:bottom w:val="nil"/>
              <w:right w:val="single" w:sz="4" w:space="0" w:color="FFFFFF" w:themeColor="background1"/>
            </w:tcBorders>
          </w:tcPr>
          <w:p w14:paraId="7C314439" w14:textId="42CF05E4" w:rsidR="00EB018B" w:rsidRDefault="00EB018B" w:rsidP="00477AA0">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Exported in 2018-19</w:t>
            </w:r>
          </w:p>
        </w:tc>
        <w:tc>
          <w:tcPr>
            <w:tcW w:w="2290" w:type="dxa"/>
            <w:gridSpan w:val="2"/>
            <w:tcBorders>
              <w:left w:val="single" w:sz="4" w:space="0" w:color="FFFFFF" w:themeColor="background1"/>
            </w:tcBorders>
          </w:tcPr>
          <w:p w14:paraId="275E3F35" w14:textId="77777777" w:rsidR="00FC64CD" w:rsidRDefault="00EB018B" w:rsidP="00477AA0">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rPr>
                <w:b w:val="0"/>
              </w:rPr>
            </w:pPr>
            <w:r>
              <w:t>Exported to China in</w:t>
            </w:r>
          </w:p>
          <w:p w14:paraId="19D25407" w14:textId="65AB930B" w:rsidR="00EB018B" w:rsidRDefault="00EB018B" w:rsidP="00477AA0">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2018-19</w:t>
            </w:r>
          </w:p>
        </w:tc>
      </w:tr>
      <w:tr w:rsidR="00477AA0" w:rsidRPr="003E25A3" w14:paraId="50C03AA0" w14:textId="34EE5E52" w:rsidTr="00477AA0">
        <w:tc>
          <w:tcPr>
            <w:cnfStyle w:val="001000000000" w:firstRow="0" w:lastRow="0" w:firstColumn="1" w:lastColumn="0" w:oddVBand="0" w:evenVBand="0" w:oddHBand="0" w:evenHBand="0" w:firstRowFirstColumn="0" w:firstRowLastColumn="0" w:lastRowFirstColumn="0" w:lastRowLastColumn="0"/>
            <w:tcW w:w="2122" w:type="dxa"/>
            <w:vMerge/>
            <w:tcBorders>
              <w:right w:val="single" w:sz="4" w:space="0" w:color="FFFFFF" w:themeColor="background1"/>
            </w:tcBorders>
            <w:shd w:val="clear" w:color="auto" w:fill="B7B7E2" w:themeFill="accent1" w:themeFillTint="66"/>
          </w:tcPr>
          <w:p w14:paraId="19103866" w14:textId="1F1F6583" w:rsidR="00EB018B" w:rsidRPr="003E25A3" w:rsidRDefault="00EB018B" w:rsidP="00477AA0">
            <w:pPr>
              <w:pStyle w:val="BodyText"/>
              <w:spacing w:before="0" w:after="0"/>
              <w:rPr>
                <w:b/>
                <w:color w:val="FFFFFF" w:themeColor="background1"/>
              </w:rPr>
            </w:pPr>
          </w:p>
        </w:tc>
        <w:tc>
          <w:tcPr>
            <w:tcW w:w="1275" w:type="dxa"/>
            <w:tcBorders>
              <w:top w:val="nil"/>
              <w:left w:val="single" w:sz="4" w:space="0" w:color="FFFFFF" w:themeColor="background1"/>
              <w:bottom w:val="nil"/>
              <w:right w:val="single" w:sz="4" w:space="0" w:color="FFFFFF" w:themeColor="background1"/>
            </w:tcBorders>
            <w:shd w:val="clear" w:color="auto" w:fill="B7B7E2" w:themeFill="accent1" w:themeFillTint="66"/>
          </w:tcPr>
          <w:p w14:paraId="1E50695D" w14:textId="17B18281" w:rsidR="00EB018B" w:rsidRPr="003E25A3" w:rsidRDefault="00EB018B" w:rsidP="00477AA0">
            <w:pPr>
              <w:pStyle w:val="BodyText"/>
              <w:spacing w:before="0"/>
              <w:jc w:val="center"/>
              <w:cnfStyle w:val="000000000000" w:firstRow="0" w:lastRow="0" w:firstColumn="0" w:lastColumn="0" w:oddVBand="0" w:evenVBand="0" w:oddHBand="0" w:evenHBand="0" w:firstRowFirstColumn="0" w:firstRowLastColumn="0" w:lastRowFirstColumn="0" w:lastRowLastColumn="0"/>
              <w:rPr>
                <w:b/>
                <w:i/>
                <w:color w:val="FFFFFF" w:themeColor="background1"/>
              </w:rPr>
            </w:pPr>
            <w:r w:rsidRPr="003E25A3">
              <w:rPr>
                <w:b/>
                <w:i/>
                <w:color w:val="FFFFFF" w:themeColor="background1"/>
              </w:rPr>
              <w:t>(thousands of tonnes)</w:t>
            </w:r>
          </w:p>
        </w:tc>
        <w:tc>
          <w:tcPr>
            <w:tcW w:w="1276" w:type="dxa"/>
            <w:tcBorders>
              <w:top w:val="nil"/>
              <w:left w:val="single" w:sz="4" w:space="0" w:color="FFFFFF" w:themeColor="background1"/>
              <w:bottom w:val="nil"/>
              <w:right w:val="nil"/>
            </w:tcBorders>
            <w:shd w:val="clear" w:color="auto" w:fill="B7B7E2" w:themeFill="accent1" w:themeFillTint="66"/>
          </w:tcPr>
          <w:p w14:paraId="0DE6D321" w14:textId="2435B74A" w:rsidR="00EB018B" w:rsidRPr="003E25A3" w:rsidRDefault="00EB018B" w:rsidP="00477AA0">
            <w:pPr>
              <w:spacing w:before="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3E25A3">
              <w:rPr>
                <w:b/>
                <w:i/>
                <w:color w:val="FFFFFF" w:themeColor="background1"/>
              </w:rPr>
              <w:t>(thousands of tonnes)</w:t>
            </w:r>
          </w:p>
        </w:tc>
        <w:tc>
          <w:tcPr>
            <w:tcW w:w="1418" w:type="dxa"/>
            <w:tcBorders>
              <w:top w:val="nil"/>
              <w:left w:val="nil"/>
              <w:bottom w:val="nil"/>
              <w:right w:val="nil"/>
            </w:tcBorders>
            <w:shd w:val="clear" w:color="auto" w:fill="B7B7E2" w:themeFill="accent1" w:themeFillTint="66"/>
          </w:tcPr>
          <w:p w14:paraId="4DF8C6FC" w14:textId="2EDC0BC1" w:rsidR="00EB018B" w:rsidRPr="003E25A3" w:rsidRDefault="00EB018B" w:rsidP="00477AA0">
            <w:pPr>
              <w:spacing w:before="0"/>
              <w:jc w:val="center"/>
              <w:cnfStyle w:val="000000000000" w:firstRow="0" w:lastRow="0" w:firstColumn="0" w:lastColumn="0" w:oddVBand="0" w:evenVBand="0" w:oddHBand="0" w:evenHBand="0" w:firstRowFirstColumn="0" w:firstRowLastColumn="0" w:lastRowFirstColumn="0" w:lastRowLastColumn="0"/>
              <w:rPr>
                <w:b/>
                <w:i/>
                <w:color w:val="FFFFFF" w:themeColor="background1"/>
              </w:rPr>
            </w:pPr>
            <w:r>
              <w:rPr>
                <w:b/>
                <w:i/>
                <w:color w:val="FFFFFF" w:themeColor="background1"/>
              </w:rPr>
              <w:t>(millions of dollars of value)</w:t>
            </w:r>
          </w:p>
        </w:tc>
        <w:tc>
          <w:tcPr>
            <w:tcW w:w="1134" w:type="dxa"/>
            <w:tcBorders>
              <w:top w:val="nil"/>
              <w:left w:val="nil"/>
              <w:bottom w:val="nil"/>
              <w:right w:val="single" w:sz="4" w:space="0" w:color="FFFFFF" w:themeColor="background1"/>
            </w:tcBorders>
            <w:shd w:val="clear" w:color="auto" w:fill="B7B7E2" w:themeFill="accent1" w:themeFillTint="66"/>
          </w:tcPr>
          <w:p w14:paraId="4404EF83" w14:textId="7AA18E55" w:rsidR="00EB018B" w:rsidRPr="003E25A3" w:rsidRDefault="00EB018B" w:rsidP="00477AA0">
            <w:pPr>
              <w:spacing w:before="0"/>
              <w:jc w:val="center"/>
              <w:cnfStyle w:val="000000000000" w:firstRow="0" w:lastRow="0" w:firstColumn="0" w:lastColumn="0" w:oddVBand="0" w:evenVBand="0" w:oddHBand="0" w:evenHBand="0" w:firstRowFirstColumn="0" w:firstRowLastColumn="0" w:lastRowFirstColumn="0" w:lastRowLastColumn="0"/>
              <w:rPr>
                <w:b/>
                <w:i/>
                <w:color w:val="FFFFFF" w:themeColor="background1"/>
              </w:rPr>
            </w:pPr>
            <w:r>
              <w:rPr>
                <w:b/>
                <w:i/>
                <w:color w:val="FFFFFF" w:themeColor="background1"/>
              </w:rPr>
              <w:t>(percent of 2016-17 recycling)</w:t>
            </w:r>
          </w:p>
        </w:tc>
        <w:tc>
          <w:tcPr>
            <w:tcW w:w="1275" w:type="dxa"/>
            <w:tcBorders>
              <w:left w:val="single" w:sz="4" w:space="0" w:color="FFFFFF" w:themeColor="background1"/>
            </w:tcBorders>
            <w:shd w:val="clear" w:color="auto" w:fill="B7B7E2" w:themeFill="accent1" w:themeFillTint="66"/>
          </w:tcPr>
          <w:p w14:paraId="6B3E5142" w14:textId="4EB87F9A" w:rsidR="00EB018B" w:rsidRPr="003E25A3" w:rsidRDefault="00EB018B" w:rsidP="00477AA0">
            <w:pPr>
              <w:spacing w:before="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3E25A3">
              <w:rPr>
                <w:b/>
                <w:i/>
                <w:color w:val="FFFFFF" w:themeColor="background1"/>
              </w:rPr>
              <w:t>(thousands of tonnes)</w:t>
            </w:r>
          </w:p>
        </w:tc>
        <w:tc>
          <w:tcPr>
            <w:tcW w:w="1015" w:type="dxa"/>
            <w:shd w:val="clear" w:color="auto" w:fill="B7B7E2" w:themeFill="accent1" w:themeFillTint="66"/>
          </w:tcPr>
          <w:p w14:paraId="37A53818" w14:textId="5E4168FC" w:rsidR="00EB018B" w:rsidRPr="003E25A3" w:rsidRDefault="00EB018B" w:rsidP="00477AA0">
            <w:pPr>
              <w:spacing w:before="0"/>
              <w:jc w:val="center"/>
              <w:cnfStyle w:val="000000000000" w:firstRow="0" w:lastRow="0" w:firstColumn="0" w:lastColumn="0" w:oddVBand="0" w:evenVBand="0" w:oddHBand="0" w:evenHBand="0" w:firstRowFirstColumn="0" w:firstRowLastColumn="0" w:lastRowFirstColumn="0" w:lastRowLastColumn="0"/>
              <w:rPr>
                <w:b/>
                <w:i/>
                <w:color w:val="FFFFFF" w:themeColor="background1"/>
              </w:rPr>
            </w:pPr>
            <w:r>
              <w:rPr>
                <w:b/>
                <w:i/>
                <w:color w:val="FFFFFF" w:themeColor="background1"/>
              </w:rPr>
              <w:t>(percent of all exports)</w:t>
            </w:r>
          </w:p>
        </w:tc>
      </w:tr>
      <w:tr w:rsidR="00477AA0" w14:paraId="2CC75B76" w14:textId="5865D56C" w:rsidTr="00477AA0">
        <w:tc>
          <w:tcPr>
            <w:cnfStyle w:val="001000000000" w:firstRow="0" w:lastRow="0" w:firstColumn="1" w:lastColumn="0" w:oddVBand="0" w:evenVBand="0" w:oddHBand="0" w:evenHBand="0" w:firstRowFirstColumn="0" w:firstRowLastColumn="0" w:lastRowFirstColumn="0" w:lastRowLastColumn="0"/>
            <w:tcW w:w="2122" w:type="dxa"/>
          </w:tcPr>
          <w:p w14:paraId="212BB5FE" w14:textId="4C46EEE0" w:rsidR="00EB018B" w:rsidRDefault="00EB018B" w:rsidP="00DC2A8A">
            <w:r>
              <w:t>Metals</w:t>
            </w:r>
          </w:p>
        </w:tc>
        <w:tc>
          <w:tcPr>
            <w:tcW w:w="1275" w:type="dxa"/>
            <w:tcBorders>
              <w:top w:val="nil"/>
            </w:tcBorders>
          </w:tcPr>
          <w:p w14:paraId="24F187C0" w14:textId="1406D812" w:rsidR="00EB018B" w:rsidRDefault="00EB018B" w:rsidP="001F7BB2">
            <w:pPr>
              <w:tabs>
                <w:tab w:val="right" w:pos="885"/>
              </w:tabs>
              <w:cnfStyle w:val="000000000000" w:firstRow="0" w:lastRow="0" w:firstColumn="0" w:lastColumn="0" w:oddVBand="0" w:evenVBand="0" w:oddHBand="0" w:evenHBand="0" w:firstRowFirstColumn="0" w:firstRowLastColumn="0" w:lastRowFirstColumn="0" w:lastRowLastColumn="0"/>
            </w:pPr>
            <w:r>
              <w:tab/>
              <w:t>4,982</w:t>
            </w:r>
          </w:p>
        </w:tc>
        <w:tc>
          <w:tcPr>
            <w:tcW w:w="1276" w:type="dxa"/>
            <w:tcBorders>
              <w:top w:val="nil"/>
            </w:tcBorders>
          </w:tcPr>
          <w:p w14:paraId="60F1863F" w14:textId="2CD28E3A" w:rsidR="00EB018B" w:rsidRDefault="00EB018B" w:rsidP="00477AA0">
            <w:pPr>
              <w:tabs>
                <w:tab w:val="right" w:pos="1174"/>
                <w:tab w:val="right" w:pos="2025"/>
              </w:tabs>
              <w:jc w:val="right"/>
              <w:cnfStyle w:val="000000000000" w:firstRow="0" w:lastRow="0" w:firstColumn="0" w:lastColumn="0" w:oddVBand="0" w:evenVBand="0" w:oddHBand="0" w:evenHBand="0" w:firstRowFirstColumn="0" w:firstRowLastColumn="0" w:lastRowFirstColumn="0" w:lastRowLastColumn="0"/>
            </w:pPr>
            <w:r>
              <w:t>2,643</w:t>
            </w:r>
          </w:p>
        </w:tc>
        <w:tc>
          <w:tcPr>
            <w:tcW w:w="1418" w:type="dxa"/>
            <w:tcBorders>
              <w:top w:val="nil"/>
            </w:tcBorders>
          </w:tcPr>
          <w:p w14:paraId="1F73026E" w14:textId="1B58DAF3"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$2,166m</w:t>
            </w:r>
          </w:p>
        </w:tc>
        <w:tc>
          <w:tcPr>
            <w:tcW w:w="1134" w:type="dxa"/>
            <w:tcBorders>
              <w:top w:val="nil"/>
            </w:tcBorders>
          </w:tcPr>
          <w:p w14:paraId="228AA5A6" w14:textId="5BF6A05D"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53%</w:t>
            </w:r>
          </w:p>
        </w:tc>
        <w:tc>
          <w:tcPr>
            <w:tcW w:w="1275" w:type="dxa"/>
          </w:tcPr>
          <w:p w14:paraId="2CB81340" w14:textId="0FDF93CA" w:rsidR="00EB018B" w:rsidRDefault="00EB018B" w:rsidP="001F7BB2">
            <w:pPr>
              <w:tabs>
                <w:tab w:val="right" w:pos="1159"/>
                <w:tab w:val="right" w:pos="2010"/>
              </w:tabs>
              <w:cnfStyle w:val="000000000000" w:firstRow="0" w:lastRow="0" w:firstColumn="0" w:lastColumn="0" w:oddVBand="0" w:evenVBand="0" w:oddHBand="0" w:evenHBand="0" w:firstRowFirstColumn="0" w:firstRowLastColumn="0" w:lastRowFirstColumn="0" w:lastRowLastColumn="0"/>
            </w:pPr>
            <w:r>
              <w:tab/>
              <w:t>92</w:t>
            </w:r>
          </w:p>
        </w:tc>
        <w:tc>
          <w:tcPr>
            <w:tcW w:w="1015" w:type="dxa"/>
          </w:tcPr>
          <w:p w14:paraId="55B96EDE" w14:textId="1D13E446"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3%</w:t>
            </w:r>
          </w:p>
        </w:tc>
      </w:tr>
      <w:tr w:rsidR="00477AA0" w14:paraId="03C1FCDF" w14:textId="45DF244C" w:rsidTr="00477AA0">
        <w:tc>
          <w:tcPr>
            <w:cnfStyle w:val="001000000000" w:firstRow="0" w:lastRow="0" w:firstColumn="1" w:lastColumn="0" w:oddVBand="0" w:evenVBand="0" w:oddHBand="0" w:evenHBand="0" w:firstRowFirstColumn="0" w:firstRowLastColumn="0" w:lastRowFirstColumn="0" w:lastRowLastColumn="0"/>
            <w:tcW w:w="2122" w:type="dxa"/>
          </w:tcPr>
          <w:p w14:paraId="770C9634" w14:textId="5846E136" w:rsidR="00EB018B" w:rsidRDefault="00EB018B" w:rsidP="00DC2A8A">
            <w:r>
              <w:t>Paper &amp; cardboard</w:t>
            </w:r>
          </w:p>
        </w:tc>
        <w:tc>
          <w:tcPr>
            <w:tcW w:w="1275" w:type="dxa"/>
          </w:tcPr>
          <w:p w14:paraId="38EB4F03" w14:textId="7AD4681F" w:rsidR="00EB018B" w:rsidRDefault="00EB018B" w:rsidP="001F7BB2">
            <w:pPr>
              <w:tabs>
                <w:tab w:val="right" w:pos="885"/>
              </w:tabs>
              <w:cnfStyle w:val="000000000000" w:firstRow="0" w:lastRow="0" w:firstColumn="0" w:lastColumn="0" w:oddVBand="0" w:evenVBand="0" w:oddHBand="0" w:evenHBand="0" w:firstRowFirstColumn="0" w:firstRowLastColumn="0" w:lastRowFirstColumn="0" w:lastRowLastColumn="0"/>
            </w:pPr>
            <w:r>
              <w:tab/>
              <w:t>3,361</w:t>
            </w:r>
          </w:p>
        </w:tc>
        <w:tc>
          <w:tcPr>
            <w:tcW w:w="1276" w:type="dxa"/>
          </w:tcPr>
          <w:p w14:paraId="36430553" w14:textId="24A70257" w:rsidR="00EB018B" w:rsidRDefault="00EB018B" w:rsidP="00477AA0">
            <w:pPr>
              <w:tabs>
                <w:tab w:val="right" w:pos="1174"/>
                <w:tab w:val="right" w:pos="2025"/>
              </w:tabs>
              <w:jc w:val="right"/>
              <w:cnfStyle w:val="000000000000" w:firstRow="0" w:lastRow="0" w:firstColumn="0" w:lastColumn="0" w:oddVBand="0" w:evenVBand="0" w:oddHBand="0" w:evenHBand="0" w:firstRowFirstColumn="0" w:firstRowLastColumn="0" w:lastRowFirstColumn="0" w:lastRowLastColumn="0"/>
            </w:pPr>
            <w:r>
              <w:t xml:space="preserve">1,118 </w:t>
            </w:r>
          </w:p>
        </w:tc>
        <w:tc>
          <w:tcPr>
            <w:tcW w:w="1418" w:type="dxa"/>
          </w:tcPr>
          <w:p w14:paraId="60F4054F" w14:textId="2C6E4A51"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$235m</w:t>
            </w:r>
          </w:p>
        </w:tc>
        <w:tc>
          <w:tcPr>
            <w:tcW w:w="1134" w:type="dxa"/>
          </w:tcPr>
          <w:p w14:paraId="22B14E6C" w14:textId="1A30E5FE"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33%</w:t>
            </w:r>
          </w:p>
        </w:tc>
        <w:tc>
          <w:tcPr>
            <w:tcW w:w="1275" w:type="dxa"/>
          </w:tcPr>
          <w:p w14:paraId="443015D2" w14:textId="0F355CA4" w:rsidR="00EB018B" w:rsidRDefault="00EB018B" w:rsidP="001F7BB2">
            <w:pPr>
              <w:tabs>
                <w:tab w:val="right" w:pos="1159"/>
                <w:tab w:val="right" w:pos="2010"/>
              </w:tabs>
              <w:cnfStyle w:val="000000000000" w:firstRow="0" w:lastRow="0" w:firstColumn="0" w:lastColumn="0" w:oddVBand="0" w:evenVBand="0" w:oddHBand="0" w:evenHBand="0" w:firstRowFirstColumn="0" w:firstRowLastColumn="0" w:lastRowFirstColumn="0" w:lastRowLastColumn="0"/>
            </w:pPr>
            <w:r>
              <w:tab/>
              <w:t>540</w:t>
            </w:r>
          </w:p>
        </w:tc>
        <w:tc>
          <w:tcPr>
            <w:tcW w:w="1015" w:type="dxa"/>
          </w:tcPr>
          <w:p w14:paraId="1C8055CC" w14:textId="2671182C"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48%</w:t>
            </w:r>
          </w:p>
        </w:tc>
      </w:tr>
      <w:tr w:rsidR="00477AA0" w14:paraId="2BD24065" w14:textId="026832F4" w:rsidTr="00477AA0">
        <w:tc>
          <w:tcPr>
            <w:cnfStyle w:val="001000000000" w:firstRow="0" w:lastRow="0" w:firstColumn="1" w:lastColumn="0" w:oddVBand="0" w:evenVBand="0" w:oddHBand="0" w:evenHBand="0" w:firstRowFirstColumn="0" w:firstRowLastColumn="0" w:lastRowFirstColumn="0" w:lastRowLastColumn="0"/>
            <w:tcW w:w="2122" w:type="dxa"/>
          </w:tcPr>
          <w:p w14:paraId="440EB9D9" w14:textId="323ACCA7" w:rsidR="00EB018B" w:rsidRDefault="00EB018B" w:rsidP="00DC2A8A">
            <w:r>
              <w:t>Plastics</w:t>
            </w:r>
          </w:p>
        </w:tc>
        <w:tc>
          <w:tcPr>
            <w:tcW w:w="1275" w:type="dxa"/>
          </w:tcPr>
          <w:p w14:paraId="03FC9493" w14:textId="08080BAD" w:rsidR="00EB018B" w:rsidRDefault="00EB018B" w:rsidP="001F7BB2">
            <w:pPr>
              <w:tabs>
                <w:tab w:val="right" w:pos="885"/>
              </w:tabs>
              <w:cnfStyle w:val="000000000000" w:firstRow="0" w:lastRow="0" w:firstColumn="0" w:lastColumn="0" w:oddVBand="0" w:evenVBand="0" w:oddHBand="0" w:evenHBand="0" w:firstRowFirstColumn="0" w:firstRowLastColumn="0" w:lastRowFirstColumn="0" w:lastRowLastColumn="0"/>
            </w:pPr>
            <w:r>
              <w:tab/>
              <w:t>306</w:t>
            </w:r>
          </w:p>
        </w:tc>
        <w:tc>
          <w:tcPr>
            <w:tcW w:w="1276" w:type="dxa"/>
          </w:tcPr>
          <w:p w14:paraId="0BDC7D9C" w14:textId="36119115" w:rsidR="00EB018B" w:rsidRDefault="00EB018B" w:rsidP="00477AA0">
            <w:pPr>
              <w:tabs>
                <w:tab w:val="right" w:pos="1174"/>
                <w:tab w:val="right" w:pos="2025"/>
              </w:tabs>
              <w:jc w:val="right"/>
              <w:cnfStyle w:val="000000000000" w:firstRow="0" w:lastRow="0" w:firstColumn="0" w:lastColumn="0" w:oddVBand="0" w:evenVBand="0" w:oddHBand="0" w:evenHBand="0" w:firstRowFirstColumn="0" w:firstRowLastColumn="0" w:lastRowFirstColumn="0" w:lastRowLastColumn="0"/>
            </w:pPr>
            <w:r>
              <w:t>187</w:t>
            </w:r>
          </w:p>
        </w:tc>
        <w:tc>
          <w:tcPr>
            <w:tcW w:w="1418" w:type="dxa"/>
          </w:tcPr>
          <w:p w14:paraId="1F1AE176" w14:textId="37C38005"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$43m</w:t>
            </w:r>
          </w:p>
        </w:tc>
        <w:tc>
          <w:tcPr>
            <w:tcW w:w="1134" w:type="dxa"/>
          </w:tcPr>
          <w:p w14:paraId="18739C73" w14:textId="0C7C7ED8"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61%</w:t>
            </w:r>
          </w:p>
        </w:tc>
        <w:tc>
          <w:tcPr>
            <w:tcW w:w="1275" w:type="dxa"/>
          </w:tcPr>
          <w:p w14:paraId="24CB719C" w14:textId="0D2FB228" w:rsidR="00EB018B" w:rsidRDefault="00EB018B" w:rsidP="001F7BB2">
            <w:pPr>
              <w:tabs>
                <w:tab w:val="right" w:pos="1159"/>
                <w:tab w:val="right" w:pos="2010"/>
              </w:tabs>
              <w:cnfStyle w:val="000000000000" w:firstRow="0" w:lastRow="0" w:firstColumn="0" w:lastColumn="0" w:oddVBand="0" w:evenVBand="0" w:oddHBand="0" w:evenHBand="0" w:firstRowFirstColumn="0" w:firstRowLastColumn="0" w:lastRowFirstColumn="0" w:lastRowLastColumn="0"/>
            </w:pPr>
            <w:r>
              <w:tab/>
              <w:t>10</w:t>
            </w:r>
          </w:p>
        </w:tc>
        <w:tc>
          <w:tcPr>
            <w:tcW w:w="1015" w:type="dxa"/>
          </w:tcPr>
          <w:p w14:paraId="727764D3" w14:textId="54B88039"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6%</w:t>
            </w:r>
          </w:p>
        </w:tc>
      </w:tr>
      <w:tr w:rsidR="00477AA0" w14:paraId="5BA6690A" w14:textId="6963D69B" w:rsidTr="00477AA0">
        <w:tc>
          <w:tcPr>
            <w:cnfStyle w:val="001000000000" w:firstRow="0" w:lastRow="0" w:firstColumn="1" w:lastColumn="0" w:oddVBand="0" w:evenVBand="0" w:oddHBand="0" w:evenHBand="0" w:firstRowFirstColumn="0" w:firstRowLastColumn="0" w:lastRowFirstColumn="0" w:lastRowLastColumn="0"/>
            <w:tcW w:w="2122" w:type="dxa"/>
          </w:tcPr>
          <w:p w14:paraId="3BFD2A8C" w14:textId="14C9FC0F" w:rsidR="00EB018B" w:rsidRDefault="00EB018B" w:rsidP="00DC2A8A">
            <w:r>
              <w:t>Other, incl. hazardous</w:t>
            </w:r>
          </w:p>
        </w:tc>
        <w:tc>
          <w:tcPr>
            <w:tcW w:w="1275" w:type="dxa"/>
          </w:tcPr>
          <w:p w14:paraId="7A561E1D" w14:textId="6ACC28F3" w:rsidR="00EB018B" w:rsidRDefault="00EB018B" w:rsidP="001F7BB2">
            <w:pPr>
              <w:tabs>
                <w:tab w:val="right" w:pos="885"/>
              </w:tabs>
              <w:cnfStyle w:val="000000000000" w:firstRow="0" w:lastRow="0" w:firstColumn="0" w:lastColumn="0" w:oddVBand="0" w:evenVBand="0" w:oddHBand="0" w:evenHBand="0" w:firstRowFirstColumn="0" w:firstRowLastColumn="0" w:lastRowFirstColumn="0" w:lastRowLastColumn="0"/>
            </w:pPr>
            <w:r>
              <w:tab/>
              <w:t>28,381</w:t>
            </w:r>
          </w:p>
        </w:tc>
        <w:tc>
          <w:tcPr>
            <w:tcW w:w="1276" w:type="dxa"/>
          </w:tcPr>
          <w:p w14:paraId="54CE35E5" w14:textId="5AF7A56C" w:rsidR="00EB018B" w:rsidRDefault="00EB018B" w:rsidP="00477AA0">
            <w:pPr>
              <w:tabs>
                <w:tab w:val="right" w:pos="1174"/>
                <w:tab w:val="right" w:pos="2025"/>
              </w:tabs>
              <w:jc w:val="right"/>
              <w:cnfStyle w:val="000000000000" w:firstRow="0" w:lastRow="0" w:firstColumn="0" w:lastColumn="0" w:oddVBand="0" w:evenVBand="0" w:oddHBand="0" w:evenHBand="0" w:firstRowFirstColumn="0" w:firstRowLastColumn="0" w:lastRowFirstColumn="0" w:lastRowLastColumn="0"/>
            </w:pPr>
            <w:r>
              <w:t>488</w:t>
            </w:r>
          </w:p>
        </w:tc>
        <w:tc>
          <w:tcPr>
            <w:tcW w:w="1418" w:type="dxa"/>
          </w:tcPr>
          <w:p w14:paraId="1FD24C00" w14:textId="1722335E"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$7</w:t>
            </w:r>
            <w:r w:rsidR="008A3126">
              <w:t>44</w:t>
            </w:r>
            <w:r>
              <w:t>m</w:t>
            </w:r>
          </w:p>
        </w:tc>
        <w:tc>
          <w:tcPr>
            <w:tcW w:w="1134" w:type="dxa"/>
          </w:tcPr>
          <w:p w14:paraId="5958E7A7" w14:textId="65484029"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2%</w:t>
            </w:r>
          </w:p>
        </w:tc>
        <w:tc>
          <w:tcPr>
            <w:tcW w:w="1275" w:type="dxa"/>
          </w:tcPr>
          <w:p w14:paraId="05F679AC" w14:textId="79D2734E" w:rsidR="00EB018B" w:rsidRDefault="00EB018B" w:rsidP="001F7BB2">
            <w:pPr>
              <w:tabs>
                <w:tab w:val="right" w:pos="1159"/>
                <w:tab w:val="right" w:pos="2010"/>
              </w:tabs>
              <w:cnfStyle w:val="000000000000" w:firstRow="0" w:lastRow="0" w:firstColumn="0" w:lastColumn="0" w:oddVBand="0" w:evenVBand="0" w:oddHBand="0" w:evenHBand="0" w:firstRowFirstColumn="0" w:firstRowLastColumn="0" w:lastRowFirstColumn="0" w:lastRowLastColumn="0"/>
            </w:pPr>
            <w:r>
              <w:tab/>
              <w:t>3</w:t>
            </w:r>
          </w:p>
        </w:tc>
        <w:tc>
          <w:tcPr>
            <w:tcW w:w="1015" w:type="dxa"/>
          </w:tcPr>
          <w:p w14:paraId="362CF511" w14:textId="7183228E"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1%</w:t>
            </w:r>
          </w:p>
        </w:tc>
      </w:tr>
      <w:tr w:rsidR="00477AA0" w14:paraId="7992B123" w14:textId="75C25135" w:rsidTr="00477AA0">
        <w:tc>
          <w:tcPr>
            <w:cnfStyle w:val="001000000000" w:firstRow="0" w:lastRow="0" w:firstColumn="1" w:lastColumn="0" w:oddVBand="0" w:evenVBand="0" w:oddHBand="0" w:evenHBand="0" w:firstRowFirstColumn="0" w:firstRowLastColumn="0" w:lastRowFirstColumn="0" w:lastRowLastColumn="0"/>
            <w:tcW w:w="2122" w:type="dxa"/>
          </w:tcPr>
          <w:p w14:paraId="1A188F42" w14:textId="23D799AD" w:rsidR="00EB018B" w:rsidRDefault="00EB018B" w:rsidP="00DC2A8A">
            <w:r>
              <w:rPr>
                <w:b/>
              </w:rPr>
              <w:t>All wastes</w:t>
            </w:r>
          </w:p>
        </w:tc>
        <w:tc>
          <w:tcPr>
            <w:tcW w:w="1275" w:type="dxa"/>
          </w:tcPr>
          <w:p w14:paraId="3B3C9CA9" w14:textId="4F278921" w:rsidR="00EB018B" w:rsidRDefault="00EB018B" w:rsidP="001F7BB2">
            <w:pPr>
              <w:tabs>
                <w:tab w:val="right" w:pos="885"/>
              </w:tabs>
              <w:cnfStyle w:val="000000000000" w:firstRow="0" w:lastRow="0" w:firstColumn="0" w:lastColumn="0" w:oddVBand="0" w:evenVBand="0" w:oddHBand="0" w:evenHBand="0" w:firstRowFirstColumn="0" w:firstRowLastColumn="0" w:lastRowFirstColumn="0" w:lastRowLastColumn="0"/>
            </w:pPr>
            <w:r>
              <w:rPr>
                <w:b/>
              </w:rPr>
              <w:tab/>
              <w:t>37,030</w:t>
            </w:r>
          </w:p>
        </w:tc>
        <w:tc>
          <w:tcPr>
            <w:tcW w:w="1276" w:type="dxa"/>
          </w:tcPr>
          <w:p w14:paraId="1F52D663" w14:textId="6992156C" w:rsidR="00EB018B" w:rsidRDefault="00EB018B" w:rsidP="00477AA0">
            <w:pPr>
              <w:tabs>
                <w:tab w:val="right" w:pos="1174"/>
                <w:tab w:val="right" w:pos="2025"/>
              </w:tabs>
              <w:jc w:val="right"/>
              <w:cnfStyle w:val="000000000000" w:firstRow="0" w:lastRow="0" w:firstColumn="0" w:lastColumn="0" w:oddVBand="0" w:evenVBand="0" w:oddHBand="0" w:evenHBand="0" w:firstRowFirstColumn="0" w:firstRowLastColumn="0" w:lastRowFirstColumn="0" w:lastRowLastColumn="0"/>
            </w:pPr>
            <w:r>
              <w:t>4,436</w:t>
            </w:r>
          </w:p>
        </w:tc>
        <w:tc>
          <w:tcPr>
            <w:tcW w:w="1418" w:type="dxa"/>
          </w:tcPr>
          <w:p w14:paraId="432BD121" w14:textId="6FF4B228"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$3,1</w:t>
            </w:r>
            <w:r w:rsidR="008A3126">
              <w:t>88</w:t>
            </w:r>
            <w:r>
              <w:t>m</w:t>
            </w:r>
          </w:p>
        </w:tc>
        <w:tc>
          <w:tcPr>
            <w:tcW w:w="1134" w:type="dxa"/>
          </w:tcPr>
          <w:p w14:paraId="3A91DF5B" w14:textId="61BA4D14"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12%</w:t>
            </w:r>
          </w:p>
        </w:tc>
        <w:tc>
          <w:tcPr>
            <w:tcW w:w="1275" w:type="dxa"/>
          </w:tcPr>
          <w:p w14:paraId="47F76962" w14:textId="199E822E" w:rsidR="00EB018B" w:rsidRDefault="00EB018B" w:rsidP="001F7BB2">
            <w:pPr>
              <w:tabs>
                <w:tab w:val="right" w:pos="1159"/>
                <w:tab w:val="right" w:pos="2010"/>
              </w:tabs>
              <w:cnfStyle w:val="000000000000" w:firstRow="0" w:lastRow="0" w:firstColumn="0" w:lastColumn="0" w:oddVBand="0" w:evenVBand="0" w:oddHBand="0" w:evenHBand="0" w:firstRowFirstColumn="0" w:firstRowLastColumn="0" w:lastRowFirstColumn="0" w:lastRowLastColumn="0"/>
            </w:pPr>
            <w:r>
              <w:tab/>
              <w:t>646</w:t>
            </w:r>
          </w:p>
        </w:tc>
        <w:tc>
          <w:tcPr>
            <w:tcW w:w="1015" w:type="dxa"/>
          </w:tcPr>
          <w:p w14:paraId="3AB25BC2" w14:textId="35ED94A1" w:rsidR="00EB018B" w:rsidRDefault="00EB018B" w:rsidP="00EB018B">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t>15%</w:t>
            </w:r>
          </w:p>
        </w:tc>
      </w:tr>
    </w:tbl>
    <w:p w14:paraId="6707C15B" w14:textId="77777777" w:rsidR="00DC2A8A" w:rsidRDefault="00DC2A8A" w:rsidP="00DC2A8A">
      <w:pPr>
        <w:pStyle w:val="BodyText"/>
        <w:rPr>
          <w:i/>
          <w:sz w:val="20"/>
          <w:szCs w:val="20"/>
        </w:rPr>
      </w:pPr>
      <w:r>
        <w:rPr>
          <w:i/>
          <w:sz w:val="20"/>
          <w:szCs w:val="20"/>
        </w:rPr>
        <w:t>Notes:</w:t>
      </w:r>
    </w:p>
    <w:p w14:paraId="60BFCD8A" w14:textId="6055AE7B" w:rsidR="00DC2A8A" w:rsidRDefault="00DC2A8A" w:rsidP="004E374A">
      <w:pPr>
        <w:pStyle w:val="BodyText"/>
        <w:tabs>
          <w:tab w:val="left" w:pos="426"/>
        </w:tabs>
        <w:ind w:left="426" w:hanging="426"/>
        <w:rPr>
          <w:i/>
          <w:sz w:val="20"/>
          <w:szCs w:val="20"/>
        </w:rPr>
      </w:pPr>
      <w:r>
        <w:rPr>
          <w:i/>
          <w:sz w:val="20"/>
          <w:szCs w:val="20"/>
        </w:rPr>
        <w:t>1</w:t>
      </w:r>
      <w:r>
        <w:rPr>
          <w:i/>
          <w:sz w:val="20"/>
          <w:szCs w:val="20"/>
        </w:rPr>
        <w:tab/>
        <w:t>The most recent published national data set</w:t>
      </w:r>
      <w:r w:rsidR="007F0339">
        <w:rPr>
          <w:i/>
          <w:sz w:val="20"/>
          <w:szCs w:val="20"/>
        </w:rPr>
        <w:t xml:space="preserve"> (2016-17)</w:t>
      </w:r>
      <w:r>
        <w:rPr>
          <w:i/>
          <w:sz w:val="20"/>
          <w:szCs w:val="20"/>
        </w:rPr>
        <w:t xml:space="preserve">, taken from the </w:t>
      </w:r>
      <w:hyperlink r:id="rId26" w:history="1">
        <w:r w:rsidRPr="007F670A">
          <w:rPr>
            <w:rStyle w:val="Hyperlink"/>
            <w:sz w:val="20"/>
            <w:szCs w:val="20"/>
          </w:rPr>
          <w:t>National Waste Report 201</w:t>
        </w:r>
      </w:hyperlink>
      <w:r w:rsidR="007F0339">
        <w:rPr>
          <w:rStyle w:val="Hyperlink"/>
          <w:sz w:val="20"/>
          <w:szCs w:val="20"/>
        </w:rPr>
        <w:t>8</w:t>
      </w:r>
      <w:r>
        <w:rPr>
          <w:sz w:val="20"/>
          <w:szCs w:val="20"/>
        </w:rPr>
        <w:t xml:space="preserve">. </w:t>
      </w:r>
      <w:r w:rsidRPr="00DB265F">
        <w:rPr>
          <w:i/>
          <w:sz w:val="20"/>
          <w:szCs w:val="20"/>
        </w:rPr>
        <w:t xml:space="preserve">Comprises </w:t>
      </w:r>
      <w:r>
        <w:rPr>
          <w:i/>
          <w:sz w:val="20"/>
          <w:szCs w:val="20"/>
        </w:rPr>
        <w:t>materials entering</w:t>
      </w:r>
      <w:r w:rsidRPr="00DB265F">
        <w:rPr>
          <w:i/>
          <w:sz w:val="20"/>
          <w:szCs w:val="20"/>
        </w:rPr>
        <w:t xml:space="preserve"> recycling processes.</w:t>
      </w:r>
      <w:r>
        <w:rPr>
          <w:i/>
          <w:sz w:val="20"/>
          <w:szCs w:val="20"/>
        </w:rPr>
        <w:t xml:space="preserve"> </w:t>
      </w:r>
    </w:p>
    <w:p w14:paraId="29E7A2BA" w14:textId="4DF8B33B" w:rsidR="003E25A3" w:rsidRDefault="003E25A3"/>
    <w:p w14:paraId="105EBE69" w14:textId="4D982B12" w:rsidR="00802241" w:rsidRDefault="00802241" w:rsidP="00802241">
      <w:pPr>
        <w:pStyle w:val="Heading2nonumber"/>
      </w:pPr>
      <w:r>
        <w:t xml:space="preserve">Australian </w:t>
      </w:r>
      <w:r w:rsidR="00D1532D">
        <w:t xml:space="preserve">waste export </w:t>
      </w:r>
      <w:r>
        <w:t>bans</w:t>
      </w:r>
    </w:p>
    <w:p w14:paraId="743CF291" w14:textId="6CB25F1A" w:rsidR="00237618" w:rsidRDefault="00802241" w:rsidP="00802241">
      <w:pPr>
        <w:pStyle w:val="BodyText"/>
      </w:pPr>
      <w:r>
        <w:t xml:space="preserve">On 9 August 2019 the Council of Australian Governments agreed </w:t>
      </w:r>
      <w:r w:rsidRPr="00802241">
        <w:t xml:space="preserve">Australia should establish a timetable to ban the export of waste plastic, paper, glass and tyres, while building Australia’s capacity to generate high value recycled commodities and associated demand. </w:t>
      </w:r>
      <w:r w:rsidR="00CF3418">
        <w:t xml:space="preserve">Government leaders tasked </w:t>
      </w:r>
      <w:r w:rsidRPr="00802241">
        <w:t>Environment Ministers to advise on a proposed timetable and response strategy</w:t>
      </w:r>
      <w:r>
        <w:t>.</w:t>
      </w:r>
      <w:r w:rsidR="00237618">
        <w:t xml:space="preserve"> The relevant export codes and reported 2018-19 tonnages and values are given in </w:t>
      </w:r>
      <w:r w:rsidR="008A1B1E">
        <w:fldChar w:fldCharType="begin"/>
      </w:r>
      <w:r w:rsidR="008A1B1E">
        <w:instrText xml:space="preserve"> REF _Ref18921984 \h </w:instrText>
      </w:r>
      <w:r w:rsidR="008A1B1E">
        <w:fldChar w:fldCharType="separate"/>
      </w:r>
      <w:r w:rsidR="001032E2">
        <w:t xml:space="preserve">Table </w:t>
      </w:r>
      <w:r w:rsidR="001032E2">
        <w:rPr>
          <w:noProof/>
        </w:rPr>
        <w:t>2</w:t>
      </w:r>
      <w:r w:rsidR="008A1B1E">
        <w:fldChar w:fldCharType="end"/>
      </w:r>
      <w:r w:rsidR="004967FE">
        <w:t>.</w:t>
      </w:r>
      <w:r w:rsidR="00A0016D">
        <w:t xml:space="preserve"> </w:t>
      </w:r>
      <w:r w:rsidR="00A0016D" w:rsidRPr="00A0016D">
        <w:t xml:space="preserve">Should the COAG export bans apply to all waste-derived glass, paper </w:t>
      </w:r>
      <w:r w:rsidR="00A0016D">
        <w:t>and</w:t>
      </w:r>
      <w:r w:rsidR="00A0016D" w:rsidRPr="00A0016D">
        <w:t xml:space="preserve"> cardboard</w:t>
      </w:r>
      <w:r w:rsidR="00A0016D">
        <w:t>, plastics and tyres</w:t>
      </w:r>
      <w:r w:rsidR="00A0016D" w:rsidRPr="00A0016D">
        <w:t xml:space="preserve">, this would impact </w:t>
      </w:r>
      <w:r w:rsidR="00A0016D">
        <w:t>about 1.4 million</w:t>
      </w:r>
      <w:r w:rsidR="00A0016D" w:rsidRPr="00A0016D">
        <w:t xml:space="preserve"> tonnes </w:t>
      </w:r>
      <w:r w:rsidR="00A0016D">
        <w:t xml:space="preserve">with a value of $291 million, based on </w:t>
      </w:r>
      <w:r w:rsidR="00A0016D" w:rsidRPr="00A0016D">
        <w:t>expor</w:t>
      </w:r>
      <w:r w:rsidR="00A0016D">
        <w:t>ts</w:t>
      </w:r>
      <w:r w:rsidR="00A0016D" w:rsidRPr="00A0016D">
        <w:t xml:space="preserve"> during 2018-19</w:t>
      </w:r>
      <w:r w:rsidR="00A0016D">
        <w:t>.</w:t>
      </w:r>
    </w:p>
    <w:p w14:paraId="6E1A4700" w14:textId="0122AC43" w:rsidR="00237618" w:rsidRDefault="00237618">
      <w:r>
        <w:br w:type="page"/>
      </w:r>
    </w:p>
    <w:p w14:paraId="00E74F29" w14:textId="70E90432" w:rsidR="00237618" w:rsidRDefault="008A1B1E" w:rsidP="008A1B1E">
      <w:pPr>
        <w:pStyle w:val="Caption"/>
      </w:pPr>
      <w:bookmarkStart w:id="20" w:name="_Ref18921984"/>
      <w:r>
        <w:lastRenderedPageBreak/>
        <w:t xml:space="preserve">Table </w:t>
      </w:r>
      <w:fldSimple w:instr=" SEQ Table \* ARABIC ">
        <w:r w:rsidR="001032E2">
          <w:rPr>
            <w:noProof/>
          </w:rPr>
          <w:t>2</w:t>
        </w:r>
      </w:fldSimple>
      <w:bookmarkEnd w:id="20"/>
      <w:r>
        <w:tab/>
        <w:t>2018-19 exports of waste-derived materials assumed to be subject to the proposed Australian export bans (</w:t>
      </w:r>
      <w:r w:rsidR="005130B0">
        <w:t xml:space="preserve">reported </w:t>
      </w:r>
      <w:r>
        <w:t>quantity and value)</w:t>
      </w:r>
    </w:p>
    <w:tbl>
      <w:tblPr>
        <w:tblStyle w:val="BE-table"/>
        <w:tblW w:w="0" w:type="auto"/>
        <w:tblLook w:val="04A0" w:firstRow="1" w:lastRow="0" w:firstColumn="1" w:lastColumn="0" w:noHBand="0" w:noVBand="1"/>
      </w:tblPr>
      <w:tblGrid>
        <w:gridCol w:w="985"/>
        <w:gridCol w:w="1093"/>
        <w:gridCol w:w="4880"/>
        <w:gridCol w:w="696"/>
        <w:gridCol w:w="706"/>
        <w:gridCol w:w="1155"/>
      </w:tblGrid>
      <w:tr w:rsidR="00861687" w:rsidRPr="00DC2A8A" w14:paraId="51FD6184" w14:textId="03F4450E" w:rsidTr="0086168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988" w:type="dxa"/>
            <w:vAlign w:val="bottom"/>
          </w:tcPr>
          <w:p w14:paraId="7BB72A44" w14:textId="1E7822BF" w:rsidR="00237618" w:rsidRDefault="00237618" w:rsidP="008A1B1E">
            <w:pPr>
              <w:spacing w:beforeLines="0" w:afterLines="0"/>
            </w:pPr>
            <w:r>
              <w:t>Material</w:t>
            </w:r>
          </w:p>
        </w:tc>
        <w:tc>
          <w:tcPr>
            <w:tcW w:w="850" w:type="dxa"/>
            <w:vAlign w:val="bottom"/>
          </w:tcPr>
          <w:p w14:paraId="3CDD5A54" w14:textId="16A9CD62" w:rsidR="00237618" w:rsidRPr="00237618" w:rsidRDefault="00237618" w:rsidP="008A1B1E">
            <w:pPr>
              <w:spacing w:beforeLines="0" w:afterLines="0"/>
              <w:cnfStyle w:val="100000000000" w:firstRow="1" w:lastRow="0" w:firstColumn="0" w:lastColumn="0" w:oddVBand="0" w:evenVBand="0" w:oddHBand="0" w:evenHBand="0" w:firstRowFirstColumn="0" w:firstRowLastColumn="0" w:lastRowFirstColumn="0" w:lastRowLastColumn="0"/>
            </w:pPr>
            <w:r>
              <w:t>AHECC code</w:t>
            </w:r>
          </w:p>
        </w:tc>
        <w:tc>
          <w:tcPr>
            <w:tcW w:w="5103" w:type="dxa"/>
            <w:vAlign w:val="bottom"/>
          </w:tcPr>
          <w:p w14:paraId="12DF2A73" w14:textId="3636C0ED" w:rsidR="00237618" w:rsidRPr="00237618" w:rsidRDefault="00237618" w:rsidP="008A1B1E">
            <w:pPr>
              <w:spacing w:beforeLines="0" w:afterLines="0"/>
              <w:cnfStyle w:val="100000000000" w:firstRow="1" w:lastRow="0" w:firstColumn="0" w:lastColumn="0" w:oddVBand="0" w:evenVBand="0" w:oddHBand="0" w:evenHBand="0" w:firstRowFirstColumn="0" w:firstRowLastColumn="0" w:lastRowFirstColumn="0" w:lastRowLastColumn="0"/>
            </w:pPr>
            <w:r>
              <w:t>Description</w:t>
            </w:r>
          </w:p>
        </w:tc>
        <w:tc>
          <w:tcPr>
            <w:tcW w:w="1418" w:type="dxa"/>
            <w:gridSpan w:val="2"/>
            <w:vAlign w:val="bottom"/>
          </w:tcPr>
          <w:p w14:paraId="166C40C4" w14:textId="02E0481D" w:rsidR="00237618" w:rsidRPr="00237618" w:rsidRDefault="00237618" w:rsidP="00861687">
            <w:pPr>
              <w:spacing w:beforeLines="0" w:afterLines="0"/>
              <w:jc w:val="right"/>
              <w:cnfStyle w:val="100000000000" w:firstRow="1" w:lastRow="0" w:firstColumn="0" w:lastColumn="0" w:oddVBand="0" w:evenVBand="0" w:oddHBand="0" w:evenHBand="0" w:firstRowFirstColumn="0" w:firstRowLastColumn="0" w:lastRowFirstColumn="0" w:lastRowLastColumn="0"/>
            </w:pPr>
            <w:r>
              <w:t>Quantity (thousands of tonnes)</w:t>
            </w:r>
          </w:p>
        </w:tc>
        <w:tc>
          <w:tcPr>
            <w:tcW w:w="1156" w:type="dxa"/>
            <w:vAlign w:val="bottom"/>
          </w:tcPr>
          <w:p w14:paraId="4D09E85A" w14:textId="04CEF7CC" w:rsidR="00237618" w:rsidRDefault="00237618" w:rsidP="00861687">
            <w:pPr>
              <w:spacing w:beforeLines="0" w:afterLines="0"/>
              <w:jc w:val="right"/>
              <w:cnfStyle w:val="100000000000" w:firstRow="1" w:lastRow="0" w:firstColumn="0" w:lastColumn="0" w:oddVBand="0" w:evenVBand="0" w:oddHBand="0" w:evenHBand="0" w:firstRowFirstColumn="0" w:firstRowLastColumn="0" w:lastRowFirstColumn="0" w:lastRowLastColumn="0"/>
            </w:pPr>
            <w:r>
              <w:t>Value (thousands of dollars)</w:t>
            </w:r>
          </w:p>
        </w:tc>
      </w:tr>
      <w:tr w:rsidR="00861687" w14:paraId="4220A213" w14:textId="10239C5D" w:rsidTr="00861687">
        <w:tc>
          <w:tcPr>
            <w:cnfStyle w:val="001000000000" w:firstRow="0" w:lastRow="0" w:firstColumn="1" w:lastColumn="0" w:oddVBand="0" w:evenVBand="0" w:oddHBand="0" w:evenHBand="0" w:firstRowFirstColumn="0" w:firstRowLastColumn="0" w:lastRowFirstColumn="0" w:lastRowLastColumn="0"/>
            <w:tcW w:w="988" w:type="dxa"/>
          </w:tcPr>
          <w:p w14:paraId="6E689809" w14:textId="39868405" w:rsidR="00237618" w:rsidRPr="00CF3418" w:rsidRDefault="00237618" w:rsidP="00237618">
            <w:pPr>
              <w:rPr>
                <w:vertAlign w:val="superscript"/>
              </w:rPr>
            </w:pPr>
            <w:r>
              <w:rPr>
                <w:rFonts w:cs="Calibri"/>
                <w:color w:val="000000"/>
              </w:rPr>
              <w:t>Glass</w:t>
            </w:r>
            <w:r w:rsidR="00CF3418">
              <w:rPr>
                <w:rFonts w:cs="Calibri"/>
                <w:color w:val="000000"/>
                <w:vertAlign w:val="superscript"/>
              </w:rPr>
              <w:t>1</w:t>
            </w:r>
          </w:p>
        </w:tc>
        <w:tc>
          <w:tcPr>
            <w:tcW w:w="850" w:type="dxa"/>
            <w:vAlign w:val="center"/>
          </w:tcPr>
          <w:p w14:paraId="3D9D7D94" w14:textId="21A76AA6" w:rsidR="00237618" w:rsidRDefault="00237618"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70010000</w:t>
            </w:r>
          </w:p>
        </w:tc>
        <w:tc>
          <w:tcPr>
            <w:tcW w:w="5812" w:type="dxa"/>
            <w:gridSpan w:val="2"/>
            <w:vAlign w:val="center"/>
          </w:tcPr>
          <w:p w14:paraId="5DE77300" w14:textId="11B6B598" w:rsidR="00237618" w:rsidRDefault="00237618"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Cullet and other waste and scrap of glass; glass in the mass</w:t>
            </w:r>
          </w:p>
        </w:tc>
        <w:tc>
          <w:tcPr>
            <w:tcW w:w="709" w:type="dxa"/>
            <w:tcBorders>
              <w:right w:val="nil"/>
            </w:tcBorders>
            <w:vAlign w:val="center"/>
          </w:tcPr>
          <w:p w14:paraId="1333B7D8" w14:textId="1DFDEBFC" w:rsidR="00237618" w:rsidRDefault="00237618"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16</w:t>
            </w:r>
          </w:p>
        </w:tc>
        <w:tc>
          <w:tcPr>
            <w:tcW w:w="1156" w:type="dxa"/>
            <w:tcBorders>
              <w:left w:val="nil"/>
            </w:tcBorders>
            <w:vAlign w:val="center"/>
          </w:tcPr>
          <w:p w14:paraId="41326331" w14:textId="26E734C5" w:rsidR="00237618" w:rsidRPr="00237618" w:rsidRDefault="00237618"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$716</w:t>
            </w:r>
          </w:p>
        </w:tc>
      </w:tr>
      <w:tr w:rsidR="008A1B1E" w14:paraId="6A68468C" w14:textId="45142C9C" w:rsidTr="00861687">
        <w:tc>
          <w:tcPr>
            <w:cnfStyle w:val="001000000000" w:firstRow="0" w:lastRow="0" w:firstColumn="1" w:lastColumn="0" w:oddVBand="0" w:evenVBand="0" w:oddHBand="0" w:evenHBand="0" w:firstRowFirstColumn="0" w:firstRowLastColumn="0" w:lastRowFirstColumn="0" w:lastRowLastColumn="0"/>
            <w:tcW w:w="988" w:type="dxa"/>
            <w:vMerge w:val="restart"/>
          </w:tcPr>
          <w:p w14:paraId="78F68D1D" w14:textId="566C080E" w:rsidR="008A1B1E" w:rsidRDefault="008A1B1E" w:rsidP="00237618">
            <w:r>
              <w:rPr>
                <w:rFonts w:cs="Calibri"/>
                <w:color w:val="000000"/>
              </w:rPr>
              <w:t>Paper &amp; cardb</w:t>
            </w:r>
            <w:r w:rsidR="00861687">
              <w:rPr>
                <w:rFonts w:cs="Calibri"/>
                <w:color w:val="000000"/>
              </w:rPr>
              <w:t>’</w:t>
            </w:r>
            <w:r>
              <w:rPr>
                <w:rFonts w:cs="Calibri"/>
                <w:color w:val="000000"/>
              </w:rPr>
              <w:t>d</w:t>
            </w:r>
          </w:p>
        </w:tc>
        <w:tc>
          <w:tcPr>
            <w:tcW w:w="850" w:type="dxa"/>
            <w:vAlign w:val="center"/>
          </w:tcPr>
          <w:p w14:paraId="2590860D" w14:textId="2EB31AA7"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47071000</w:t>
            </w:r>
          </w:p>
        </w:tc>
        <w:tc>
          <w:tcPr>
            <w:tcW w:w="5812" w:type="dxa"/>
            <w:gridSpan w:val="2"/>
            <w:vAlign w:val="center"/>
          </w:tcPr>
          <w:p w14:paraId="34736595" w14:textId="2961509A"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Recovered (waste and scrap), unbleached, kraft paper or paperboard or corrugated paper or paperboard</w:t>
            </w:r>
          </w:p>
        </w:tc>
        <w:tc>
          <w:tcPr>
            <w:tcW w:w="709" w:type="dxa"/>
            <w:tcBorders>
              <w:right w:val="nil"/>
            </w:tcBorders>
            <w:vAlign w:val="center"/>
          </w:tcPr>
          <w:p w14:paraId="4A0CDC32" w14:textId="3152E070"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661</w:t>
            </w:r>
          </w:p>
        </w:tc>
        <w:tc>
          <w:tcPr>
            <w:tcW w:w="1156" w:type="dxa"/>
            <w:tcBorders>
              <w:left w:val="nil"/>
            </w:tcBorders>
            <w:vAlign w:val="center"/>
          </w:tcPr>
          <w:p w14:paraId="32004666" w14:textId="0EE02CEE"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$135,403</w:t>
            </w:r>
          </w:p>
        </w:tc>
      </w:tr>
      <w:tr w:rsidR="008A1B1E" w14:paraId="091688C1" w14:textId="4F9975D8" w:rsidTr="00861687">
        <w:tc>
          <w:tcPr>
            <w:cnfStyle w:val="001000000000" w:firstRow="0" w:lastRow="0" w:firstColumn="1" w:lastColumn="0" w:oddVBand="0" w:evenVBand="0" w:oddHBand="0" w:evenHBand="0" w:firstRowFirstColumn="0" w:firstRowLastColumn="0" w:lastRowFirstColumn="0" w:lastRowLastColumn="0"/>
            <w:tcW w:w="988" w:type="dxa"/>
            <w:vMerge/>
          </w:tcPr>
          <w:p w14:paraId="3D6767A3" w14:textId="79FFF05A" w:rsidR="008A1B1E" w:rsidRDefault="008A1B1E" w:rsidP="00237618"/>
        </w:tc>
        <w:tc>
          <w:tcPr>
            <w:tcW w:w="850" w:type="dxa"/>
            <w:vAlign w:val="center"/>
          </w:tcPr>
          <w:p w14:paraId="42FFBEF1" w14:textId="281242EC"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47079000</w:t>
            </w:r>
          </w:p>
        </w:tc>
        <w:tc>
          <w:tcPr>
            <w:tcW w:w="5812" w:type="dxa"/>
            <w:gridSpan w:val="2"/>
            <w:vAlign w:val="center"/>
          </w:tcPr>
          <w:p w14:paraId="684CFE83" w14:textId="368157D0"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Waste and scrap paper or paperboard (incl. unsorted waste &amp; scrap) (excl. unbleached kraft or corrugated (470710); that made mainly from bleached chemical pulp, not coloured in the mass; or made mainly of mechanical pulp)</w:t>
            </w:r>
          </w:p>
        </w:tc>
        <w:tc>
          <w:tcPr>
            <w:tcW w:w="709" w:type="dxa"/>
            <w:tcBorders>
              <w:right w:val="nil"/>
            </w:tcBorders>
            <w:vAlign w:val="center"/>
          </w:tcPr>
          <w:p w14:paraId="6CCCD50F" w14:textId="537903E0"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378</w:t>
            </w:r>
          </w:p>
        </w:tc>
        <w:tc>
          <w:tcPr>
            <w:tcW w:w="1156" w:type="dxa"/>
            <w:tcBorders>
              <w:left w:val="nil"/>
            </w:tcBorders>
            <w:vAlign w:val="center"/>
          </w:tcPr>
          <w:p w14:paraId="4D4AC18D" w14:textId="49286540"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$74,972</w:t>
            </w:r>
          </w:p>
        </w:tc>
      </w:tr>
      <w:tr w:rsidR="008A1B1E" w14:paraId="465DF475" w14:textId="47F00F25" w:rsidTr="00861687">
        <w:tc>
          <w:tcPr>
            <w:cnfStyle w:val="001000000000" w:firstRow="0" w:lastRow="0" w:firstColumn="1" w:lastColumn="0" w:oddVBand="0" w:evenVBand="0" w:oddHBand="0" w:evenHBand="0" w:firstRowFirstColumn="0" w:firstRowLastColumn="0" w:lastRowFirstColumn="0" w:lastRowLastColumn="0"/>
            <w:tcW w:w="988" w:type="dxa"/>
            <w:vMerge/>
          </w:tcPr>
          <w:p w14:paraId="40890198" w14:textId="6AB49FB5" w:rsidR="008A1B1E" w:rsidRDefault="008A1B1E" w:rsidP="00237618"/>
        </w:tc>
        <w:tc>
          <w:tcPr>
            <w:tcW w:w="850" w:type="dxa"/>
            <w:vAlign w:val="center"/>
          </w:tcPr>
          <w:p w14:paraId="630F07DF" w14:textId="5F9E31CC"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47073000</w:t>
            </w:r>
          </w:p>
        </w:tc>
        <w:tc>
          <w:tcPr>
            <w:tcW w:w="5812" w:type="dxa"/>
            <w:gridSpan w:val="2"/>
            <w:vAlign w:val="center"/>
          </w:tcPr>
          <w:p w14:paraId="52ADE62E" w14:textId="4ECA3D20"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Recovered (waste and scrap) paper or paperboard, made mainly of mechanical pulp (for example, newspapers, journals and similar printed matter)</w:t>
            </w:r>
          </w:p>
        </w:tc>
        <w:tc>
          <w:tcPr>
            <w:tcW w:w="709" w:type="dxa"/>
            <w:tcBorders>
              <w:right w:val="nil"/>
            </w:tcBorders>
            <w:vAlign w:val="center"/>
          </w:tcPr>
          <w:p w14:paraId="74644953" w14:textId="64968463"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54</w:t>
            </w:r>
          </w:p>
        </w:tc>
        <w:tc>
          <w:tcPr>
            <w:tcW w:w="1156" w:type="dxa"/>
            <w:tcBorders>
              <w:left w:val="nil"/>
            </w:tcBorders>
            <w:vAlign w:val="center"/>
          </w:tcPr>
          <w:p w14:paraId="5F81DEDF" w14:textId="2DC12A55"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$17,696</w:t>
            </w:r>
          </w:p>
        </w:tc>
      </w:tr>
      <w:tr w:rsidR="008A1B1E" w14:paraId="0336A2BF" w14:textId="14500873" w:rsidTr="00861687">
        <w:tc>
          <w:tcPr>
            <w:cnfStyle w:val="001000000000" w:firstRow="0" w:lastRow="0" w:firstColumn="1" w:lastColumn="0" w:oddVBand="0" w:evenVBand="0" w:oddHBand="0" w:evenHBand="0" w:firstRowFirstColumn="0" w:firstRowLastColumn="0" w:lastRowFirstColumn="0" w:lastRowLastColumn="0"/>
            <w:tcW w:w="988" w:type="dxa"/>
            <w:vMerge/>
          </w:tcPr>
          <w:p w14:paraId="1D77F75C" w14:textId="2E5FDC10" w:rsidR="008A1B1E" w:rsidRDefault="008A1B1E" w:rsidP="00237618"/>
        </w:tc>
        <w:tc>
          <w:tcPr>
            <w:tcW w:w="850" w:type="dxa"/>
            <w:vAlign w:val="center"/>
          </w:tcPr>
          <w:p w14:paraId="1E594982" w14:textId="52E945AF"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47072000</w:t>
            </w:r>
          </w:p>
        </w:tc>
        <w:tc>
          <w:tcPr>
            <w:tcW w:w="5812" w:type="dxa"/>
            <w:gridSpan w:val="2"/>
            <w:vAlign w:val="center"/>
          </w:tcPr>
          <w:p w14:paraId="6265C5D5" w14:textId="3F97DEA6"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Recovered (waste and scrap) paper or paperboard, made mainly of bleached chemical pulp, not coloured in the mass</w:t>
            </w:r>
          </w:p>
        </w:tc>
        <w:tc>
          <w:tcPr>
            <w:tcW w:w="709" w:type="dxa"/>
            <w:tcBorders>
              <w:right w:val="nil"/>
            </w:tcBorders>
            <w:vAlign w:val="center"/>
          </w:tcPr>
          <w:p w14:paraId="756372C3" w14:textId="7D61A5E6"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26</w:t>
            </w:r>
          </w:p>
        </w:tc>
        <w:tc>
          <w:tcPr>
            <w:tcW w:w="1156" w:type="dxa"/>
            <w:tcBorders>
              <w:left w:val="nil"/>
            </w:tcBorders>
            <w:vAlign w:val="center"/>
          </w:tcPr>
          <w:p w14:paraId="5D60EBC8" w14:textId="6681CFCD"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$7,038</w:t>
            </w:r>
          </w:p>
        </w:tc>
      </w:tr>
      <w:tr w:rsidR="008A1B1E" w14:paraId="3A695E5F" w14:textId="77777777" w:rsidTr="00861687">
        <w:tc>
          <w:tcPr>
            <w:cnfStyle w:val="001000000000" w:firstRow="0" w:lastRow="0" w:firstColumn="1" w:lastColumn="0" w:oddVBand="0" w:evenVBand="0" w:oddHBand="0" w:evenHBand="0" w:firstRowFirstColumn="0" w:firstRowLastColumn="0" w:lastRowFirstColumn="0" w:lastRowLastColumn="0"/>
            <w:tcW w:w="988" w:type="dxa"/>
            <w:vMerge/>
          </w:tcPr>
          <w:p w14:paraId="2F40F767" w14:textId="2E8A2E93" w:rsidR="008A1B1E" w:rsidRDefault="008A1B1E" w:rsidP="00237618"/>
        </w:tc>
        <w:tc>
          <w:tcPr>
            <w:tcW w:w="850" w:type="dxa"/>
            <w:vAlign w:val="center"/>
          </w:tcPr>
          <w:p w14:paraId="6A5FEF5A" w14:textId="5A233DF6"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47062000</w:t>
            </w:r>
          </w:p>
        </w:tc>
        <w:tc>
          <w:tcPr>
            <w:tcW w:w="5812" w:type="dxa"/>
            <w:gridSpan w:val="2"/>
            <w:vAlign w:val="center"/>
          </w:tcPr>
          <w:p w14:paraId="7D6E2DBA" w14:textId="404560F8"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Pulps of fibres derived from recovered (waste and scrap) paper or paperboard</w:t>
            </w:r>
          </w:p>
        </w:tc>
        <w:tc>
          <w:tcPr>
            <w:tcW w:w="709" w:type="dxa"/>
            <w:tcBorders>
              <w:right w:val="nil"/>
            </w:tcBorders>
            <w:vAlign w:val="center"/>
          </w:tcPr>
          <w:p w14:paraId="06DD3734" w14:textId="262663E3"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0.01</w:t>
            </w:r>
          </w:p>
        </w:tc>
        <w:tc>
          <w:tcPr>
            <w:tcW w:w="1156" w:type="dxa"/>
            <w:tcBorders>
              <w:left w:val="nil"/>
            </w:tcBorders>
            <w:vAlign w:val="center"/>
          </w:tcPr>
          <w:p w14:paraId="6F9B7877" w14:textId="1D0DCBE8"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$11</w:t>
            </w:r>
          </w:p>
        </w:tc>
      </w:tr>
      <w:tr w:rsidR="008A1B1E" w14:paraId="5E563394" w14:textId="77777777" w:rsidTr="00861687">
        <w:tc>
          <w:tcPr>
            <w:cnfStyle w:val="001000000000" w:firstRow="0" w:lastRow="0" w:firstColumn="1" w:lastColumn="0" w:oddVBand="0" w:evenVBand="0" w:oddHBand="0" w:evenHBand="0" w:firstRowFirstColumn="0" w:firstRowLastColumn="0" w:lastRowFirstColumn="0" w:lastRowLastColumn="0"/>
            <w:tcW w:w="988" w:type="dxa"/>
            <w:vMerge w:val="restart"/>
          </w:tcPr>
          <w:p w14:paraId="732162F2" w14:textId="16839400" w:rsidR="008A1B1E" w:rsidRDefault="008A1B1E" w:rsidP="00237618">
            <w:r>
              <w:rPr>
                <w:rFonts w:cs="Calibri"/>
                <w:color w:val="000000"/>
              </w:rPr>
              <w:t>Plastics</w:t>
            </w:r>
          </w:p>
        </w:tc>
        <w:tc>
          <w:tcPr>
            <w:tcW w:w="850" w:type="dxa"/>
            <w:vAlign w:val="center"/>
          </w:tcPr>
          <w:p w14:paraId="62DDC5D6" w14:textId="150CFC15"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39159092</w:t>
            </w:r>
          </w:p>
        </w:tc>
        <w:tc>
          <w:tcPr>
            <w:tcW w:w="5812" w:type="dxa"/>
            <w:gridSpan w:val="2"/>
            <w:vAlign w:val="center"/>
          </w:tcPr>
          <w:p w14:paraId="70FBA08B" w14:textId="7D942794" w:rsidR="008A1B1E" w:rsidRPr="00861687"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rPr>
                <w:vertAlign w:val="superscript"/>
              </w:rPr>
            </w:pPr>
            <w:r>
              <w:rPr>
                <w:rFonts w:cs="Calibri"/>
                <w:color w:val="000000"/>
              </w:rPr>
              <w:t>Waste, parings and scrap, of plastics (excl. those of polymers of ethylene, styrene or vinyl chloride)</w:t>
            </w:r>
            <w:r w:rsidR="00CF3418">
              <w:rPr>
                <w:rFonts w:cs="Calibri"/>
                <w:color w:val="000000"/>
                <w:vertAlign w:val="superscript"/>
              </w:rPr>
              <w:t>2</w:t>
            </w:r>
          </w:p>
        </w:tc>
        <w:tc>
          <w:tcPr>
            <w:tcW w:w="709" w:type="dxa"/>
            <w:tcBorders>
              <w:right w:val="nil"/>
            </w:tcBorders>
            <w:vAlign w:val="center"/>
          </w:tcPr>
          <w:p w14:paraId="004AF3BB" w14:textId="29D2D4B5"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150</w:t>
            </w:r>
          </w:p>
        </w:tc>
        <w:tc>
          <w:tcPr>
            <w:tcW w:w="1156" w:type="dxa"/>
            <w:tcBorders>
              <w:left w:val="nil"/>
            </w:tcBorders>
            <w:vAlign w:val="center"/>
          </w:tcPr>
          <w:p w14:paraId="5674EA87" w14:textId="3554545B"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$31,349</w:t>
            </w:r>
          </w:p>
        </w:tc>
      </w:tr>
      <w:tr w:rsidR="008A1B1E" w14:paraId="33A4154C" w14:textId="77777777" w:rsidTr="00861687">
        <w:tc>
          <w:tcPr>
            <w:cnfStyle w:val="001000000000" w:firstRow="0" w:lastRow="0" w:firstColumn="1" w:lastColumn="0" w:oddVBand="0" w:evenVBand="0" w:oddHBand="0" w:evenHBand="0" w:firstRowFirstColumn="0" w:firstRowLastColumn="0" w:lastRowFirstColumn="0" w:lastRowLastColumn="0"/>
            <w:tcW w:w="988" w:type="dxa"/>
            <w:vMerge/>
          </w:tcPr>
          <w:p w14:paraId="15574D17" w14:textId="52C98A46" w:rsidR="008A1B1E" w:rsidRDefault="008A1B1E" w:rsidP="00237618"/>
        </w:tc>
        <w:tc>
          <w:tcPr>
            <w:tcW w:w="850" w:type="dxa"/>
            <w:vAlign w:val="center"/>
          </w:tcPr>
          <w:p w14:paraId="5135395B" w14:textId="2E2F72D1"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39151000</w:t>
            </w:r>
          </w:p>
        </w:tc>
        <w:tc>
          <w:tcPr>
            <w:tcW w:w="5812" w:type="dxa"/>
            <w:gridSpan w:val="2"/>
            <w:vAlign w:val="center"/>
          </w:tcPr>
          <w:p w14:paraId="01E63546" w14:textId="591DFEEC" w:rsidR="008A1B1E" w:rsidRPr="00861687"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rPr>
                <w:vertAlign w:val="superscript"/>
              </w:rPr>
            </w:pPr>
            <w:r>
              <w:rPr>
                <w:rFonts w:cs="Calibri"/>
                <w:color w:val="000000"/>
              </w:rPr>
              <w:t>Waste, parings and scrap, of polymers of ethylene</w:t>
            </w:r>
            <w:r w:rsidR="00CF3418">
              <w:rPr>
                <w:rFonts w:cs="Calibri"/>
                <w:color w:val="000000"/>
                <w:vertAlign w:val="superscript"/>
              </w:rPr>
              <w:t>2</w:t>
            </w:r>
          </w:p>
        </w:tc>
        <w:tc>
          <w:tcPr>
            <w:tcW w:w="709" w:type="dxa"/>
            <w:tcBorders>
              <w:right w:val="nil"/>
            </w:tcBorders>
            <w:vAlign w:val="center"/>
          </w:tcPr>
          <w:p w14:paraId="77967067" w14:textId="1836E40C"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36</w:t>
            </w:r>
          </w:p>
        </w:tc>
        <w:tc>
          <w:tcPr>
            <w:tcW w:w="1156" w:type="dxa"/>
            <w:tcBorders>
              <w:left w:val="nil"/>
            </w:tcBorders>
            <w:vAlign w:val="center"/>
          </w:tcPr>
          <w:p w14:paraId="6163258A" w14:textId="7F34EF10"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$11,374</w:t>
            </w:r>
          </w:p>
        </w:tc>
      </w:tr>
      <w:tr w:rsidR="008A1B1E" w14:paraId="2FBF90C7" w14:textId="77777777" w:rsidTr="00861687">
        <w:tc>
          <w:tcPr>
            <w:cnfStyle w:val="001000000000" w:firstRow="0" w:lastRow="0" w:firstColumn="1" w:lastColumn="0" w:oddVBand="0" w:evenVBand="0" w:oddHBand="0" w:evenHBand="0" w:firstRowFirstColumn="0" w:firstRowLastColumn="0" w:lastRowFirstColumn="0" w:lastRowLastColumn="0"/>
            <w:tcW w:w="988" w:type="dxa"/>
            <w:vMerge/>
          </w:tcPr>
          <w:p w14:paraId="6C4B85DB" w14:textId="18CA8DA7" w:rsidR="008A1B1E" w:rsidRDefault="008A1B1E" w:rsidP="00237618"/>
        </w:tc>
        <w:tc>
          <w:tcPr>
            <w:tcW w:w="850" w:type="dxa"/>
            <w:vAlign w:val="center"/>
          </w:tcPr>
          <w:p w14:paraId="285B1414" w14:textId="6D5496D0"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39152000</w:t>
            </w:r>
          </w:p>
        </w:tc>
        <w:tc>
          <w:tcPr>
            <w:tcW w:w="5812" w:type="dxa"/>
            <w:gridSpan w:val="2"/>
            <w:vAlign w:val="center"/>
          </w:tcPr>
          <w:p w14:paraId="491DFDEF" w14:textId="7A98F5E3"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Waste, parings and scrap, of polymers of styrene</w:t>
            </w:r>
            <w:r w:rsidR="00CF3418">
              <w:rPr>
                <w:rFonts w:cs="Calibri"/>
                <w:color w:val="000000"/>
                <w:vertAlign w:val="superscript"/>
              </w:rPr>
              <w:t>2</w:t>
            </w:r>
          </w:p>
        </w:tc>
        <w:tc>
          <w:tcPr>
            <w:tcW w:w="709" w:type="dxa"/>
            <w:tcBorders>
              <w:right w:val="nil"/>
            </w:tcBorders>
            <w:vAlign w:val="center"/>
          </w:tcPr>
          <w:p w14:paraId="1EA39C48" w14:textId="0CD74DFF"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1.2</w:t>
            </w:r>
          </w:p>
        </w:tc>
        <w:tc>
          <w:tcPr>
            <w:tcW w:w="1156" w:type="dxa"/>
            <w:tcBorders>
              <w:left w:val="nil"/>
            </w:tcBorders>
            <w:vAlign w:val="center"/>
          </w:tcPr>
          <w:p w14:paraId="05AF4390" w14:textId="2CC42802"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$680</w:t>
            </w:r>
          </w:p>
        </w:tc>
      </w:tr>
      <w:tr w:rsidR="008A1B1E" w14:paraId="4A47EDED" w14:textId="77777777" w:rsidTr="00861687">
        <w:tc>
          <w:tcPr>
            <w:cnfStyle w:val="001000000000" w:firstRow="0" w:lastRow="0" w:firstColumn="1" w:lastColumn="0" w:oddVBand="0" w:evenVBand="0" w:oddHBand="0" w:evenHBand="0" w:firstRowFirstColumn="0" w:firstRowLastColumn="0" w:lastRowFirstColumn="0" w:lastRowLastColumn="0"/>
            <w:tcW w:w="988" w:type="dxa"/>
            <w:vMerge/>
          </w:tcPr>
          <w:p w14:paraId="720531CF" w14:textId="2DA8FA90" w:rsidR="008A1B1E" w:rsidRDefault="008A1B1E" w:rsidP="00237618"/>
        </w:tc>
        <w:tc>
          <w:tcPr>
            <w:tcW w:w="850" w:type="dxa"/>
            <w:vAlign w:val="center"/>
          </w:tcPr>
          <w:p w14:paraId="4C54C9DC" w14:textId="612A9010"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39153000</w:t>
            </w:r>
          </w:p>
        </w:tc>
        <w:tc>
          <w:tcPr>
            <w:tcW w:w="5812" w:type="dxa"/>
            <w:gridSpan w:val="2"/>
            <w:vAlign w:val="center"/>
          </w:tcPr>
          <w:p w14:paraId="6BD0D9E8" w14:textId="6EC98E81"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Waste, parings and scrap, of polymers of vinyl chloride</w:t>
            </w:r>
            <w:r w:rsidR="00CF3418">
              <w:rPr>
                <w:rFonts w:cs="Calibri"/>
                <w:color w:val="000000"/>
                <w:vertAlign w:val="superscript"/>
              </w:rPr>
              <w:t>2</w:t>
            </w:r>
          </w:p>
        </w:tc>
        <w:tc>
          <w:tcPr>
            <w:tcW w:w="709" w:type="dxa"/>
            <w:tcBorders>
              <w:right w:val="nil"/>
            </w:tcBorders>
            <w:vAlign w:val="center"/>
          </w:tcPr>
          <w:p w14:paraId="46448314" w14:textId="3AD7D481"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0.1</w:t>
            </w:r>
          </w:p>
        </w:tc>
        <w:tc>
          <w:tcPr>
            <w:tcW w:w="1156" w:type="dxa"/>
            <w:tcBorders>
              <w:left w:val="nil"/>
            </w:tcBorders>
            <w:vAlign w:val="center"/>
          </w:tcPr>
          <w:p w14:paraId="4D658263" w14:textId="7C3F9D7B"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$35</w:t>
            </w:r>
          </w:p>
        </w:tc>
      </w:tr>
      <w:tr w:rsidR="008A1B1E" w14:paraId="2F6F9B9E" w14:textId="77777777" w:rsidTr="00861687">
        <w:tc>
          <w:tcPr>
            <w:cnfStyle w:val="001000000000" w:firstRow="0" w:lastRow="0" w:firstColumn="1" w:lastColumn="0" w:oddVBand="0" w:evenVBand="0" w:oddHBand="0" w:evenHBand="0" w:firstRowFirstColumn="0" w:firstRowLastColumn="0" w:lastRowFirstColumn="0" w:lastRowLastColumn="0"/>
            <w:tcW w:w="988" w:type="dxa"/>
            <w:vMerge w:val="restart"/>
          </w:tcPr>
          <w:p w14:paraId="0835F8AE" w14:textId="38CA805C" w:rsidR="008A1B1E" w:rsidRPr="00CF3418" w:rsidRDefault="008A1B1E" w:rsidP="00237618">
            <w:pPr>
              <w:rPr>
                <w:vertAlign w:val="superscript"/>
              </w:rPr>
            </w:pPr>
            <w:r>
              <w:rPr>
                <w:rFonts w:cs="Calibri"/>
                <w:color w:val="000000"/>
              </w:rPr>
              <w:t>Tyres</w:t>
            </w:r>
            <w:r w:rsidR="00CF3418">
              <w:rPr>
                <w:rFonts w:cs="Calibri"/>
                <w:color w:val="000000"/>
                <w:vertAlign w:val="superscript"/>
              </w:rPr>
              <w:t>3</w:t>
            </w:r>
          </w:p>
        </w:tc>
        <w:tc>
          <w:tcPr>
            <w:tcW w:w="850" w:type="dxa"/>
            <w:vAlign w:val="center"/>
          </w:tcPr>
          <w:p w14:paraId="1991E848" w14:textId="38E5A23C"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40040000</w:t>
            </w:r>
          </w:p>
        </w:tc>
        <w:tc>
          <w:tcPr>
            <w:tcW w:w="5812" w:type="dxa"/>
            <w:gridSpan w:val="2"/>
            <w:vAlign w:val="center"/>
          </w:tcPr>
          <w:p w14:paraId="0D88C70F" w14:textId="730AEB38"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Waste, parings and scrap of rubber (excl. of hard rubber) and powders and granules obtained therefrom</w:t>
            </w:r>
          </w:p>
        </w:tc>
        <w:tc>
          <w:tcPr>
            <w:tcW w:w="709" w:type="dxa"/>
            <w:tcBorders>
              <w:right w:val="nil"/>
            </w:tcBorders>
            <w:vAlign w:val="center"/>
          </w:tcPr>
          <w:p w14:paraId="53494711" w14:textId="05001A6E"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85</w:t>
            </w:r>
          </w:p>
        </w:tc>
        <w:tc>
          <w:tcPr>
            <w:tcW w:w="1156" w:type="dxa"/>
            <w:tcBorders>
              <w:left w:val="nil"/>
            </w:tcBorders>
            <w:vAlign w:val="center"/>
          </w:tcPr>
          <w:p w14:paraId="3D382EFE" w14:textId="2F895FD6"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$3,644</w:t>
            </w:r>
          </w:p>
        </w:tc>
      </w:tr>
      <w:tr w:rsidR="008A1B1E" w14:paraId="0FEAD743" w14:textId="77777777" w:rsidTr="00861687">
        <w:tc>
          <w:tcPr>
            <w:cnfStyle w:val="001000000000" w:firstRow="0" w:lastRow="0" w:firstColumn="1" w:lastColumn="0" w:oddVBand="0" w:evenVBand="0" w:oddHBand="0" w:evenHBand="0" w:firstRowFirstColumn="0" w:firstRowLastColumn="0" w:lastRowFirstColumn="0" w:lastRowLastColumn="0"/>
            <w:tcW w:w="988" w:type="dxa"/>
            <w:vMerge/>
          </w:tcPr>
          <w:p w14:paraId="7436FA41" w14:textId="5D0619FF" w:rsidR="008A1B1E" w:rsidRDefault="008A1B1E" w:rsidP="00237618"/>
        </w:tc>
        <w:tc>
          <w:tcPr>
            <w:tcW w:w="850" w:type="dxa"/>
            <w:vAlign w:val="center"/>
          </w:tcPr>
          <w:p w14:paraId="7C2B877F" w14:textId="488CB907" w:rsidR="008A1B1E" w:rsidRDefault="008A1B1E" w:rsidP="00237618">
            <w:pPr>
              <w:tabs>
                <w:tab w:val="right" w:pos="885"/>
              </w:tabs>
              <w:cnfStyle w:val="000000000000" w:firstRow="0" w:lastRow="0" w:firstColumn="0" w:lastColumn="0" w:oddVBand="0" w:evenVBand="0" w:oddHBand="0" w:evenHBand="0" w:firstRowFirstColumn="0" w:firstRowLastColumn="0" w:lastRowFirstColumn="0" w:lastRowLastColumn="0"/>
            </w:pPr>
            <w:r>
              <w:rPr>
                <w:rFonts w:cs="Calibri"/>
                <w:color w:val="000000"/>
              </w:rPr>
              <w:t>40122000</w:t>
            </w:r>
            <w:r w:rsidR="00CF3418">
              <w:rPr>
                <w:rFonts w:cs="Calibri"/>
                <w:color w:val="000000"/>
                <w:vertAlign w:val="superscript"/>
              </w:rPr>
              <w:t>4</w:t>
            </w:r>
          </w:p>
        </w:tc>
        <w:tc>
          <w:tcPr>
            <w:tcW w:w="5812" w:type="dxa"/>
            <w:gridSpan w:val="2"/>
            <w:vAlign w:val="center"/>
          </w:tcPr>
          <w:p w14:paraId="2CFA04F4" w14:textId="41F88C9C" w:rsidR="008A1B1E" w:rsidRDefault="008A1B1E" w:rsidP="00237618">
            <w:pPr>
              <w:tabs>
                <w:tab w:val="right" w:pos="1174"/>
                <w:tab w:val="right" w:pos="2025"/>
              </w:tabs>
              <w:cnfStyle w:val="000000000000" w:firstRow="0" w:lastRow="0" w:firstColumn="0" w:lastColumn="0" w:oddVBand="0" w:evenVBand="0" w:oddHBand="0" w:evenHBand="0" w:firstRowFirstColumn="0" w:firstRowLastColumn="0" w:lastRowFirstColumn="0" w:lastRowLastColumn="0"/>
            </w:pPr>
            <w:r>
              <w:rPr>
                <w:rFonts w:cs="Calibri"/>
                <w:color w:val="000000"/>
              </w:rPr>
              <w:t>Used pneumatic rubber tyres, whether or not subject to recutting or regrooving</w:t>
            </w:r>
          </w:p>
        </w:tc>
        <w:tc>
          <w:tcPr>
            <w:tcW w:w="709" w:type="dxa"/>
            <w:tcBorders>
              <w:right w:val="nil"/>
            </w:tcBorders>
            <w:vAlign w:val="center"/>
          </w:tcPr>
          <w:p w14:paraId="0E9CDB30" w14:textId="70029EF6" w:rsidR="008A1B1E"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Pr>
                <w:rFonts w:cs="Calibri"/>
                <w:color w:val="000000"/>
              </w:rPr>
              <w:t>17</w:t>
            </w:r>
          </w:p>
        </w:tc>
        <w:tc>
          <w:tcPr>
            <w:tcW w:w="1156" w:type="dxa"/>
            <w:tcBorders>
              <w:left w:val="nil"/>
            </w:tcBorders>
            <w:vAlign w:val="center"/>
          </w:tcPr>
          <w:p w14:paraId="32916C0C" w14:textId="442E5ACD" w:rsidR="008A1B1E" w:rsidRPr="00237618" w:rsidRDefault="008A1B1E" w:rsidP="008A1B1E">
            <w:pPr>
              <w:tabs>
                <w:tab w:val="right" w:pos="1159"/>
                <w:tab w:val="right" w:pos="2010"/>
              </w:tabs>
              <w:jc w:val="right"/>
              <w:cnfStyle w:val="000000000000" w:firstRow="0" w:lastRow="0" w:firstColumn="0" w:lastColumn="0" w:oddVBand="0" w:evenVBand="0" w:oddHBand="0" w:evenHBand="0" w:firstRowFirstColumn="0" w:firstRowLastColumn="0" w:lastRowFirstColumn="0" w:lastRowLastColumn="0"/>
            </w:pPr>
            <w:r w:rsidRPr="00237618">
              <w:rPr>
                <w:rFonts w:cs="Calibri"/>
                <w:color w:val="000000"/>
              </w:rPr>
              <w:t>$7,829</w:t>
            </w:r>
          </w:p>
        </w:tc>
      </w:tr>
    </w:tbl>
    <w:p w14:paraId="42381A41" w14:textId="2B4296D0" w:rsidR="00CF3418" w:rsidRDefault="008A1B1E" w:rsidP="008A1B1E">
      <w:pPr>
        <w:pStyle w:val="Notes"/>
        <w:ind w:left="284" w:hanging="284"/>
      </w:pPr>
      <w:r>
        <w:t>1</w:t>
      </w:r>
      <w:r>
        <w:tab/>
      </w:r>
      <w:r w:rsidR="00CF3418">
        <w:t>Included in this report in the waste category ‘other’</w:t>
      </w:r>
    </w:p>
    <w:p w14:paraId="30C0ADB5" w14:textId="4BAB2595" w:rsidR="00861687" w:rsidRDefault="00CF3418" w:rsidP="008A1B1E">
      <w:pPr>
        <w:pStyle w:val="Notes"/>
        <w:ind w:left="284" w:hanging="284"/>
      </w:pPr>
      <w:r>
        <w:t>2</w:t>
      </w:r>
      <w:r>
        <w:tab/>
      </w:r>
      <w:r w:rsidR="00861687">
        <w:t>E</w:t>
      </w:r>
      <w:r w:rsidR="00861687" w:rsidRPr="00861687">
        <w:t>xcl</w:t>
      </w:r>
      <w:r w:rsidR="00861687">
        <w:t>uding</w:t>
      </w:r>
      <w:r w:rsidR="00861687" w:rsidRPr="00861687">
        <w:t xml:space="preserve"> those</w:t>
      </w:r>
      <w:r w:rsidR="00861687">
        <w:t xml:space="preserve"> </w:t>
      </w:r>
      <w:r w:rsidR="00861687" w:rsidRPr="00861687">
        <w:t>of a single thermoplastic material, transformed into primary forms</w:t>
      </w:r>
    </w:p>
    <w:p w14:paraId="7FCDAF00" w14:textId="398A5720" w:rsidR="00CF3418" w:rsidRDefault="00CF3418" w:rsidP="008A1B1E">
      <w:pPr>
        <w:pStyle w:val="Notes"/>
        <w:ind w:left="284" w:hanging="284"/>
      </w:pPr>
      <w:r>
        <w:t>3</w:t>
      </w:r>
      <w:r>
        <w:tab/>
        <w:t>Included in this report in the waste category ‘hazardous’</w:t>
      </w:r>
    </w:p>
    <w:p w14:paraId="0321E754" w14:textId="6415F0FA" w:rsidR="00D1532D" w:rsidRDefault="00CF3418" w:rsidP="008A1B1E">
      <w:pPr>
        <w:pStyle w:val="Notes"/>
        <w:ind w:left="284" w:hanging="284"/>
      </w:pPr>
      <w:r>
        <w:t>4</w:t>
      </w:r>
      <w:r w:rsidR="00861687">
        <w:tab/>
      </w:r>
      <w:r w:rsidR="008A1B1E">
        <w:t>This code is assumed to comprise 98% waste-derived. Other codes are assumed to be 100% waste-derived.</w:t>
      </w:r>
    </w:p>
    <w:p w14:paraId="07E0C2CB" w14:textId="77777777" w:rsidR="00D1532D" w:rsidRPr="00802241" w:rsidRDefault="00D1532D" w:rsidP="00802241">
      <w:pPr>
        <w:pStyle w:val="BodyText"/>
      </w:pPr>
    </w:p>
    <w:p w14:paraId="58910954" w14:textId="77777777" w:rsidR="00772B74" w:rsidRDefault="00772B74" w:rsidP="007A7E21">
      <w:pPr>
        <w:pStyle w:val="Heading2nonumber"/>
      </w:pPr>
      <w:r>
        <w:t>Analysis</w:t>
      </w:r>
    </w:p>
    <w:p w14:paraId="3E6866D0" w14:textId="2A6D2070" w:rsidR="008A603C" w:rsidRDefault="00F85C3E" w:rsidP="008A603C">
      <w:pPr>
        <w:pStyle w:val="BodyText"/>
      </w:pPr>
      <w:r>
        <w:t xml:space="preserve">The disruption to domestic recycling caused by </w:t>
      </w:r>
      <w:r w:rsidR="006D67A7">
        <w:t>Asian</w:t>
      </w:r>
      <w:r w:rsidR="003C38C1">
        <w:t xml:space="preserve"> restrictions</w:t>
      </w:r>
      <w:r w:rsidR="006D67A7">
        <w:t xml:space="preserve"> on imports of waste-derived materials continue</w:t>
      </w:r>
      <w:r>
        <w:t>s</w:t>
      </w:r>
      <w:r w:rsidR="006D67A7">
        <w:t xml:space="preserve">, as demonstrated by the recent problems </w:t>
      </w:r>
      <w:r w:rsidR="001115A9">
        <w:t>at</w:t>
      </w:r>
      <w:r w:rsidR="006D67A7">
        <w:t xml:space="preserve"> SKM Recycling</w:t>
      </w:r>
      <w:r w:rsidR="00CF3418">
        <w:t xml:space="preserve"> in Victoria</w:t>
      </w:r>
      <w:r w:rsidR="006D67A7">
        <w:t xml:space="preserve">. </w:t>
      </w:r>
      <w:r w:rsidR="001115A9">
        <w:t xml:space="preserve">Scrap </w:t>
      </w:r>
      <w:r w:rsidR="00772B74">
        <w:t>plastics</w:t>
      </w:r>
      <w:r w:rsidR="001115A9">
        <w:t xml:space="preserve">, </w:t>
      </w:r>
      <w:r w:rsidR="00772B74">
        <w:t>paper and cardboard</w:t>
      </w:r>
      <w:r w:rsidR="001115A9">
        <w:t xml:space="preserve"> are the most affected materials, </w:t>
      </w:r>
      <w:r w:rsidR="00F45E78">
        <w:t>especially</w:t>
      </w:r>
      <w:r w:rsidR="00C9076F">
        <w:t xml:space="preserve"> lower grade mixed </w:t>
      </w:r>
      <w:r w:rsidR="00171328">
        <w:t>products</w:t>
      </w:r>
      <w:r w:rsidR="00772B74">
        <w:t xml:space="preserve">. </w:t>
      </w:r>
      <w:r w:rsidR="00CF3418">
        <w:t>The exported tonnes</w:t>
      </w:r>
      <w:r>
        <w:t xml:space="preserve"> of scrap plastic</w:t>
      </w:r>
      <w:r w:rsidR="00CF3418">
        <w:t>s</w:t>
      </w:r>
      <w:r w:rsidR="001115A9">
        <w:t xml:space="preserve"> nevertheless</w:t>
      </w:r>
      <w:r w:rsidR="00C9076F">
        <w:t xml:space="preserve"> increased</w:t>
      </w:r>
      <w:r w:rsidR="00F45E78">
        <w:t xml:space="preserve"> in </w:t>
      </w:r>
      <w:r w:rsidR="0056710B">
        <w:t>2018-19</w:t>
      </w:r>
      <w:r>
        <w:t xml:space="preserve"> as alternative markets were identified</w:t>
      </w:r>
      <w:r w:rsidR="00CF3418">
        <w:t xml:space="preserve">, but </w:t>
      </w:r>
      <w:r w:rsidR="001115A9">
        <w:t>s</w:t>
      </w:r>
      <w:r w:rsidR="006D67A7">
        <w:t>ome of these</w:t>
      </w:r>
      <w:r>
        <w:t xml:space="preserve"> destinations</w:t>
      </w:r>
      <w:r w:rsidR="006D67A7">
        <w:t xml:space="preserve"> are now tightening their requirements (see </w:t>
      </w:r>
      <w:r w:rsidR="006D67A7">
        <w:fldChar w:fldCharType="begin"/>
      </w:r>
      <w:r w:rsidR="006D67A7">
        <w:instrText xml:space="preserve"> REF _Ref17645665 \h </w:instrText>
      </w:r>
      <w:r w:rsidR="006D67A7">
        <w:fldChar w:fldCharType="separate"/>
      </w:r>
      <w:r w:rsidR="001032E2">
        <w:t xml:space="preserve">Table </w:t>
      </w:r>
      <w:r w:rsidR="001032E2">
        <w:rPr>
          <w:noProof/>
        </w:rPr>
        <w:t>3</w:t>
      </w:r>
      <w:r w:rsidR="006D67A7">
        <w:fldChar w:fldCharType="end"/>
      </w:r>
      <w:r w:rsidR="006D67A7">
        <w:t>)</w:t>
      </w:r>
      <w:r w:rsidR="00C9076F">
        <w:t xml:space="preserve">. </w:t>
      </w:r>
    </w:p>
    <w:p w14:paraId="2DC28340" w14:textId="77777777" w:rsidR="008A603C" w:rsidRDefault="008A603C" w:rsidP="008A603C">
      <w:pPr>
        <w:pStyle w:val="BodyText"/>
      </w:pPr>
    </w:p>
    <w:p w14:paraId="53EF39CA" w14:textId="36704059" w:rsidR="00707EF4" w:rsidRDefault="008A603C" w:rsidP="00772B74">
      <w:pPr>
        <w:pStyle w:val="BodyText"/>
      </w:pPr>
      <w:r>
        <w:t xml:space="preserve">Exports of scrap plastics and scrap paper and cardboard </w:t>
      </w:r>
      <w:r w:rsidR="00F6248D">
        <w:t xml:space="preserve">both </w:t>
      </w:r>
      <w:r>
        <w:t xml:space="preserve">peaked in 2015-16. Since then, tonnages of exported plastics are down about 7% but their value is down 38%. </w:t>
      </w:r>
      <w:r w:rsidR="00F6248D">
        <w:t>In contrast, p</w:t>
      </w:r>
      <w:r>
        <w:t>aper and cardboard tonnages are down about 27% but their value is down only 5%</w:t>
      </w:r>
      <w:r w:rsidR="00F6248D">
        <w:t xml:space="preserve">, suggesting </w:t>
      </w:r>
      <w:r>
        <w:t xml:space="preserve">some substitution of </w:t>
      </w:r>
      <w:r w:rsidR="000C77CA">
        <w:t>higher-grade</w:t>
      </w:r>
      <w:r>
        <w:t xml:space="preserve"> materials in export markets</w:t>
      </w:r>
      <w:r w:rsidR="00F6248D">
        <w:t xml:space="preserve"> with lower</w:t>
      </w:r>
      <w:r w:rsidR="000C77CA">
        <w:t>-</w:t>
      </w:r>
      <w:r w:rsidR="00F6248D">
        <w:t xml:space="preserve">grade product presumably being used onshore. Considerable quantities of scrap paper and cardboard continue to be exported to China, leading to a stabilisation of waste exports to China since the major falls in </w:t>
      </w:r>
      <w:r w:rsidR="006A14D1">
        <w:t>2017-18</w:t>
      </w:r>
      <w:r w:rsidR="001C14CD">
        <w:t xml:space="preserve">. </w:t>
      </w:r>
    </w:p>
    <w:p w14:paraId="361B4612" w14:textId="4BFEEDE3" w:rsidR="00925B34" w:rsidRDefault="00925B34" w:rsidP="00772B74">
      <w:pPr>
        <w:pStyle w:val="BodyText"/>
      </w:pPr>
    </w:p>
    <w:p w14:paraId="43544CF1" w14:textId="77777777" w:rsidR="00925B34" w:rsidRDefault="00925B34" w:rsidP="00772B74">
      <w:pPr>
        <w:pStyle w:val="BodyText"/>
        <w:sectPr w:rsidR="00925B34" w:rsidSect="0093510B">
          <w:type w:val="continuous"/>
          <w:pgSz w:w="11906" w:h="16838" w:code="9"/>
          <w:pgMar w:top="1361" w:right="1077" w:bottom="1134" w:left="1304" w:header="709" w:footer="454" w:gutter="0"/>
          <w:cols w:space="708"/>
          <w:docGrid w:linePitch="360"/>
        </w:sectPr>
      </w:pPr>
    </w:p>
    <w:p w14:paraId="161CF2DD" w14:textId="29603F07" w:rsidR="00925B34" w:rsidRDefault="00925B34" w:rsidP="00925B34">
      <w:pPr>
        <w:pStyle w:val="Caption"/>
      </w:pPr>
      <w:bookmarkStart w:id="21" w:name="_Ref17645665"/>
      <w:r>
        <w:lastRenderedPageBreak/>
        <w:t xml:space="preserve">Table </w:t>
      </w:r>
      <w:fldSimple w:instr=" SEQ Table \* ARABIC ">
        <w:r w:rsidR="001032E2">
          <w:rPr>
            <w:noProof/>
          </w:rPr>
          <w:t>3</w:t>
        </w:r>
      </w:fldSimple>
      <w:bookmarkEnd w:id="21"/>
      <w:r>
        <w:tab/>
        <w:t>Status of waste import restrictions</w:t>
      </w:r>
    </w:p>
    <w:tbl>
      <w:tblPr>
        <w:tblStyle w:val="BE-table"/>
        <w:tblW w:w="14317" w:type="dxa"/>
        <w:tblInd w:w="-5" w:type="dxa"/>
        <w:tblLayout w:type="fixed"/>
        <w:tblLook w:val="04A0" w:firstRow="1" w:lastRow="0" w:firstColumn="1" w:lastColumn="0" w:noHBand="0" w:noVBand="1"/>
      </w:tblPr>
      <w:tblGrid>
        <w:gridCol w:w="1134"/>
        <w:gridCol w:w="5103"/>
        <w:gridCol w:w="2410"/>
        <w:gridCol w:w="851"/>
        <w:gridCol w:w="1417"/>
        <w:gridCol w:w="1418"/>
        <w:gridCol w:w="1984"/>
      </w:tblGrid>
      <w:tr w:rsidR="00925B34" w14:paraId="5853ECFC" w14:textId="77777777" w:rsidTr="00166AFA">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134" w:type="dxa"/>
            <w:vMerge w:val="restart"/>
            <w:tcMar>
              <w:left w:w="57" w:type="dxa"/>
              <w:right w:w="57" w:type="dxa"/>
            </w:tcMar>
            <w:vAlign w:val="bottom"/>
          </w:tcPr>
          <w:p w14:paraId="14189245" w14:textId="77777777" w:rsidR="00925B34" w:rsidRPr="00397677" w:rsidRDefault="00925B34" w:rsidP="00787F56">
            <w:pPr>
              <w:pStyle w:val="BodyText"/>
              <w:spacing w:beforeLines="0" w:before="0" w:afterLines="0" w:after="0"/>
            </w:pPr>
            <w:r w:rsidRPr="00397677">
              <w:t>Country</w:t>
            </w:r>
          </w:p>
        </w:tc>
        <w:tc>
          <w:tcPr>
            <w:tcW w:w="5103" w:type="dxa"/>
            <w:vMerge w:val="restart"/>
            <w:tcMar>
              <w:left w:w="57" w:type="dxa"/>
              <w:right w:w="57" w:type="dxa"/>
            </w:tcMar>
            <w:vAlign w:val="bottom"/>
          </w:tcPr>
          <w:p w14:paraId="0DB016F1" w14:textId="77777777" w:rsidR="00925B34" w:rsidRPr="00397677" w:rsidRDefault="00925B34" w:rsidP="00787F56">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t>restrictions</w:t>
            </w:r>
          </w:p>
        </w:tc>
        <w:tc>
          <w:tcPr>
            <w:tcW w:w="2410" w:type="dxa"/>
            <w:vMerge w:val="restart"/>
            <w:tcMar>
              <w:left w:w="57" w:type="dxa"/>
              <w:right w:w="57" w:type="dxa"/>
            </w:tcMar>
            <w:vAlign w:val="bottom"/>
          </w:tcPr>
          <w:p w14:paraId="376CE608" w14:textId="77777777" w:rsidR="00925B34" w:rsidRPr="00397677" w:rsidRDefault="00925B34" w:rsidP="00787F56">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686" w:type="dxa"/>
            <w:gridSpan w:val="3"/>
            <w:tcMar>
              <w:left w:w="57" w:type="dxa"/>
              <w:right w:w="57" w:type="dxa"/>
            </w:tcMar>
            <w:vAlign w:val="bottom"/>
          </w:tcPr>
          <w:p w14:paraId="67C18982" w14:textId="77777777" w:rsidR="00925B34" w:rsidRPr="00397677" w:rsidRDefault="00925B34" w:rsidP="00787F56">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t>s (tonnes)</w:t>
            </w:r>
          </w:p>
        </w:tc>
        <w:tc>
          <w:tcPr>
            <w:tcW w:w="1984" w:type="dxa"/>
            <w:vMerge w:val="restart"/>
            <w:tcMar>
              <w:left w:w="57" w:type="dxa"/>
              <w:right w:w="57" w:type="dxa"/>
            </w:tcMar>
            <w:vAlign w:val="bottom"/>
          </w:tcPr>
          <w:p w14:paraId="06C540CF" w14:textId="77777777" w:rsidR="00925B34" w:rsidRPr="00397677" w:rsidRDefault="00925B34" w:rsidP="00787F56">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uncertainties</w:t>
            </w:r>
          </w:p>
        </w:tc>
      </w:tr>
      <w:tr w:rsidR="00925B34" w14:paraId="633518C3" w14:textId="77777777" w:rsidTr="00166AFA">
        <w:tc>
          <w:tcPr>
            <w:cnfStyle w:val="001000000000" w:firstRow="0" w:lastRow="0" w:firstColumn="1" w:lastColumn="0" w:oddVBand="0" w:evenVBand="0" w:oddHBand="0" w:evenHBand="0" w:firstRowFirstColumn="0" w:firstRowLastColumn="0" w:lastRowFirstColumn="0" w:lastRowLastColumn="0"/>
            <w:tcW w:w="1134" w:type="dxa"/>
            <w:vMerge/>
            <w:shd w:val="clear" w:color="auto" w:fill="B7B7E2" w:themeFill="accent1" w:themeFillTint="66"/>
            <w:tcMar>
              <w:left w:w="57" w:type="dxa"/>
              <w:right w:w="57" w:type="dxa"/>
            </w:tcMar>
          </w:tcPr>
          <w:p w14:paraId="26B76AB2" w14:textId="77777777" w:rsidR="00925B34" w:rsidRPr="00397677" w:rsidRDefault="00925B34" w:rsidP="00787F56">
            <w:pPr>
              <w:pStyle w:val="BodyText"/>
              <w:spacing w:before="0" w:after="0"/>
              <w:rPr>
                <w:b/>
                <w:color w:val="FFFFFF" w:themeColor="background1"/>
              </w:rPr>
            </w:pPr>
          </w:p>
        </w:tc>
        <w:tc>
          <w:tcPr>
            <w:tcW w:w="5103" w:type="dxa"/>
            <w:vMerge/>
            <w:shd w:val="clear" w:color="auto" w:fill="B7B7E2" w:themeFill="accent1" w:themeFillTint="66"/>
            <w:tcMar>
              <w:left w:w="57" w:type="dxa"/>
              <w:right w:w="57" w:type="dxa"/>
            </w:tcMar>
          </w:tcPr>
          <w:p w14:paraId="6584FEC3" w14:textId="77777777" w:rsidR="00925B34" w:rsidRPr="00397677" w:rsidRDefault="00925B34" w:rsidP="00787F56">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2410" w:type="dxa"/>
            <w:vMerge/>
            <w:shd w:val="clear" w:color="auto" w:fill="B7B7E2" w:themeFill="accent1" w:themeFillTint="66"/>
            <w:tcMar>
              <w:left w:w="57" w:type="dxa"/>
              <w:right w:w="57" w:type="dxa"/>
            </w:tcMar>
          </w:tcPr>
          <w:p w14:paraId="3A2E5F59" w14:textId="77777777" w:rsidR="00925B34" w:rsidRPr="00397677" w:rsidRDefault="00925B34" w:rsidP="00787F56">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51" w:type="dxa"/>
            <w:shd w:val="clear" w:color="auto" w:fill="B7B7E2" w:themeFill="accent1" w:themeFillTint="66"/>
            <w:tcMar>
              <w:left w:w="57" w:type="dxa"/>
              <w:right w:w="57" w:type="dxa"/>
            </w:tcMar>
          </w:tcPr>
          <w:p w14:paraId="200CB160" w14:textId="77777777" w:rsidR="00925B34" w:rsidRPr="00397677" w:rsidRDefault="00925B34" w:rsidP="00787F56">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417" w:type="dxa"/>
            <w:shd w:val="clear" w:color="auto" w:fill="B7B7E2" w:themeFill="accent1" w:themeFillTint="66"/>
            <w:tcMar>
              <w:left w:w="57" w:type="dxa"/>
              <w:right w:w="57" w:type="dxa"/>
            </w:tcMar>
          </w:tcPr>
          <w:p w14:paraId="21FD73C3" w14:textId="77777777" w:rsidR="00925B34" w:rsidRPr="00397677" w:rsidRDefault="00925B34" w:rsidP="00787F56">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1418" w:type="dxa"/>
            <w:shd w:val="clear" w:color="auto" w:fill="B7B7E2" w:themeFill="accent1" w:themeFillTint="66"/>
            <w:tcMar>
              <w:left w:w="57" w:type="dxa"/>
              <w:right w:w="57" w:type="dxa"/>
            </w:tcMar>
          </w:tcPr>
          <w:p w14:paraId="134EC90C" w14:textId="74953F68" w:rsidR="00925B34" w:rsidRPr="00397677" w:rsidRDefault="00925B34" w:rsidP="00787F56">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2018-19</w:t>
            </w:r>
          </w:p>
        </w:tc>
        <w:tc>
          <w:tcPr>
            <w:tcW w:w="1984" w:type="dxa"/>
            <w:vMerge/>
            <w:shd w:val="clear" w:color="auto" w:fill="B7B7E2" w:themeFill="accent1" w:themeFillTint="66"/>
            <w:tcMar>
              <w:left w:w="57" w:type="dxa"/>
              <w:right w:w="57" w:type="dxa"/>
            </w:tcMar>
          </w:tcPr>
          <w:p w14:paraId="50839698" w14:textId="77777777" w:rsidR="00925B34" w:rsidRPr="00397677" w:rsidRDefault="00925B34" w:rsidP="00787F56">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925B34" w14:paraId="68FFAA66" w14:textId="77777777" w:rsidTr="00166AF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7C71A615" w14:textId="77777777" w:rsidR="009B063C" w:rsidRDefault="00925B34" w:rsidP="00787F56">
            <w:pPr>
              <w:pStyle w:val="BodyText"/>
              <w:spacing w:before="40" w:after="40"/>
            </w:pPr>
            <w:r>
              <w:t>China</w:t>
            </w:r>
            <w:r w:rsidR="009B063C">
              <w:t xml:space="preserve"> </w:t>
            </w:r>
          </w:p>
          <w:p w14:paraId="0703DEFD" w14:textId="545FDB6C" w:rsidR="00925B34" w:rsidRDefault="009B063C" w:rsidP="00787F56">
            <w:pPr>
              <w:pStyle w:val="BodyText"/>
              <w:spacing w:before="40" w:after="40"/>
            </w:pPr>
            <w:r>
              <w:t>(incl. Hong Kong and Macao)</w:t>
            </w:r>
          </w:p>
        </w:tc>
        <w:tc>
          <w:tcPr>
            <w:tcW w:w="5103" w:type="dxa"/>
            <w:tcMar>
              <w:left w:w="57" w:type="dxa"/>
              <w:right w:w="57" w:type="dxa"/>
            </w:tcMar>
          </w:tcPr>
          <w:p w14:paraId="3A8E43D6"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specific commodity codes</w:t>
            </w:r>
            <w:r w:rsidRPr="00BA4A65">
              <w:t>, mainly by specifying a threshold contamination rate of 0.5%</w:t>
            </w:r>
            <w:r>
              <w:rPr>
                <w:rStyle w:val="FootnoteReference"/>
              </w:rPr>
              <w:footnoteReference w:id="3"/>
            </w:r>
            <w:r>
              <w:t xml:space="preserve">. </w:t>
            </w:r>
          </w:p>
          <w:p w14:paraId="7ECD3DDB" w14:textId="63277AAF"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A ban (issued in April 2018) on the import of 32 varieties of solid waste codes which were previously restricted. 16 of these are banned from 31 December and the other 16 to take effect from 31 December 2019</w:t>
            </w:r>
            <w:r>
              <w:rPr>
                <w:rStyle w:val="FootnoteReference"/>
              </w:rPr>
              <w:footnoteReference w:id="4"/>
            </w:r>
            <w:r>
              <w:t xml:space="preserve">. </w:t>
            </w:r>
            <w:r w:rsidR="00166AFA">
              <w:t>A recent revision suggests these bans may be replaced by material standards</w:t>
            </w:r>
            <w:r w:rsidR="00166AFA">
              <w:rPr>
                <w:rStyle w:val="FootnoteReference"/>
              </w:rPr>
              <w:footnoteReference w:id="5"/>
            </w:r>
            <w:r w:rsidR="00166AFA">
              <w:t>.</w:t>
            </w:r>
          </w:p>
          <w:p w14:paraId="22CB07F3" w14:textId="77777777" w:rsidR="00925B34" w:rsidRPr="009C7A35"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Further restrictions on metals imports flagged in Dec. 18</w:t>
            </w:r>
            <w:r>
              <w:rPr>
                <w:rStyle w:val="FootnoteReference"/>
              </w:rPr>
              <w:footnoteReference w:id="6"/>
            </w:r>
          </w:p>
        </w:tc>
        <w:tc>
          <w:tcPr>
            <w:tcW w:w="2410" w:type="dxa"/>
            <w:tcMar>
              <w:left w:w="57" w:type="dxa"/>
              <w:right w:w="57" w:type="dxa"/>
            </w:tcMar>
          </w:tcPr>
          <w:p w14:paraId="61FCC5D3"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w:t>
            </w:r>
          </w:p>
          <w:p w14:paraId="393E139C"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1D8306FD" w14:textId="4AE7546C" w:rsidR="00925B34" w:rsidRDefault="009B063C"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Impl</w:t>
            </w:r>
            <w:r w:rsidR="00925B34">
              <w:t>.: Jan &amp; Mar-18, Dec-18, Dec-19</w:t>
            </w:r>
          </w:p>
        </w:tc>
        <w:tc>
          <w:tcPr>
            <w:tcW w:w="851" w:type="dxa"/>
            <w:tcMar>
              <w:left w:w="57" w:type="dxa"/>
              <w:right w:w="57" w:type="dxa"/>
            </w:tcMar>
          </w:tcPr>
          <w:p w14:paraId="46AFDE0B"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417" w:type="dxa"/>
            <w:tcMar>
              <w:left w:w="57" w:type="dxa"/>
              <w:right w:w="57" w:type="dxa"/>
            </w:tcMar>
          </w:tcPr>
          <w:p w14:paraId="63E6266F" w14:textId="47EF9DAA"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744,300 (62,000/month)</w:t>
            </w:r>
          </w:p>
        </w:tc>
        <w:tc>
          <w:tcPr>
            <w:tcW w:w="1418" w:type="dxa"/>
            <w:tcMar>
              <w:left w:w="57" w:type="dxa"/>
              <w:right w:w="57" w:type="dxa"/>
            </w:tcMar>
          </w:tcPr>
          <w:p w14:paraId="0F5D5362" w14:textId="4E806A88" w:rsidR="00925B34" w:rsidRPr="00B224F5"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645,200 (53,800/month)</w:t>
            </w:r>
          </w:p>
        </w:tc>
        <w:tc>
          <w:tcPr>
            <w:tcW w:w="1984" w:type="dxa"/>
            <w:tcMar>
              <w:left w:w="57" w:type="dxa"/>
              <w:right w:w="57" w:type="dxa"/>
            </w:tcMar>
          </w:tcPr>
          <w:p w14:paraId="0A548F07" w14:textId="2F83D333"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Apparent impact evident for plastics (-60%) and metals (-40%) export from Australia. </w:t>
            </w:r>
          </w:p>
        </w:tc>
      </w:tr>
      <w:tr w:rsidR="00925B34" w14:paraId="66587B2E" w14:textId="77777777" w:rsidTr="00166AF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3339075D" w14:textId="77777777" w:rsidR="00925B34" w:rsidRDefault="00925B34" w:rsidP="00787F56">
            <w:pPr>
              <w:pStyle w:val="BodyText"/>
              <w:spacing w:before="40" w:after="40"/>
            </w:pPr>
            <w:r>
              <w:t>India</w:t>
            </w:r>
          </w:p>
        </w:tc>
        <w:tc>
          <w:tcPr>
            <w:tcW w:w="5103" w:type="dxa"/>
            <w:tcMar>
              <w:left w:w="57" w:type="dxa"/>
              <w:right w:w="57" w:type="dxa"/>
            </w:tcMar>
          </w:tcPr>
          <w:p w14:paraId="2DDC3B60"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scrap plastics banned from August 2019</w:t>
            </w:r>
            <w:r>
              <w:rPr>
                <w:rStyle w:val="FootnoteReference"/>
              </w:rPr>
              <w:footnoteReference w:id="7"/>
            </w:r>
            <w:r>
              <w:t>. Also covers areas that were previously exempt under the 2016 ban such as special economic zones (SEZ) and export-oriented units (EOU)</w:t>
            </w:r>
            <w:r>
              <w:rPr>
                <w:rStyle w:val="FootnoteReference"/>
              </w:rPr>
              <w:footnoteReference w:id="8"/>
            </w:r>
            <w:r>
              <w:t xml:space="preserve">. Excludes electrical/electronic assemblies or components that are defective which can be imported within a year of export. </w:t>
            </w:r>
          </w:p>
        </w:tc>
        <w:tc>
          <w:tcPr>
            <w:tcW w:w="2410" w:type="dxa"/>
            <w:tcMar>
              <w:left w:w="57" w:type="dxa"/>
              <w:right w:w="57" w:type="dxa"/>
            </w:tcMar>
          </w:tcPr>
          <w:p w14:paraId="74DE9B60"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Ann.: Mar-19</w:t>
            </w:r>
          </w:p>
          <w:p w14:paraId="1AFBB959"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46024E65" w14:textId="06E4D71B" w:rsidR="00925B34" w:rsidRDefault="009B063C"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Impl</w:t>
            </w:r>
            <w:r w:rsidR="00925B34">
              <w:t>.: Mar-19, Aug-19 for importers currently exempt under SEZs and EOUs.</w:t>
            </w:r>
          </w:p>
        </w:tc>
        <w:tc>
          <w:tcPr>
            <w:tcW w:w="851" w:type="dxa"/>
            <w:tcMar>
              <w:left w:w="57" w:type="dxa"/>
              <w:right w:w="57" w:type="dxa"/>
            </w:tcMar>
          </w:tcPr>
          <w:p w14:paraId="618641F8"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417" w:type="dxa"/>
            <w:tcMar>
              <w:left w:w="57" w:type="dxa"/>
              <w:right w:w="57" w:type="dxa"/>
            </w:tcMar>
          </w:tcPr>
          <w:p w14:paraId="769DB9A8"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800 (70/month)</w:t>
            </w:r>
          </w:p>
        </w:tc>
        <w:tc>
          <w:tcPr>
            <w:tcW w:w="1418" w:type="dxa"/>
            <w:tcMar>
              <w:left w:w="57" w:type="dxa"/>
              <w:right w:w="57" w:type="dxa"/>
            </w:tcMar>
          </w:tcPr>
          <w:p w14:paraId="1BE857D2" w14:textId="6F4A25AA" w:rsidR="00925B34" w:rsidDel="00825E99"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700 (60/ month)</w:t>
            </w:r>
          </w:p>
        </w:tc>
        <w:tc>
          <w:tcPr>
            <w:tcW w:w="1984" w:type="dxa"/>
            <w:tcMar>
              <w:left w:w="57" w:type="dxa"/>
              <w:right w:w="57" w:type="dxa"/>
            </w:tcMar>
          </w:tcPr>
          <w:p w14:paraId="3B7DDB72" w14:textId="318266FD"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No impact apparent. </w:t>
            </w:r>
          </w:p>
        </w:tc>
      </w:tr>
      <w:tr w:rsidR="00925B34" w14:paraId="0AA1D2ED" w14:textId="77777777" w:rsidTr="00166AF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6B7A7A96" w14:textId="77777777" w:rsidR="00925B34" w:rsidRDefault="00925B34" w:rsidP="00787F56">
            <w:pPr>
              <w:pStyle w:val="BodyText"/>
              <w:spacing w:before="40" w:after="40"/>
            </w:pPr>
            <w:r>
              <w:t>Indonesia</w:t>
            </w:r>
          </w:p>
        </w:tc>
        <w:tc>
          <w:tcPr>
            <w:tcW w:w="5103" w:type="dxa"/>
            <w:tcMar>
              <w:left w:w="57" w:type="dxa"/>
              <w:right w:w="57" w:type="dxa"/>
            </w:tcMar>
          </w:tcPr>
          <w:p w14:paraId="54BDB564" w14:textId="5698799F"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Pr="00A7645B">
              <w:t xml:space="preserve">ll </w:t>
            </w:r>
            <w:r>
              <w:t xml:space="preserve">imported </w:t>
            </w:r>
            <w:r w:rsidRPr="00A7645B">
              <w:t>scrap paper must be inspected,</w:t>
            </w:r>
            <w:r>
              <w:t xml:space="preserve"> similar to steel and plastic. A maximum 0.5% contamination rate applies, however there are plans to adopt the Institute of Scrap Recycling Industries specifications for recovered paper imports, that is 1-2% for prohibitive materials and 3-4% for outthrows</w:t>
            </w:r>
            <w:r>
              <w:rPr>
                <w:rStyle w:val="FootnoteReference"/>
              </w:rPr>
              <w:footnoteReference w:id="9"/>
            </w:r>
            <w:r>
              <w:rPr>
                <w:rStyle w:val="FootnoteReference"/>
              </w:rPr>
              <w:footnoteReference w:id="10"/>
            </w:r>
            <w:r>
              <w:rPr>
                <w:rStyle w:val="FootnoteReference"/>
              </w:rPr>
              <w:footnoteReference w:id="11"/>
            </w:r>
            <w:r>
              <w:t>. Illegally imported plastic waste to be returned back to exporters</w:t>
            </w:r>
            <w:r>
              <w:rPr>
                <w:rStyle w:val="FootnoteReference"/>
              </w:rPr>
              <w:footnoteReference w:id="12"/>
            </w:r>
            <w:r>
              <w:t xml:space="preserve">. In July 2019, reportedly </w:t>
            </w:r>
            <w:r>
              <w:lastRenderedPageBreak/>
              <w:t xml:space="preserve">rejected eight containers (210 tonnes) of ‘contaminated’ paper and plastic material from Australia. </w:t>
            </w:r>
          </w:p>
        </w:tc>
        <w:tc>
          <w:tcPr>
            <w:tcW w:w="2410" w:type="dxa"/>
            <w:tcMar>
              <w:left w:w="57" w:type="dxa"/>
              <w:right w:w="57" w:type="dxa"/>
            </w:tcMar>
          </w:tcPr>
          <w:p w14:paraId="0CE4A28F"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lastRenderedPageBreak/>
              <w:t>Ann.: Apr-19</w:t>
            </w:r>
          </w:p>
          <w:p w14:paraId="3A3D0AA3" w14:textId="3322865B" w:rsidR="00925B34" w:rsidRDefault="009B063C"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Impl</w:t>
            </w:r>
            <w:r w:rsidR="00925B34">
              <w:t>.: Apr-19</w:t>
            </w:r>
          </w:p>
        </w:tc>
        <w:tc>
          <w:tcPr>
            <w:tcW w:w="851" w:type="dxa"/>
            <w:tcMar>
              <w:left w:w="57" w:type="dxa"/>
              <w:right w:w="57" w:type="dxa"/>
            </w:tcMar>
          </w:tcPr>
          <w:p w14:paraId="52CDDC04"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Paper, plastic</w:t>
            </w:r>
          </w:p>
        </w:tc>
        <w:tc>
          <w:tcPr>
            <w:tcW w:w="1417" w:type="dxa"/>
            <w:tcMar>
              <w:left w:w="57" w:type="dxa"/>
              <w:right w:w="57" w:type="dxa"/>
            </w:tcMar>
          </w:tcPr>
          <w:p w14:paraId="3E7E6643" w14:textId="409AEF53"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326,700 (27,200/month)</w:t>
            </w:r>
          </w:p>
        </w:tc>
        <w:tc>
          <w:tcPr>
            <w:tcW w:w="1418" w:type="dxa"/>
            <w:tcMar>
              <w:left w:w="57" w:type="dxa"/>
              <w:right w:w="57" w:type="dxa"/>
            </w:tcMar>
          </w:tcPr>
          <w:p w14:paraId="1225E5E5" w14:textId="12DC0804"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221,800 (18,500/month)</w:t>
            </w:r>
          </w:p>
        </w:tc>
        <w:tc>
          <w:tcPr>
            <w:tcW w:w="1984" w:type="dxa"/>
            <w:tcMar>
              <w:left w:w="57" w:type="dxa"/>
              <w:right w:w="57" w:type="dxa"/>
            </w:tcMar>
          </w:tcPr>
          <w:p w14:paraId="52F13597" w14:textId="1E2C3229"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Apparent impact evident for paper and cardboard export from Australia (-46%). </w:t>
            </w:r>
          </w:p>
        </w:tc>
      </w:tr>
      <w:tr w:rsidR="00925B34" w14:paraId="327F2802" w14:textId="77777777" w:rsidTr="00166AF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7D25853E" w14:textId="77777777" w:rsidR="00925B34" w:rsidRDefault="00925B34" w:rsidP="00787F56">
            <w:pPr>
              <w:pStyle w:val="BodyText"/>
              <w:spacing w:before="40" w:after="40"/>
            </w:pPr>
            <w:r>
              <w:t>Malaysia</w:t>
            </w:r>
          </w:p>
        </w:tc>
        <w:tc>
          <w:tcPr>
            <w:tcW w:w="5103" w:type="dxa"/>
            <w:tcMar>
              <w:left w:w="57" w:type="dxa"/>
              <w:right w:w="57" w:type="dxa"/>
            </w:tcMar>
          </w:tcPr>
          <w:p w14:paraId="23758FBD" w14:textId="77777777" w:rsidR="00925B34" w:rsidRDefault="00925B34" w:rsidP="00787F56">
            <w:pPr>
              <w:pStyle w:val="BodyText"/>
              <w:widowControl w:val="0"/>
              <w:spacing w:before="40" w:after="4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13"/>
            </w:r>
            <w:r w:rsidRPr="00105F0F">
              <w:rPr>
                <w:vertAlign w:val="superscript"/>
              </w:rPr>
              <w:t>,</w:t>
            </w:r>
            <w:bookmarkStart w:id="22" w:name="_Ref5797604"/>
            <w:r>
              <w:rPr>
                <w:rStyle w:val="FootnoteReference"/>
              </w:rPr>
              <w:footnoteReference w:id="14"/>
            </w:r>
            <w:bookmarkEnd w:id="22"/>
            <w:r>
              <w:t xml:space="preserve">. Import of non-recyclable plastic waste to be </w:t>
            </w:r>
            <w:r w:rsidRPr="00D72581">
              <w:t>banned</w:t>
            </w:r>
            <w:r>
              <w:rPr>
                <w:rStyle w:val="FootnoteReference"/>
              </w:rPr>
              <w:footnoteReference w:id="15"/>
            </w:r>
            <w:r w:rsidRPr="00D72581">
              <w:t>.</w:t>
            </w:r>
            <w:r>
              <w:t xml:space="preserve"> Contaminated, mislabelled or illegally imported plastic waste loads to be sent back to source</w:t>
            </w:r>
            <w:r>
              <w:rPr>
                <w:rStyle w:val="FootnoteReference"/>
              </w:rPr>
              <w:footnoteReference w:id="16"/>
            </w:r>
            <w:r>
              <w:t xml:space="preserve"> </w:t>
            </w:r>
            <w:r>
              <w:rPr>
                <w:rStyle w:val="FootnoteReference"/>
              </w:rPr>
              <w:footnoteReference w:id="17"/>
            </w:r>
            <w:r>
              <w:t>.</w:t>
            </w:r>
          </w:p>
        </w:tc>
        <w:tc>
          <w:tcPr>
            <w:tcW w:w="2410" w:type="dxa"/>
            <w:tcMar>
              <w:left w:w="57" w:type="dxa"/>
              <w:right w:w="57" w:type="dxa"/>
            </w:tcMar>
          </w:tcPr>
          <w:p w14:paraId="70181502"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Jul-18.</w:t>
            </w:r>
          </w:p>
        </w:tc>
        <w:tc>
          <w:tcPr>
            <w:tcW w:w="851" w:type="dxa"/>
            <w:tcMar>
              <w:left w:w="57" w:type="dxa"/>
              <w:right w:w="57" w:type="dxa"/>
            </w:tcMar>
          </w:tcPr>
          <w:p w14:paraId="66EAD547"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417" w:type="dxa"/>
            <w:tcMar>
              <w:left w:w="57" w:type="dxa"/>
              <w:right w:w="57" w:type="dxa"/>
            </w:tcMar>
          </w:tcPr>
          <w:p w14:paraId="5A04DFD4" w14:textId="5D0283C9"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49,800 (4,200/month)</w:t>
            </w:r>
          </w:p>
        </w:tc>
        <w:tc>
          <w:tcPr>
            <w:tcW w:w="1418" w:type="dxa"/>
            <w:tcMar>
              <w:left w:w="57" w:type="dxa"/>
              <w:right w:w="57" w:type="dxa"/>
            </w:tcMar>
          </w:tcPr>
          <w:p w14:paraId="080BBC75" w14:textId="44869CBF" w:rsidR="00925B34" w:rsidRPr="00B224F5"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55,400 (4,600/month)</w:t>
            </w:r>
          </w:p>
        </w:tc>
        <w:tc>
          <w:tcPr>
            <w:tcW w:w="1984" w:type="dxa"/>
            <w:tcMar>
              <w:left w:w="57" w:type="dxa"/>
              <w:right w:w="57" w:type="dxa"/>
            </w:tcMar>
          </w:tcPr>
          <w:p w14:paraId="45499252"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925B34" w14:paraId="5F954CA2" w14:textId="77777777" w:rsidTr="00166AF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532EB4DC" w14:textId="77777777" w:rsidR="00925B34" w:rsidRDefault="00925B34" w:rsidP="00787F56">
            <w:pPr>
              <w:pStyle w:val="BodyText"/>
              <w:spacing w:before="40" w:after="40"/>
            </w:pPr>
            <w:r>
              <w:t>Philippines</w:t>
            </w:r>
          </w:p>
        </w:tc>
        <w:tc>
          <w:tcPr>
            <w:tcW w:w="5103" w:type="dxa"/>
          </w:tcPr>
          <w:p w14:paraId="41DD377C"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Expected to release an administrative order that places temporary (three-month) ban all waste imports including scrap metals, plastics, e-waste, used oil and fly ash. </w:t>
            </w:r>
          </w:p>
        </w:tc>
        <w:tc>
          <w:tcPr>
            <w:tcW w:w="2410" w:type="dxa"/>
          </w:tcPr>
          <w:p w14:paraId="5EA66889"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Ann,: Aug 19</w:t>
            </w:r>
          </w:p>
          <w:p w14:paraId="31053D77" w14:textId="7C570CB8" w:rsidR="00925B34" w:rsidRDefault="009B063C"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Impl</w:t>
            </w:r>
            <w:r w:rsidR="00925B34">
              <w:t>. date to be confirmed</w:t>
            </w:r>
          </w:p>
        </w:tc>
        <w:tc>
          <w:tcPr>
            <w:tcW w:w="851" w:type="dxa"/>
          </w:tcPr>
          <w:p w14:paraId="3113D513"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All</w:t>
            </w:r>
          </w:p>
        </w:tc>
        <w:tc>
          <w:tcPr>
            <w:tcW w:w="1417" w:type="dxa"/>
          </w:tcPr>
          <w:p w14:paraId="60E20162"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4,500 (375/month)</w:t>
            </w:r>
          </w:p>
        </w:tc>
        <w:tc>
          <w:tcPr>
            <w:tcW w:w="1418" w:type="dxa"/>
          </w:tcPr>
          <w:p w14:paraId="595BF161"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26,000 (2,200/month)</w:t>
            </w:r>
          </w:p>
        </w:tc>
        <w:tc>
          <w:tcPr>
            <w:tcW w:w="1984" w:type="dxa"/>
          </w:tcPr>
          <w:p w14:paraId="3747FBD8"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uncertain. </w:t>
            </w:r>
          </w:p>
        </w:tc>
      </w:tr>
      <w:tr w:rsidR="00925B34" w14:paraId="77E05810" w14:textId="77777777" w:rsidTr="00166AF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7DA9C168" w14:textId="77777777" w:rsidR="00925B34" w:rsidRDefault="00925B34" w:rsidP="00787F56">
            <w:pPr>
              <w:pStyle w:val="BodyText"/>
              <w:spacing w:before="40" w:after="40"/>
            </w:pPr>
            <w:r>
              <w:t>Taiwan</w:t>
            </w:r>
          </w:p>
        </w:tc>
        <w:tc>
          <w:tcPr>
            <w:tcW w:w="5103" w:type="dxa"/>
          </w:tcPr>
          <w:p w14:paraId="746DBBD2" w14:textId="7B382659"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18"/>
            </w:r>
            <w:r>
              <w:t>. Paper imports restricted to only kraft paper, corrugated paper or cardboard that is not bleached or mixed with other wastes</w:t>
            </w:r>
            <w:r>
              <w:rPr>
                <w:rStyle w:val="FootnoteReference"/>
              </w:rPr>
              <w:footnoteReference w:id="19"/>
            </w:r>
            <w:r>
              <w:t xml:space="preserve">. Import of waste newspapers and magazines </w:t>
            </w:r>
            <w:r w:rsidRPr="0020021B">
              <w:t>banned</w:t>
            </w:r>
            <w:r>
              <w:t>.</w:t>
            </w:r>
          </w:p>
        </w:tc>
        <w:tc>
          <w:tcPr>
            <w:tcW w:w="2410" w:type="dxa"/>
          </w:tcPr>
          <w:p w14:paraId="30CB7009"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0795CFC8" w14:textId="55BB9DBA" w:rsidR="00925B34" w:rsidRDefault="009B063C"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Impl</w:t>
            </w:r>
            <w:r w:rsidR="00925B34">
              <w:t>.: Oct-18</w:t>
            </w:r>
          </w:p>
        </w:tc>
        <w:tc>
          <w:tcPr>
            <w:tcW w:w="851" w:type="dxa"/>
          </w:tcPr>
          <w:p w14:paraId="1950DC36"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417" w:type="dxa"/>
          </w:tcPr>
          <w:p w14:paraId="4E1CD211" w14:textId="33A4D8A5"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10,600 (900/month)</w:t>
            </w:r>
          </w:p>
        </w:tc>
        <w:tc>
          <w:tcPr>
            <w:tcW w:w="1418" w:type="dxa"/>
          </w:tcPr>
          <w:p w14:paraId="42B3B6D5" w14:textId="56181179" w:rsidR="00925B34" w:rsidDel="00825E99"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17,800 (1,500/month)</w:t>
            </w:r>
          </w:p>
        </w:tc>
        <w:tc>
          <w:tcPr>
            <w:tcW w:w="1984" w:type="dxa"/>
          </w:tcPr>
          <w:p w14:paraId="0379EF5C"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No impact apparent. </w:t>
            </w:r>
          </w:p>
        </w:tc>
      </w:tr>
      <w:tr w:rsidR="00925B34" w14:paraId="4E64F965" w14:textId="77777777" w:rsidTr="00166AFA">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749F4E21" w14:textId="77777777" w:rsidR="00925B34" w:rsidRDefault="00925B34" w:rsidP="00787F56">
            <w:pPr>
              <w:pStyle w:val="BodyText"/>
              <w:spacing w:before="40" w:after="40"/>
            </w:pPr>
            <w:r>
              <w:t>Thailand</w:t>
            </w:r>
          </w:p>
        </w:tc>
        <w:tc>
          <w:tcPr>
            <w:tcW w:w="5103" w:type="dxa"/>
          </w:tcPr>
          <w:p w14:paraId="1E852C9F" w14:textId="50CAF895"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20"/>
            </w:r>
            <w:r>
              <w:rPr>
                <w:vertAlign w:val="superscript"/>
              </w:rPr>
              <w:t>,</w:t>
            </w:r>
            <w:r>
              <w:rPr>
                <w:rStyle w:val="FootnoteReference"/>
              </w:rPr>
              <w:footnoteReference w:id="21"/>
            </w:r>
            <w:r>
              <w:rPr>
                <w:vertAlign w:val="superscript"/>
              </w:rPr>
              <w:t>,</w:t>
            </w:r>
            <w:r>
              <w:rPr>
                <w:rStyle w:val="FootnoteReference"/>
              </w:rPr>
              <w:footnoteReference w:id="22"/>
            </w:r>
            <w:r>
              <w:t>. Looking to ban e</w:t>
            </w:r>
            <w:r>
              <w:noBreakHyphen/>
              <w:t>waste imports within 2 years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1032E2">
              <w:rPr>
                <w:vertAlign w:val="superscript"/>
              </w:rPr>
              <w:t>14</w:t>
            </w:r>
            <w:r w:rsidRPr="00105F0F">
              <w:rPr>
                <w:vertAlign w:val="superscript"/>
              </w:rPr>
              <w:fldChar w:fldCharType="end"/>
            </w:r>
            <w:r>
              <w:t xml:space="preserve"> including 432 types of e-waste within six months</w:t>
            </w:r>
            <w:r>
              <w:rPr>
                <w:rStyle w:val="FootnoteReference"/>
              </w:rPr>
              <w:footnoteReference w:id="23"/>
            </w:r>
            <w:r>
              <w:t>.</w:t>
            </w:r>
          </w:p>
        </w:tc>
        <w:tc>
          <w:tcPr>
            <w:tcW w:w="2410" w:type="dxa"/>
          </w:tcPr>
          <w:p w14:paraId="760D8123" w14:textId="5950605F"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Both ann. Aug-18, plastic </w:t>
            </w:r>
            <w:r w:rsidR="00233281">
              <w:t>i</w:t>
            </w:r>
            <w:r w:rsidR="009B063C">
              <w:t>mpl</w:t>
            </w:r>
            <w:r>
              <w:t>. Aug-18, e-waste partial ban in six months and full ban within 2 years.</w:t>
            </w:r>
          </w:p>
        </w:tc>
        <w:tc>
          <w:tcPr>
            <w:tcW w:w="851" w:type="dxa"/>
          </w:tcPr>
          <w:p w14:paraId="7F201073"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417" w:type="dxa"/>
          </w:tcPr>
          <w:p w14:paraId="0C240BFC" w14:textId="5E5985FD"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rsidRPr="00750BDD">
              <w:t>26,</w:t>
            </w:r>
            <w:r>
              <w:t>800 (</w:t>
            </w:r>
            <w:r w:rsidRPr="00750BDD">
              <w:t>2,200</w:t>
            </w:r>
            <w:r>
              <w:t>/month)</w:t>
            </w:r>
          </w:p>
        </w:tc>
        <w:tc>
          <w:tcPr>
            <w:tcW w:w="1418" w:type="dxa"/>
          </w:tcPr>
          <w:p w14:paraId="5DEC6DEE" w14:textId="2B7634E5" w:rsidR="00925B34" w:rsidRPr="00B224F5"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11,200 (900/ month)</w:t>
            </w:r>
          </w:p>
        </w:tc>
        <w:tc>
          <w:tcPr>
            <w:tcW w:w="1984" w:type="dxa"/>
          </w:tcPr>
          <w:p w14:paraId="524223D1" w14:textId="2D80C466"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Apparent impact evident (-58% plastic export from Australia). Gov</w:t>
            </w:r>
            <w:r w:rsidR="00D05681">
              <w:t>’</w:t>
            </w:r>
            <w:r>
              <w:t>t announcement available in Thai only.</w:t>
            </w:r>
          </w:p>
        </w:tc>
      </w:tr>
      <w:tr w:rsidR="00925B34" w14:paraId="7D48AF76" w14:textId="77777777" w:rsidTr="00166AFA">
        <w:tc>
          <w:tcPr>
            <w:cnfStyle w:val="001000000000" w:firstRow="0" w:lastRow="0" w:firstColumn="1" w:lastColumn="0" w:oddVBand="0" w:evenVBand="0" w:oddHBand="0" w:evenHBand="0" w:firstRowFirstColumn="0" w:firstRowLastColumn="0" w:lastRowFirstColumn="0" w:lastRowLastColumn="0"/>
            <w:tcW w:w="1134" w:type="dxa"/>
            <w:shd w:val="clear" w:color="auto" w:fill="auto"/>
            <w:tcMar>
              <w:left w:w="57" w:type="dxa"/>
              <w:right w:w="57" w:type="dxa"/>
            </w:tcMar>
            <w:vAlign w:val="top"/>
          </w:tcPr>
          <w:p w14:paraId="12C063D2" w14:textId="77777777" w:rsidR="00925B34" w:rsidRPr="00B224F5" w:rsidRDefault="00925B34" w:rsidP="00787F56">
            <w:pPr>
              <w:pStyle w:val="BodyText"/>
              <w:spacing w:before="40" w:after="40"/>
            </w:pPr>
            <w:r w:rsidRPr="00B224F5">
              <w:lastRenderedPageBreak/>
              <w:t>Vietnam</w:t>
            </w:r>
          </w:p>
        </w:tc>
        <w:tc>
          <w:tcPr>
            <w:tcW w:w="5103" w:type="dxa"/>
            <w:shd w:val="clear" w:color="auto" w:fill="auto"/>
          </w:tcPr>
          <w:p w14:paraId="79C237BE" w14:textId="03100AC2" w:rsidR="00925B34" w:rsidRPr="003827FC"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24"/>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1032E2">
              <w:rPr>
                <w:vertAlign w:val="superscript"/>
              </w:rPr>
              <w:t>14</w:t>
            </w:r>
            <w:r w:rsidRPr="0020021B">
              <w:rPr>
                <w:vertAlign w:val="superscript"/>
              </w:rPr>
              <w:fldChar w:fldCharType="end"/>
            </w:r>
            <w:r>
              <w:t>. Plastic scrap imports to be banned by 2025</w:t>
            </w:r>
            <w:r>
              <w:rPr>
                <w:rStyle w:val="FootnoteReference"/>
              </w:rPr>
              <w:footnoteReference w:id="25"/>
            </w:r>
            <w:r>
              <w:t>.</w:t>
            </w:r>
          </w:p>
          <w:p w14:paraId="2AE166AA"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w:t>
            </w:r>
            <w:r>
              <w:t>(e.g.</w:t>
            </w:r>
            <w:r w:rsidRPr="00B224F5">
              <w:t xml:space="preserve"> cases of TVs</w:t>
            </w:r>
            <w:r>
              <w:t xml:space="preserve"> and</w:t>
            </w:r>
            <w:r w:rsidRPr="00B224F5">
              <w:t xml:space="preserve"> computers</w:t>
            </w:r>
            <w:r>
              <w:t>)</w:t>
            </w:r>
            <w:r w:rsidRPr="00B224F5">
              <w:t xml:space="preserve"> would be </w:t>
            </w:r>
            <w:r>
              <w:t>forbidden</w:t>
            </w:r>
            <w:r>
              <w:rPr>
                <w:rStyle w:val="FootnoteReference"/>
              </w:rPr>
              <w:footnoteReference w:id="26"/>
            </w:r>
            <w:r w:rsidRPr="00B224F5">
              <w:t>.</w:t>
            </w:r>
          </w:p>
          <w:p w14:paraId="242C5E4D" w14:textId="70D803F0"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are banned</w:t>
            </w:r>
            <w:r>
              <w:rPr>
                <w:rStyle w:val="FootnoteReference"/>
              </w:rPr>
              <w:footnoteReference w:id="27"/>
            </w:r>
            <w:r>
              <w:t>.</w:t>
            </w:r>
          </w:p>
          <w:p w14:paraId="552A81F1" w14:textId="77777777" w:rsidR="00925B34" w:rsidRPr="00DD7C65"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28"/>
            </w:r>
            <w:r>
              <w:t>.</w:t>
            </w:r>
          </w:p>
        </w:tc>
        <w:tc>
          <w:tcPr>
            <w:tcW w:w="2410" w:type="dxa"/>
            <w:shd w:val="clear" w:color="auto" w:fill="auto"/>
          </w:tcPr>
          <w:p w14:paraId="5AC7EFD0"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4347E2AB" w14:textId="77777777" w:rsidR="00925B34" w:rsidRPr="00B224F5"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851" w:type="dxa"/>
            <w:shd w:val="clear" w:color="auto" w:fill="auto"/>
          </w:tcPr>
          <w:p w14:paraId="37CF875F" w14:textId="77777777" w:rsidR="00925B34" w:rsidRPr="00B224F5"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417" w:type="dxa"/>
            <w:shd w:val="clear" w:color="auto" w:fill="auto"/>
          </w:tcPr>
          <w:p w14:paraId="2F892BC4" w14:textId="10D40A7D" w:rsidR="00925B34" w:rsidRPr="00B224F5"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600,700</w:t>
            </w:r>
            <w:r w:rsidRPr="00B224F5">
              <w:t xml:space="preserve"> (50,</w:t>
            </w:r>
            <w:r>
              <w:t>0</w:t>
            </w:r>
            <w:r w:rsidRPr="00B224F5">
              <w:t>00</w:t>
            </w:r>
            <w:r>
              <w:t>/month</w:t>
            </w:r>
            <w:r w:rsidRPr="00B224F5">
              <w:t>)</w:t>
            </w:r>
          </w:p>
        </w:tc>
        <w:tc>
          <w:tcPr>
            <w:tcW w:w="1418" w:type="dxa"/>
            <w:shd w:val="clear" w:color="auto" w:fill="auto"/>
          </w:tcPr>
          <w:p w14:paraId="3C60D964" w14:textId="31A3287D" w:rsidR="00925B34" w:rsidRPr="000314C2"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773,500 (61,100/month)</w:t>
            </w:r>
          </w:p>
        </w:tc>
        <w:tc>
          <w:tcPr>
            <w:tcW w:w="1984" w:type="dxa"/>
            <w:shd w:val="clear" w:color="auto" w:fill="auto"/>
          </w:tcPr>
          <w:p w14:paraId="6A80AD56"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Apparent impact evident for plastic exports from Australia (-78%). </w:t>
            </w:r>
            <w:r w:rsidRPr="00B224F5">
              <w:t xml:space="preserve"> </w:t>
            </w:r>
          </w:p>
          <w:p w14:paraId="6586BE8A" w14:textId="77777777" w:rsidR="00925B34" w:rsidRDefault="00925B34" w:rsidP="00787F56">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10D17E2C" w14:textId="4FE20C11" w:rsidR="00925B34" w:rsidRDefault="00925B34" w:rsidP="00772B74">
      <w:pPr>
        <w:pStyle w:val="BodyText"/>
      </w:pPr>
    </w:p>
    <w:sectPr w:rsidR="00925B34" w:rsidSect="00925B34">
      <w:pgSz w:w="16838" w:h="11906" w:orient="landscape" w:code="9"/>
      <w:pgMar w:top="1304" w:right="1361" w:bottom="107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B7E39" w14:textId="77777777" w:rsidR="00647D86" w:rsidRDefault="00647D86" w:rsidP="00547C1A">
      <w:r>
        <w:separator/>
      </w:r>
    </w:p>
  </w:endnote>
  <w:endnote w:type="continuationSeparator" w:id="0">
    <w:p w14:paraId="25769E92" w14:textId="77777777" w:rsidR="00647D86" w:rsidRDefault="00647D86"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B5DB" w14:textId="77777777" w:rsidR="008F1D2D" w:rsidRDefault="008F1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005209269"/>
      <w:docPartObj>
        <w:docPartGallery w:val="Page Numbers (Bottom of Page)"/>
        <w:docPartUnique/>
      </w:docPartObj>
    </w:sdtPr>
    <w:sdtEndPr>
      <w:rPr>
        <w:noProof/>
      </w:rPr>
    </w:sdtEndPr>
    <w:sdtContent>
      <w:p w14:paraId="587CFCCB" w14:textId="77777777" w:rsidR="002F3DD7" w:rsidRPr="00D90A39" w:rsidRDefault="002F3DD7">
        <w:pPr>
          <w:pStyle w:val="Footer"/>
          <w:jc w:val="center"/>
          <w:rPr>
            <w:rFonts w:asciiTheme="minorHAnsi" w:hAnsiTheme="minorHAnsi" w:cstheme="minorHAnsi"/>
            <w:sz w:val="20"/>
            <w:szCs w:val="20"/>
          </w:rPr>
        </w:pPr>
        <w:r w:rsidRPr="00D90A39">
          <w:rPr>
            <w:rFonts w:asciiTheme="minorHAnsi" w:hAnsiTheme="minorHAnsi" w:cstheme="minorHAnsi"/>
            <w:sz w:val="20"/>
            <w:szCs w:val="20"/>
          </w:rPr>
          <w:t xml:space="preserve">Page </w:t>
        </w:r>
        <w:r w:rsidRPr="00D90A39">
          <w:rPr>
            <w:rFonts w:asciiTheme="minorHAnsi" w:hAnsiTheme="minorHAnsi" w:cstheme="minorHAnsi"/>
            <w:sz w:val="20"/>
            <w:szCs w:val="20"/>
          </w:rPr>
          <w:fldChar w:fldCharType="begin"/>
        </w:r>
        <w:r w:rsidRPr="00D90A39">
          <w:rPr>
            <w:rFonts w:asciiTheme="minorHAnsi" w:hAnsiTheme="minorHAnsi" w:cstheme="minorHAnsi"/>
            <w:sz w:val="20"/>
            <w:szCs w:val="20"/>
          </w:rPr>
          <w:instrText xml:space="preserve"> PAGE   \* MERGEFORMAT </w:instrText>
        </w:r>
        <w:r w:rsidRPr="00D90A39">
          <w:rPr>
            <w:rFonts w:asciiTheme="minorHAnsi" w:hAnsiTheme="minorHAnsi" w:cstheme="minorHAnsi"/>
            <w:sz w:val="20"/>
            <w:szCs w:val="20"/>
          </w:rPr>
          <w:fldChar w:fldCharType="separate"/>
        </w:r>
        <w:r w:rsidR="008F1D2D">
          <w:rPr>
            <w:rFonts w:asciiTheme="minorHAnsi" w:hAnsiTheme="minorHAnsi" w:cstheme="minorHAnsi"/>
            <w:noProof/>
            <w:sz w:val="20"/>
            <w:szCs w:val="20"/>
          </w:rPr>
          <w:t>2</w:t>
        </w:r>
        <w:r w:rsidRPr="00D90A39">
          <w:rPr>
            <w:rFonts w:asciiTheme="minorHAnsi" w:hAnsiTheme="minorHAnsi" w:cstheme="minorHAnsi"/>
            <w:noProof/>
            <w:sz w:val="20"/>
            <w:szCs w:val="20"/>
          </w:rPr>
          <w:fldChar w:fldCharType="end"/>
        </w:r>
      </w:p>
    </w:sdtContent>
  </w:sdt>
  <w:p w14:paraId="4DFAD123" w14:textId="77777777" w:rsidR="002F3DD7" w:rsidRDefault="002F3DD7" w:rsidP="0083650A">
    <w:pPr>
      <w:pStyle w:val="Footer"/>
      <w:pBdr>
        <w:top w:val="none" w:sz="0" w:space="0" w:color="auto"/>
      </w:pBdr>
      <w:tabs>
        <w:tab w:val="right" w:pos="959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D59F3" w14:textId="77777777" w:rsidR="008F1D2D" w:rsidRDefault="008F1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96081" w14:textId="77777777" w:rsidR="00647D86" w:rsidRPr="00477147" w:rsidRDefault="00647D86" w:rsidP="00547C1A">
      <w:pPr>
        <w:rPr>
          <w:color w:val="4D4DB8" w:themeColor="accent1"/>
        </w:rPr>
      </w:pPr>
      <w:bookmarkStart w:id="0" w:name="_Hlk487465832"/>
      <w:bookmarkEnd w:id="0"/>
      <w:r w:rsidRPr="00477147">
        <w:rPr>
          <w:color w:val="4D4DB8" w:themeColor="accent1"/>
        </w:rPr>
        <w:separator/>
      </w:r>
    </w:p>
  </w:footnote>
  <w:footnote w:type="continuationSeparator" w:id="0">
    <w:p w14:paraId="53D72575" w14:textId="77777777" w:rsidR="00647D86" w:rsidRDefault="00647D86" w:rsidP="00547C1A">
      <w:r>
        <w:continuationSeparator/>
      </w:r>
    </w:p>
  </w:footnote>
  <w:footnote w:id="1">
    <w:p w14:paraId="63C5F62D" w14:textId="64836353" w:rsidR="002F3DD7" w:rsidRPr="00EC1E7D" w:rsidRDefault="002F3DD7">
      <w:pPr>
        <w:pStyle w:val="FootnoteText"/>
      </w:pPr>
      <w:r w:rsidRPr="00EC1E7D">
        <w:rPr>
          <w:rStyle w:val="FootnoteReference"/>
        </w:rPr>
        <w:footnoteRef/>
      </w:r>
      <w:r w:rsidRPr="00EC1E7D">
        <w:t xml:space="preserve"> Inquiries to </w:t>
      </w:r>
      <w:hyperlink r:id="rId1" w:history="1">
        <w:r w:rsidRPr="00EC1E7D">
          <w:rPr>
            <w:rStyle w:val="Hyperlink"/>
            <w:sz w:val="18"/>
          </w:rPr>
          <w:t>joe.pickin@blueenvironment.com.au</w:t>
        </w:r>
      </w:hyperlink>
    </w:p>
  </w:footnote>
  <w:footnote w:id="2">
    <w:p w14:paraId="4C6B3869" w14:textId="5F2D67C0" w:rsidR="002F3DD7" w:rsidRDefault="002F3DD7" w:rsidP="00F85C3E">
      <w:pPr>
        <w:pStyle w:val="FootnoteText"/>
        <w:spacing w:before="60" w:after="0"/>
      </w:pPr>
      <w:r>
        <w:rPr>
          <w:rStyle w:val="FootnoteReference"/>
        </w:rPr>
        <w:footnoteRef/>
      </w:r>
      <w:r>
        <w:t xml:space="preserve"> Including Hong Kong and Macao.</w:t>
      </w:r>
    </w:p>
  </w:footnote>
  <w:footnote w:id="3">
    <w:p w14:paraId="68804151" w14:textId="77777777" w:rsidR="002F3DD7" w:rsidRDefault="002F3DD7" w:rsidP="00166AFA">
      <w:pPr>
        <w:pStyle w:val="FootnoteText"/>
        <w:spacing w:after="0"/>
      </w:pPr>
      <w:r>
        <w:rPr>
          <w:rStyle w:val="FootnoteReference"/>
        </w:rPr>
        <w:footnoteRef/>
      </w:r>
      <w:r>
        <w:t xml:space="preserve"> </w:t>
      </w:r>
      <w:r w:rsidRPr="00872A00">
        <w:t>Blue Environment (2018)</w:t>
      </w:r>
      <w:r w:rsidRPr="00191D6A">
        <w:t xml:space="preserve"> </w:t>
      </w:r>
      <w:hyperlink r:id="rId2" w:history="1">
        <w:r w:rsidRPr="005A5B49">
          <w:rPr>
            <w:rStyle w:val="Hyperlink"/>
            <w:sz w:val="18"/>
          </w:rPr>
          <w:t>Data on exports of recyclables from Australia to China</w:t>
        </w:r>
      </w:hyperlink>
    </w:p>
  </w:footnote>
  <w:footnote w:id="4">
    <w:p w14:paraId="1B56BF95" w14:textId="77777777" w:rsidR="002F3DD7" w:rsidRPr="00105F0F" w:rsidRDefault="002F3DD7" w:rsidP="00166AFA">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5">
    <w:p w14:paraId="7C9A6DCD" w14:textId="37DD9DD1" w:rsidR="00166AFA" w:rsidRDefault="00166AFA" w:rsidP="00166AFA">
      <w:pPr>
        <w:pStyle w:val="FootnoteText"/>
        <w:spacing w:after="0"/>
      </w:pPr>
      <w:r>
        <w:rPr>
          <w:rStyle w:val="FootnoteReference"/>
        </w:rPr>
        <w:footnoteRef/>
      </w:r>
      <w:r>
        <w:t xml:space="preserve"> Recycling Today, 23/7/19, </w:t>
      </w:r>
      <w:hyperlink r:id="rId3" w:history="1">
        <w:r w:rsidRPr="00A14DDA">
          <w:rPr>
            <w:rStyle w:val="Hyperlink"/>
            <w:sz w:val="18"/>
          </w:rPr>
          <w:t>https://www.recyclingtodayglobal.com/article/china-import-scrap-policy-update</w:t>
        </w:r>
      </w:hyperlink>
      <w:r>
        <w:t xml:space="preserve"> </w:t>
      </w:r>
    </w:p>
  </w:footnote>
  <w:footnote w:id="6">
    <w:p w14:paraId="6A0073F8" w14:textId="77777777" w:rsidR="002F3DD7" w:rsidRDefault="002F3DD7" w:rsidP="00166AFA">
      <w:pPr>
        <w:pStyle w:val="FootnoteText"/>
        <w:spacing w:after="0"/>
      </w:pPr>
      <w:r>
        <w:rPr>
          <w:rStyle w:val="FootnoteReference"/>
        </w:rPr>
        <w:footnoteRef/>
      </w:r>
      <w:r>
        <w:t xml:space="preserve"> </w:t>
      </w:r>
      <w:r w:rsidRPr="00E50A59">
        <w:rPr>
          <w:iCs/>
        </w:rPr>
        <w:t>Reuters, 28/12/18,</w:t>
      </w:r>
      <w:r w:rsidRPr="00105F0F">
        <w:rPr>
          <w:i/>
          <w:iCs/>
        </w:rPr>
        <w:t xml:space="preserve"> </w:t>
      </w:r>
      <w:hyperlink r:id="rId4" w:history="1">
        <w:r w:rsidRPr="005A5B49">
          <w:rPr>
            <w:rStyle w:val="Hyperlink"/>
            <w:sz w:val="18"/>
          </w:rPr>
          <w:t>China to restrict imports of scrap steel, aluminium from July</w:t>
        </w:r>
      </w:hyperlink>
    </w:p>
  </w:footnote>
  <w:footnote w:id="7">
    <w:p w14:paraId="2E6DDDD1" w14:textId="35F36932" w:rsidR="002F3DD7" w:rsidRDefault="002F3DD7" w:rsidP="00925B34">
      <w:pPr>
        <w:pStyle w:val="FootnoteText"/>
        <w:spacing w:after="0"/>
      </w:pPr>
      <w:r>
        <w:rPr>
          <w:rStyle w:val="FootnoteReference"/>
        </w:rPr>
        <w:footnoteRef/>
      </w:r>
      <w:r>
        <w:t xml:space="preserve"> Business Today, 24/6/19, </w:t>
      </w:r>
      <w:hyperlink r:id="rId5" w:history="1">
        <w:r w:rsidRPr="000D09E3">
          <w:rPr>
            <w:rStyle w:val="Hyperlink"/>
            <w:sz w:val="18"/>
          </w:rPr>
          <w:t>India bans import of plastic waste from August this year to curb pollution</w:t>
        </w:r>
      </w:hyperlink>
    </w:p>
  </w:footnote>
  <w:footnote w:id="8">
    <w:p w14:paraId="47E363E8" w14:textId="77777777" w:rsidR="002F3DD7" w:rsidRDefault="002F3DD7" w:rsidP="00925B34">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6" w:history="1">
        <w:r w:rsidRPr="005A5B49">
          <w:rPr>
            <w:rStyle w:val="Hyperlink"/>
            <w:sz w:val="18"/>
          </w:rPr>
          <w:t>Amendment in Hazardous Waste (Management &amp; Transboundary Movement Rules, 2016)</w:t>
        </w:r>
      </w:hyperlink>
    </w:p>
  </w:footnote>
  <w:footnote w:id="9">
    <w:p w14:paraId="797C91F8" w14:textId="77777777" w:rsidR="002F3DD7" w:rsidRDefault="002F3DD7" w:rsidP="001115A9">
      <w:pPr>
        <w:pStyle w:val="FootnoteText"/>
        <w:spacing w:after="0"/>
      </w:pPr>
      <w:r>
        <w:rPr>
          <w:rStyle w:val="FootnoteReference"/>
        </w:rPr>
        <w:footnoteRef/>
      </w:r>
      <w:r>
        <w:t xml:space="preserve"> recycling today, 15/08/2019, </w:t>
      </w:r>
      <w:hyperlink r:id="rId7" w:history="1">
        <w:r w:rsidRPr="002E57BA">
          <w:rPr>
            <w:rStyle w:val="Hyperlink"/>
            <w:sz w:val="18"/>
          </w:rPr>
          <w:t>ISRI learn of Indonesia’s plans to severely restrict prohibitives in recovered fibre imports</w:t>
        </w:r>
      </w:hyperlink>
    </w:p>
  </w:footnote>
  <w:footnote w:id="10">
    <w:p w14:paraId="3AF8DD5E" w14:textId="77777777" w:rsidR="002F3DD7" w:rsidRDefault="002F3DD7" w:rsidP="00925B34">
      <w:pPr>
        <w:pStyle w:val="FootnoteText"/>
        <w:spacing w:after="0"/>
      </w:pPr>
      <w:r>
        <w:rPr>
          <w:rStyle w:val="FootnoteReference"/>
        </w:rPr>
        <w:footnoteRef/>
      </w:r>
      <w:r>
        <w:t xml:space="preserve"> Sydney Morning Herald, 9/7/19, </w:t>
      </w:r>
      <w:hyperlink r:id="rId8" w:history="1">
        <w:r w:rsidRPr="00121B6C">
          <w:rPr>
            <w:rStyle w:val="Hyperlink"/>
            <w:sz w:val="18"/>
          </w:rPr>
          <w:t>Eight more containers of 'toxic' rubbish to be sent back to Australia</w:t>
        </w:r>
      </w:hyperlink>
    </w:p>
  </w:footnote>
  <w:footnote w:id="11">
    <w:p w14:paraId="785125CD" w14:textId="56177D01" w:rsidR="002F3DD7" w:rsidRDefault="002F3DD7" w:rsidP="00925B34">
      <w:pPr>
        <w:pStyle w:val="FootnoteText"/>
        <w:spacing w:after="0"/>
      </w:pPr>
      <w:r>
        <w:rPr>
          <w:rStyle w:val="FootnoteReference"/>
        </w:rPr>
        <w:footnoteRef/>
      </w:r>
      <w:r>
        <w:t xml:space="preserve"> Waste Management Review, 2/4/19, </w:t>
      </w:r>
      <w:hyperlink r:id="rId9" w:history="1">
        <w:r w:rsidRPr="00A7645B">
          <w:rPr>
            <w:rStyle w:val="Hyperlink"/>
            <w:sz w:val="18"/>
          </w:rPr>
          <w:t>Indonesia announces 100 per cent paper inspection rate</w:t>
        </w:r>
      </w:hyperlink>
    </w:p>
  </w:footnote>
  <w:footnote w:id="12">
    <w:p w14:paraId="5C2434B0" w14:textId="0E4E6FAA" w:rsidR="002F3DD7" w:rsidRDefault="002F3DD7" w:rsidP="00925B34">
      <w:pPr>
        <w:pStyle w:val="FootnoteText"/>
        <w:spacing w:after="0"/>
      </w:pPr>
      <w:r>
        <w:rPr>
          <w:rStyle w:val="FootnoteReference"/>
        </w:rPr>
        <w:footnoteRef/>
      </w:r>
      <w:r>
        <w:t xml:space="preserve"> VOA news ,14/6/19, </w:t>
      </w:r>
      <w:hyperlink r:id="rId10" w:history="1">
        <w:r w:rsidRPr="00CA1E1A">
          <w:rPr>
            <w:rStyle w:val="Hyperlink"/>
            <w:sz w:val="18"/>
          </w:rPr>
          <w:t>Indonesia vows to send back illegal plastic waste</w:t>
        </w:r>
      </w:hyperlink>
      <w:r>
        <w:t xml:space="preserve"> </w:t>
      </w:r>
    </w:p>
  </w:footnote>
  <w:footnote w:id="13">
    <w:p w14:paraId="740630A8" w14:textId="6B55B1A9" w:rsidR="002F3DD7" w:rsidRDefault="002F3DD7" w:rsidP="00925B34">
      <w:pPr>
        <w:pStyle w:val="FootnoteText"/>
        <w:spacing w:after="0"/>
      </w:pPr>
      <w:r>
        <w:rPr>
          <w:rStyle w:val="FootnoteReference"/>
        </w:rPr>
        <w:footnoteRef/>
      </w:r>
      <w:r>
        <w:t xml:space="preserve"> </w:t>
      </w:r>
      <w:r w:rsidRPr="00E50A59">
        <w:rPr>
          <w:iCs/>
        </w:rPr>
        <w:t>FMT News</w:t>
      </w:r>
      <w:r>
        <w:rPr>
          <w:iCs/>
        </w:rPr>
        <w:t xml:space="preserve">, 24/7/18, </w:t>
      </w:r>
      <w:hyperlink r:id="rId11" w:history="1">
        <w:r w:rsidRPr="005A5B49">
          <w:rPr>
            <w:rStyle w:val="Hyperlink"/>
            <w:sz w:val="18"/>
          </w:rPr>
          <w:t>Permits to import plastic waste for 114 factories revoked</w:t>
        </w:r>
      </w:hyperlink>
    </w:p>
  </w:footnote>
  <w:footnote w:id="14">
    <w:p w14:paraId="2C858C60" w14:textId="518D97E8" w:rsidR="002F3DD7" w:rsidRDefault="002F3DD7" w:rsidP="00925B34">
      <w:pPr>
        <w:pStyle w:val="FootnoteText"/>
        <w:spacing w:after="0"/>
      </w:pPr>
      <w:r>
        <w:rPr>
          <w:rStyle w:val="FootnoteReference"/>
        </w:rPr>
        <w:footnoteRef/>
      </w:r>
      <w:r>
        <w:t xml:space="preserve"> </w:t>
      </w:r>
      <w:r w:rsidRPr="00E50A59">
        <w:rPr>
          <w:iCs/>
        </w:rPr>
        <w:t>Waste Management Review</w:t>
      </w:r>
      <w:r>
        <w:rPr>
          <w:iCs/>
        </w:rPr>
        <w:t xml:space="preserve">, 19/12/18, </w:t>
      </w:r>
      <w:hyperlink r:id="rId12" w:history="1">
        <w:r w:rsidRPr="00105F0F">
          <w:rPr>
            <w:rStyle w:val="Hyperlink"/>
            <w:iCs/>
            <w:sz w:val="18"/>
          </w:rPr>
          <w:t>Malaysia, Thailand and Vietnam waste import</w:t>
        </w:r>
        <w:r>
          <w:rPr>
            <w:rStyle w:val="Hyperlink"/>
            <w:iCs/>
            <w:sz w:val="18"/>
          </w:rPr>
          <w:t>s crackdown</w:t>
        </w:r>
      </w:hyperlink>
    </w:p>
  </w:footnote>
  <w:footnote w:id="15">
    <w:p w14:paraId="1A6715B8" w14:textId="40096E55" w:rsidR="002F3DD7" w:rsidRPr="00105F0F" w:rsidRDefault="002F3DD7" w:rsidP="00925B34">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The Star Online</w:t>
      </w:r>
      <w:r>
        <w:rPr>
          <w:i w:val="0"/>
          <w:color w:val="auto"/>
          <w:sz w:val="18"/>
        </w:rPr>
        <w:t>, 17/10/18,</w:t>
      </w:r>
      <w:r w:rsidRPr="00E50A59">
        <w:rPr>
          <w:i w:val="0"/>
          <w:color w:val="auto"/>
          <w:sz w:val="18"/>
        </w:rPr>
        <w:t xml:space="preserve"> </w:t>
      </w:r>
      <w:hyperlink r:id="rId13" w:history="1">
        <w:r w:rsidRPr="0020021B">
          <w:rPr>
            <w:rStyle w:val="Hyperlink"/>
            <w:i/>
            <w:sz w:val="18"/>
          </w:rPr>
          <w:t>Govt to ban import of all non-recyclable waste</w:t>
        </w:r>
      </w:hyperlink>
      <w:r w:rsidRPr="002D5CF7">
        <w:rPr>
          <w:i w:val="0"/>
          <w:sz w:val="18"/>
        </w:rPr>
        <w:t xml:space="preserve"> </w:t>
      </w:r>
    </w:p>
  </w:footnote>
  <w:footnote w:id="16">
    <w:p w14:paraId="7FB8FB52" w14:textId="44DA7E8E" w:rsidR="002F3DD7" w:rsidRDefault="002F3DD7" w:rsidP="00925B34">
      <w:pPr>
        <w:pStyle w:val="FootnoteText"/>
        <w:spacing w:after="0"/>
      </w:pPr>
      <w:r>
        <w:rPr>
          <w:rStyle w:val="FootnoteReference"/>
        </w:rPr>
        <w:footnoteRef/>
      </w:r>
      <w:r>
        <w:t xml:space="preserve"> </w:t>
      </w:r>
      <w:r w:rsidRPr="00CA1E1A">
        <w:rPr>
          <w:iCs/>
        </w:rPr>
        <w:t>The Australian</w:t>
      </w:r>
      <w:r>
        <w:rPr>
          <w:iCs/>
        </w:rPr>
        <w:t>, 21/6/19,</w:t>
      </w:r>
      <w:r w:rsidRPr="00CA1E1A">
        <w:rPr>
          <w:i/>
        </w:rPr>
        <w:t xml:space="preserve"> </w:t>
      </w:r>
      <w:hyperlink r:id="rId14" w:history="1">
        <w:r w:rsidRPr="00CA1E1A">
          <w:rPr>
            <w:rStyle w:val="Hyperlink"/>
            <w:sz w:val="18"/>
          </w:rPr>
          <w:t>Australia would vet any waste returns, says Ley</w:t>
        </w:r>
      </w:hyperlink>
      <w:r>
        <w:t xml:space="preserve"> </w:t>
      </w:r>
    </w:p>
  </w:footnote>
  <w:footnote w:id="17">
    <w:p w14:paraId="768E83EE" w14:textId="77777777" w:rsidR="002F3DD7" w:rsidRDefault="002F3DD7" w:rsidP="00925B34">
      <w:pPr>
        <w:pStyle w:val="FootnoteText"/>
        <w:spacing w:after="0"/>
      </w:pPr>
      <w:r>
        <w:rPr>
          <w:rStyle w:val="FootnoteReference"/>
        </w:rPr>
        <w:footnoteRef/>
      </w:r>
      <w:r>
        <w:t xml:space="preserve"> Malaymail (2019) </w:t>
      </w:r>
      <w:hyperlink r:id="rId15" w:history="1">
        <w:r w:rsidRPr="00CA1E1A">
          <w:rPr>
            <w:rStyle w:val="Hyperlink"/>
            <w:sz w:val="18"/>
          </w:rPr>
          <w:t>Yeo Bee Yin moots RM1,500 charge per shipping container to cut illegal imported plastic waste</w:t>
        </w:r>
      </w:hyperlink>
      <w:r>
        <w:t xml:space="preserve"> </w:t>
      </w:r>
    </w:p>
  </w:footnote>
  <w:footnote w:id="18">
    <w:p w14:paraId="54682723" w14:textId="0D35F8F6" w:rsidR="002F3DD7" w:rsidRPr="00D503C5" w:rsidRDefault="002F3DD7" w:rsidP="00925B34">
      <w:pPr>
        <w:pStyle w:val="FootnoteText"/>
        <w:spacing w:after="0"/>
        <w:rPr>
          <w:i/>
          <w:color w:val="0000FF"/>
          <w:u w:val="single"/>
        </w:rPr>
      </w:pPr>
      <w:r>
        <w:rPr>
          <w:rStyle w:val="FootnoteReference"/>
        </w:rPr>
        <w:footnoteRef/>
      </w:r>
      <w:r>
        <w:t xml:space="preserve"> </w:t>
      </w:r>
      <w:r w:rsidRPr="00105F0F">
        <w:rPr>
          <w:rStyle w:val="Hyperlink"/>
          <w:i w:val="0"/>
          <w:color w:val="auto"/>
          <w:sz w:val="18"/>
          <w:u w:val="none"/>
        </w:rPr>
        <w:t>Taipei Times</w:t>
      </w:r>
      <w:r>
        <w:rPr>
          <w:rStyle w:val="Hyperlink"/>
          <w:i w:val="0"/>
          <w:color w:val="auto"/>
          <w:sz w:val="18"/>
          <w:u w:val="none"/>
        </w:rPr>
        <w:t xml:space="preserve">, 2/10/18, </w:t>
      </w:r>
      <w:hyperlink r:id="rId16" w:history="1">
        <w:r w:rsidRPr="0020021B">
          <w:rPr>
            <w:rStyle w:val="Hyperlink"/>
            <w:sz w:val="18"/>
          </w:rPr>
          <w:t>New waste plastic, paper import rules to take effect</w:t>
        </w:r>
      </w:hyperlink>
    </w:p>
  </w:footnote>
  <w:footnote w:id="19">
    <w:p w14:paraId="3AB25649" w14:textId="77777777" w:rsidR="002F3DD7" w:rsidRDefault="002F3DD7" w:rsidP="001115A9">
      <w:pPr>
        <w:pStyle w:val="FootnoteText"/>
        <w:spacing w:after="0"/>
      </w:pPr>
      <w:r>
        <w:rPr>
          <w:rStyle w:val="FootnoteReference"/>
        </w:rPr>
        <w:footnoteRef/>
      </w:r>
      <w:r>
        <w:t xml:space="preserve"> Taipei Times, 14/8/19, </w:t>
      </w:r>
      <w:hyperlink r:id="rId17" w:history="1">
        <w:r w:rsidRPr="00D503C5">
          <w:rPr>
            <w:rStyle w:val="Hyperlink"/>
            <w:sz w:val="18"/>
          </w:rPr>
          <w:t>Rules proposed to curb imports of waste</w:t>
        </w:r>
      </w:hyperlink>
    </w:p>
  </w:footnote>
  <w:footnote w:id="20">
    <w:p w14:paraId="66A50FED" w14:textId="6A9CB401" w:rsidR="002F3DD7" w:rsidRDefault="002F3DD7" w:rsidP="00925B34">
      <w:pPr>
        <w:pStyle w:val="FootnoteText"/>
        <w:spacing w:after="0"/>
      </w:pPr>
      <w:r>
        <w:rPr>
          <w:rStyle w:val="FootnoteReference"/>
        </w:rPr>
        <w:footnoteRef/>
      </w:r>
      <w:r>
        <w:t xml:space="preserve"> </w:t>
      </w:r>
      <w:r w:rsidRPr="00191D6A">
        <w:rPr>
          <w:i/>
        </w:rPr>
        <w:t>The Nation</w:t>
      </w:r>
      <w:r>
        <w:rPr>
          <w:i/>
        </w:rPr>
        <w:t xml:space="preserve">, </w:t>
      </w:r>
      <w:r w:rsidRPr="001115A9">
        <w:rPr>
          <w:iCs/>
        </w:rPr>
        <w:t>9/8/18</w:t>
      </w:r>
      <w:r>
        <w:rPr>
          <w:i/>
        </w:rPr>
        <w:t>,</w:t>
      </w:r>
      <w:r w:rsidRPr="00191D6A">
        <w:rPr>
          <w:i/>
        </w:rPr>
        <w:t xml:space="preserve"> </w:t>
      </w:r>
      <w:hyperlink r:id="rId18" w:history="1">
        <w:r w:rsidRPr="00105F0F">
          <w:rPr>
            <w:rStyle w:val="Hyperlink"/>
            <w:sz w:val="18"/>
          </w:rPr>
          <w:t>Import of plastic waste banned</w:t>
        </w:r>
      </w:hyperlink>
      <w:r w:rsidRPr="00191D6A">
        <w:rPr>
          <w:i/>
        </w:rPr>
        <w:t xml:space="preserve"> </w:t>
      </w:r>
    </w:p>
  </w:footnote>
  <w:footnote w:id="21">
    <w:p w14:paraId="6560D608" w14:textId="13A0382E" w:rsidR="002F3DD7" w:rsidRPr="00105F0F" w:rsidRDefault="002F3DD7" w:rsidP="00925B34">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w:t>
      </w:r>
      <w:r>
        <w:rPr>
          <w:i w:val="0"/>
          <w:color w:val="auto"/>
          <w:sz w:val="18"/>
        </w:rPr>
        <w:t>, 19/10/18,</w:t>
      </w:r>
      <w:r w:rsidRPr="00E50A59">
        <w:rPr>
          <w:i w:val="0"/>
          <w:color w:val="auto"/>
          <w:sz w:val="18"/>
        </w:rPr>
        <w:t xml:space="preserve"> </w:t>
      </w:r>
      <w:hyperlink r:id="rId19" w:history="1">
        <w:r w:rsidRPr="0020021B">
          <w:rPr>
            <w:rStyle w:val="Hyperlink"/>
            <w:i/>
            <w:sz w:val="18"/>
          </w:rPr>
          <w:t>Thailand set to ban plastic waste imports by 2021</w:t>
        </w:r>
      </w:hyperlink>
      <w:r>
        <w:rPr>
          <w:i w:val="0"/>
          <w:sz w:val="18"/>
        </w:rPr>
        <w:t xml:space="preserve"> </w:t>
      </w:r>
    </w:p>
  </w:footnote>
  <w:footnote w:id="22">
    <w:p w14:paraId="4EFFD011" w14:textId="77777777" w:rsidR="002F3DD7" w:rsidRDefault="002F3DD7" w:rsidP="00925B34">
      <w:pPr>
        <w:pStyle w:val="FootnoteText"/>
        <w:spacing w:after="0"/>
      </w:pPr>
      <w:r>
        <w:rPr>
          <w:rStyle w:val="FootnoteReference"/>
        </w:rPr>
        <w:footnoteRef/>
      </w:r>
      <w:r>
        <w:t xml:space="preserve"> </w:t>
      </w:r>
      <w:hyperlink r:id="rId20" w:history="1">
        <w:r w:rsidRPr="00105F0F">
          <w:rPr>
            <w:rStyle w:val="Hyperlink"/>
            <w:sz w:val="18"/>
          </w:rPr>
          <w:t>Government Gazette Thailand</w:t>
        </w:r>
      </w:hyperlink>
      <w:r w:rsidRPr="00191D6A">
        <w:t xml:space="preserve"> (2018) </w:t>
      </w:r>
    </w:p>
  </w:footnote>
  <w:footnote w:id="23">
    <w:p w14:paraId="46DDE9E0" w14:textId="77777777" w:rsidR="002F3DD7" w:rsidRDefault="002F3DD7" w:rsidP="00925B34">
      <w:pPr>
        <w:pStyle w:val="FootnoteText"/>
      </w:pPr>
      <w:r>
        <w:rPr>
          <w:rStyle w:val="FootnoteReference"/>
        </w:rPr>
        <w:footnoteRef/>
      </w:r>
      <w:r>
        <w:t xml:space="preserve"> Reuters, 16/8/19, </w:t>
      </w:r>
      <w:hyperlink r:id="rId21" w:history="1">
        <w:r w:rsidRPr="009406AF">
          <w:rPr>
            <w:rStyle w:val="Hyperlink"/>
            <w:sz w:val="18"/>
          </w:rPr>
          <w:t>Thailand to ban imports of high tech trash, plastic waste</w:t>
        </w:r>
      </w:hyperlink>
    </w:p>
  </w:footnote>
  <w:footnote w:id="24">
    <w:p w14:paraId="4A621E13" w14:textId="54C66905" w:rsidR="002F3DD7" w:rsidRDefault="002F3DD7" w:rsidP="00925B34">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w:t>
      </w:r>
      <w:r>
        <w:rPr>
          <w:iCs/>
        </w:rPr>
        <w:t>, 22/8/18,</w:t>
      </w:r>
      <w:r w:rsidRPr="00E50A59">
        <w:t xml:space="preserve"> </w:t>
      </w:r>
      <w:hyperlink r:id="rId22" w:history="1">
        <w:r w:rsidRPr="00105F0F">
          <w:rPr>
            <w:rStyle w:val="Hyperlink"/>
            <w:iCs/>
            <w:sz w:val="18"/>
          </w:rPr>
          <w:t>Vietnam to Restrict Surging Scrap Imports</w:t>
        </w:r>
      </w:hyperlink>
      <w:r w:rsidRPr="00191D6A">
        <w:t xml:space="preserve"> </w:t>
      </w:r>
    </w:p>
  </w:footnote>
  <w:footnote w:id="25">
    <w:p w14:paraId="3128A7BA" w14:textId="250454AB" w:rsidR="002F3DD7" w:rsidRDefault="002F3DD7" w:rsidP="00925B34">
      <w:pPr>
        <w:pStyle w:val="FootnoteText"/>
        <w:spacing w:after="0"/>
      </w:pPr>
      <w:r>
        <w:rPr>
          <w:rStyle w:val="FootnoteReference"/>
        </w:rPr>
        <w:footnoteRef/>
      </w:r>
      <w:r>
        <w:t xml:space="preserve"> VN Express International, 27/3/19, </w:t>
      </w:r>
      <w:hyperlink r:id="rId23" w:history="1">
        <w:r w:rsidRPr="00E64955">
          <w:rPr>
            <w:rStyle w:val="Hyperlink"/>
            <w:sz w:val="18"/>
          </w:rPr>
          <w:t>Vietnam to end plastic scrap imports from 2025</w:t>
        </w:r>
      </w:hyperlink>
    </w:p>
  </w:footnote>
  <w:footnote w:id="26">
    <w:p w14:paraId="7FB768D4" w14:textId="1B1308FC" w:rsidR="002F3DD7" w:rsidRDefault="002F3DD7" w:rsidP="00925B34">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w:t>
      </w:r>
      <w:r>
        <w:rPr>
          <w:iCs/>
        </w:rPr>
        <w:t xml:space="preserve">, 31/10/18, </w:t>
      </w:r>
      <w:hyperlink r:id="rId24" w:history="1">
        <w:r w:rsidRPr="00105F0F">
          <w:rPr>
            <w:rStyle w:val="Hyperlink"/>
            <w:iCs/>
            <w:sz w:val="18"/>
          </w:rPr>
          <w:t>Vietnam to ban imports of plastic from used electronics</w:t>
        </w:r>
      </w:hyperlink>
      <w:r w:rsidRPr="003827FC">
        <w:rPr>
          <w:color w:val="4D4DB8" w:themeColor="accent1"/>
        </w:rPr>
        <w:t xml:space="preserve"> </w:t>
      </w:r>
    </w:p>
  </w:footnote>
  <w:footnote w:id="27">
    <w:p w14:paraId="3A3D7A30" w14:textId="444C6158" w:rsidR="002F3DD7" w:rsidRPr="00105F0F" w:rsidRDefault="002F3DD7" w:rsidP="00925B34">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VietnamPlus</w:t>
      </w:r>
      <w:r>
        <w:rPr>
          <w:iCs/>
          <w:sz w:val="18"/>
          <w:szCs w:val="18"/>
        </w:rPr>
        <w:t>, 12/1/19,</w:t>
      </w:r>
      <w:r w:rsidRPr="00E50A59">
        <w:rPr>
          <w:iCs/>
          <w:sz w:val="18"/>
          <w:szCs w:val="18"/>
        </w:rPr>
        <w:t xml:space="preserve"> </w:t>
      </w:r>
      <w:hyperlink r:id="rId25" w:history="1">
        <w:r w:rsidRPr="00105F0F">
          <w:rPr>
            <w:rStyle w:val="Hyperlink"/>
            <w:iCs/>
            <w:sz w:val="18"/>
            <w:szCs w:val="18"/>
          </w:rPr>
          <w:t>Scrap imports through road, railway border gates to be banned</w:t>
        </w:r>
      </w:hyperlink>
    </w:p>
  </w:footnote>
  <w:footnote w:id="28">
    <w:p w14:paraId="63854FF0" w14:textId="413F56D8" w:rsidR="002F3DD7" w:rsidRPr="00105F0F" w:rsidRDefault="002F3DD7" w:rsidP="00925B34">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S&amp;P Global Platts</w:t>
      </w:r>
      <w:r>
        <w:rPr>
          <w:rStyle w:val="Hyperlink"/>
          <w:i w:val="0"/>
          <w:iCs/>
          <w:color w:val="auto"/>
          <w:sz w:val="18"/>
          <w:u w:val="none"/>
        </w:rPr>
        <w:t xml:space="preserve">, 20/2/19, </w:t>
      </w:r>
      <w:hyperlink r:id="rId26"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5F6B0" w14:textId="77777777" w:rsidR="008F1D2D" w:rsidRDefault="008F1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5526E" w14:textId="77777777" w:rsidR="002F3DD7" w:rsidRDefault="002F3DD7" w:rsidP="00F255F5">
    <w:pPr>
      <w:pStyle w:val="Header"/>
      <w:jc w:val="right"/>
    </w:pPr>
    <w:r>
      <w:rPr>
        <w:noProof/>
        <w:lang w:eastAsia="en-AU"/>
      </w:rPr>
      <w:drawing>
        <wp:inline distT="0" distB="0" distL="0" distR="0" wp14:anchorId="02A8A251" wp14:editId="1A67B819">
          <wp:extent cx="1692000" cy="291600"/>
          <wp:effectExtent l="0" t="0" r="3810" b="0"/>
          <wp:docPr id="7" name="Picture 7"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3698" w14:textId="77777777" w:rsidR="008F1D2D" w:rsidRDefault="008F1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46652A"/>
    <w:multiLevelType w:val="hybridMultilevel"/>
    <w:tmpl w:val="F7AE89B6"/>
    <w:lvl w:ilvl="0" w:tplc="787A42DA">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154EEA"/>
    <w:multiLevelType w:val="hybridMultilevel"/>
    <w:tmpl w:val="35DCA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A9876E0"/>
    <w:multiLevelType w:val="hybridMultilevel"/>
    <w:tmpl w:val="9B1875D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21"/>
  </w:num>
  <w:num w:numId="15">
    <w:abstractNumId w:val="21"/>
    <w:lvlOverride w:ilvl="0">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5"/>
  </w:num>
  <w:num w:numId="21">
    <w:abstractNumId w:val="10"/>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99"/>
    <w:rsid w:val="000012F6"/>
    <w:rsid w:val="000023DB"/>
    <w:rsid w:val="0000743A"/>
    <w:rsid w:val="00011412"/>
    <w:rsid w:val="00013771"/>
    <w:rsid w:val="00014661"/>
    <w:rsid w:val="00016958"/>
    <w:rsid w:val="00017797"/>
    <w:rsid w:val="00017EF1"/>
    <w:rsid w:val="00021717"/>
    <w:rsid w:val="00026005"/>
    <w:rsid w:val="00026B75"/>
    <w:rsid w:val="00027BF6"/>
    <w:rsid w:val="00031B15"/>
    <w:rsid w:val="00034E49"/>
    <w:rsid w:val="00036377"/>
    <w:rsid w:val="00036682"/>
    <w:rsid w:val="00042E1F"/>
    <w:rsid w:val="00043891"/>
    <w:rsid w:val="0004799E"/>
    <w:rsid w:val="00050375"/>
    <w:rsid w:val="0005121D"/>
    <w:rsid w:val="00051315"/>
    <w:rsid w:val="000522BD"/>
    <w:rsid w:val="00052583"/>
    <w:rsid w:val="00053C5A"/>
    <w:rsid w:val="00061E72"/>
    <w:rsid w:val="00062017"/>
    <w:rsid w:val="00064051"/>
    <w:rsid w:val="00065F58"/>
    <w:rsid w:val="00066339"/>
    <w:rsid w:val="00066C1F"/>
    <w:rsid w:val="0007368B"/>
    <w:rsid w:val="000742A2"/>
    <w:rsid w:val="00081835"/>
    <w:rsid w:val="00084A66"/>
    <w:rsid w:val="000A1680"/>
    <w:rsid w:val="000A27BA"/>
    <w:rsid w:val="000A2F2A"/>
    <w:rsid w:val="000A4A9B"/>
    <w:rsid w:val="000A5184"/>
    <w:rsid w:val="000B05D8"/>
    <w:rsid w:val="000B1B45"/>
    <w:rsid w:val="000B4CAE"/>
    <w:rsid w:val="000B4F72"/>
    <w:rsid w:val="000B67BA"/>
    <w:rsid w:val="000B769A"/>
    <w:rsid w:val="000B7D6D"/>
    <w:rsid w:val="000C11B0"/>
    <w:rsid w:val="000C1ABC"/>
    <w:rsid w:val="000C349B"/>
    <w:rsid w:val="000C66D1"/>
    <w:rsid w:val="000C746C"/>
    <w:rsid w:val="000C77CA"/>
    <w:rsid w:val="000D055C"/>
    <w:rsid w:val="000D3645"/>
    <w:rsid w:val="000D59D5"/>
    <w:rsid w:val="000E25E2"/>
    <w:rsid w:val="000E3E96"/>
    <w:rsid w:val="000E4D5F"/>
    <w:rsid w:val="000E58CE"/>
    <w:rsid w:val="000E66E1"/>
    <w:rsid w:val="000E7EAE"/>
    <w:rsid w:val="000F15FC"/>
    <w:rsid w:val="000F52F6"/>
    <w:rsid w:val="000F5E99"/>
    <w:rsid w:val="000F7B61"/>
    <w:rsid w:val="001004C1"/>
    <w:rsid w:val="00100D27"/>
    <w:rsid w:val="00102842"/>
    <w:rsid w:val="001032E2"/>
    <w:rsid w:val="0010344D"/>
    <w:rsid w:val="00104563"/>
    <w:rsid w:val="00104E96"/>
    <w:rsid w:val="001061CA"/>
    <w:rsid w:val="001115A9"/>
    <w:rsid w:val="00112820"/>
    <w:rsid w:val="001146A9"/>
    <w:rsid w:val="001148A0"/>
    <w:rsid w:val="00116EF5"/>
    <w:rsid w:val="00122A4F"/>
    <w:rsid w:val="00123654"/>
    <w:rsid w:val="00123943"/>
    <w:rsid w:val="001244F8"/>
    <w:rsid w:val="0012567E"/>
    <w:rsid w:val="0013029F"/>
    <w:rsid w:val="00131654"/>
    <w:rsid w:val="0013471A"/>
    <w:rsid w:val="001366C5"/>
    <w:rsid w:val="00136CCB"/>
    <w:rsid w:val="001375D7"/>
    <w:rsid w:val="001426E1"/>
    <w:rsid w:val="00143570"/>
    <w:rsid w:val="00144EAA"/>
    <w:rsid w:val="001451A8"/>
    <w:rsid w:val="001505CF"/>
    <w:rsid w:val="00153E95"/>
    <w:rsid w:val="0015519B"/>
    <w:rsid w:val="001553AE"/>
    <w:rsid w:val="00155AEC"/>
    <w:rsid w:val="00157C85"/>
    <w:rsid w:val="0016119B"/>
    <w:rsid w:val="00163937"/>
    <w:rsid w:val="00163E05"/>
    <w:rsid w:val="001656C3"/>
    <w:rsid w:val="001669DF"/>
    <w:rsid w:val="00166AFA"/>
    <w:rsid w:val="00166F3F"/>
    <w:rsid w:val="00170EF0"/>
    <w:rsid w:val="001710F8"/>
    <w:rsid w:val="00171328"/>
    <w:rsid w:val="00171848"/>
    <w:rsid w:val="00171DC7"/>
    <w:rsid w:val="0017623C"/>
    <w:rsid w:val="001769E4"/>
    <w:rsid w:val="00176BCD"/>
    <w:rsid w:val="00176D89"/>
    <w:rsid w:val="00180708"/>
    <w:rsid w:val="0018220D"/>
    <w:rsid w:val="00182224"/>
    <w:rsid w:val="001927C6"/>
    <w:rsid w:val="00194C0F"/>
    <w:rsid w:val="00194F22"/>
    <w:rsid w:val="0019594A"/>
    <w:rsid w:val="00195AAC"/>
    <w:rsid w:val="001970F8"/>
    <w:rsid w:val="00197139"/>
    <w:rsid w:val="001A0554"/>
    <w:rsid w:val="001A1494"/>
    <w:rsid w:val="001A2FCD"/>
    <w:rsid w:val="001B0604"/>
    <w:rsid w:val="001B3845"/>
    <w:rsid w:val="001B40C7"/>
    <w:rsid w:val="001B4275"/>
    <w:rsid w:val="001B6499"/>
    <w:rsid w:val="001B6DB7"/>
    <w:rsid w:val="001C14CD"/>
    <w:rsid w:val="001C39D1"/>
    <w:rsid w:val="001D0320"/>
    <w:rsid w:val="001D3272"/>
    <w:rsid w:val="001D3F64"/>
    <w:rsid w:val="001D4217"/>
    <w:rsid w:val="001E0B3F"/>
    <w:rsid w:val="001E1321"/>
    <w:rsid w:val="001E1ACF"/>
    <w:rsid w:val="001E21F6"/>
    <w:rsid w:val="001E2C16"/>
    <w:rsid w:val="001E50EB"/>
    <w:rsid w:val="001E6B7B"/>
    <w:rsid w:val="001E7812"/>
    <w:rsid w:val="001F137E"/>
    <w:rsid w:val="001F17C8"/>
    <w:rsid w:val="001F1F2C"/>
    <w:rsid w:val="001F7B08"/>
    <w:rsid w:val="001F7BB2"/>
    <w:rsid w:val="00200A99"/>
    <w:rsid w:val="00202222"/>
    <w:rsid w:val="0020366B"/>
    <w:rsid w:val="00203C9F"/>
    <w:rsid w:val="00204BF9"/>
    <w:rsid w:val="00207874"/>
    <w:rsid w:val="0021020D"/>
    <w:rsid w:val="00210FB2"/>
    <w:rsid w:val="00216FE0"/>
    <w:rsid w:val="00217DFA"/>
    <w:rsid w:val="00221618"/>
    <w:rsid w:val="002216DF"/>
    <w:rsid w:val="00223FDF"/>
    <w:rsid w:val="00224AEA"/>
    <w:rsid w:val="00224EA3"/>
    <w:rsid w:val="0023197E"/>
    <w:rsid w:val="00231FF3"/>
    <w:rsid w:val="00233281"/>
    <w:rsid w:val="00237618"/>
    <w:rsid w:val="002412C5"/>
    <w:rsid w:val="00241ADA"/>
    <w:rsid w:val="00241F9D"/>
    <w:rsid w:val="00242426"/>
    <w:rsid w:val="00243155"/>
    <w:rsid w:val="002456AA"/>
    <w:rsid w:val="002477EA"/>
    <w:rsid w:val="002501E1"/>
    <w:rsid w:val="00252079"/>
    <w:rsid w:val="00253E7C"/>
    <w:rsid w:val="00255081"/>
    <w:rsid w:val="002563F5"/>
    <w:rsid w:val="00256665"/>
    <w:rsid w:val="00262776"/>
    <w:rsid w:val="00266398"/>
    <w:rsid w:val="002671B4"/>
    <w:rsid w:val="0027261E"/>
    <w:rsid w:val="00276C0F"/>
    <w:rsid w:val="00277E9A"/>
    <w:rsid w:val="00280540"/>
    <w:rsid w:val="0028399E"/>
    <w:rsid w:val="00284AF0"/>
    <w:rsid w:val="0029322D"/>
    <w:rsid w:val="0029695A"/>
    <w:rsid w:val="002A04C7"/>
    <w:rsid w:val="002A3EEE"/>
    <w:rsid w:val="002A5376"/>
    <w:rsid w:val="002A6BD6"/>
    <w:rsid w:val="002A7D62"/>
    <w:rsid w:val="002A7FC6"/>
    <w:rsid w:val="002B0A12"/>
    <w:rsid w:val="002B0A1C"/>
    <w:rsid w:val="002B5A71"/>
    <w:rsid w:val="002B6B42"/>
    <w:rsid w:val="002C1F08"/>
    <w:rsid w:val="002C22A8"/>
    <w:rsid w:val="002C6AE0"/>
    <w:rsid w:val="002C7FCC"/>
    <w:rsid w:val="002D05F7"/>
    <w:rsid w:val="002D301F"/>
    <w:rsid w:val="002D3048"/>
    <w:rsid w:val="002D3B24"/>
    <w:rsid w:val="002D3CBB"/>
    <w:rsid w:val="002D5EC9"/>
    <w:rsid w:val="002E0839"/>
    <w:rsid w:val="002E3BAB"/>
    <w:rsid w:val="002E413D"/>
    <w:rsid w:val="002E5092"/>
    <w:rsid w:val="002E50A2"/>
    <w:rsid w:val="002E5472"/>
    <w:rsid w:val="002E73CE"/>
    <w:rsid w:val="002F01D1"/>
    <w:rsid w:val="002F27D4"/>
    <w:rsid w:val="002F3DD7"/>
    <w:rsid w:val="002F63DB"/>
    <w:rsid w:val="002F6ADD"/>
    <w:rsid w:val="002F6E47"/>
    <w:rsid w:val="0030202E"/>
    <w:rsid w:val="00304F93"/>
    <w:rsid w:val="00306728"/>
    <w:rsid w:val="00307417"/>
    <w:rsid w:val="00307929"/>
    <w:rsid w:val="003109EB"/>
    <w:rsid w:val="00311AB3"/>
    <w:rsid w:val="00312216"/>
    <w:rsid w:val="00313D56"/>
    <w:rsid w:val="00313ED4"/>
    <w:rsid w:val="00315E8E"/>
    <w:rsid w:val="00323827"/>
    <w:rsid w:val="00327334"/>
    <w:rsid w:val="00327FE9"/>
    <w:rsid w:val="003318A6"/>
    <w:rsid w:val="003325EC"/>
    <w:rsid w:val="00333956"/>
    <w:rsid w:val="0033455F"/>
    <w:rsid w:val="00334EDF"/>
    <w:rsid w:val="003364C6"/>
    <w:rsid w:val="00336883"/>
    <w:rsid w:val="00344366"/>
    <w:rsid w:val="00344B64"/>
    <w:rsid w:val="0035035C"/>
    <w:rsid w:val="003505F9"/>
    <w:rsid w:val="0035086C"/>
    <w:rsid w:val="00350FC9"/>
    <w:rsid w:val="00351B5D"/>
    <w:rsid w:val="0035211C"/>
    <w:rsid w:val="003523A3"/>
    <w:rsid w:val="00354F01"/>
    <w:rsid w:val="00355123"/>
    <w:rsid w:val="0036013B"/>
    <w:rsid w:val="003609B9"/>
    <w:rsid w:val="00361CA1"/>
    <w:rsid w:val="003628C3"/>
    <w:rsid w:val="00362B00"/>
    <w:rsid w:val="003636B8"/>
    <w:rsid w:val="00370946"/>
    <w:rsid w:val="00370989"/>
    <w:rsid w:val="003719CE"/>
    <w:rsid w:val="00371D9E"/>
    <w:rsid w:val="003726B0"/>
    <w:rsid w:val="00372C43"/>
    <w:rsid w:val="00373AC9"/>
    <w:rsid w:val="00373F48"/>
    <w:rsid w:val="00374AD2"/>
    <w:rsid w:val="0037529A"/>
    <w:rsid w:val="00375DE2"/>
    <w:rsid w:val="00376768"/>
    <w:rsid w:val="003767F8"/>
    <w:rsid w:val="003773DF"/>
    <w:rsid w:val="003836B5"/>
    <w:rsid w:val="00385392"/>
    <w:rsid w:val="003865B3"/>
    <w:rsid w:val="00393BB8"/>
    <w:rsid w:val="0039652B"/>
    <w:rsid w:val="003968A7"/>
    <w:rsid w:val="003A1BF0"/>
    <w:rsid w:val="003A470E"/>
    <w:rsid w:val="003A4F41"/>
    <w:rsid w:val="003A67D8"/>
    <w:rsid w:val="003B3436"/>
    <w:rsid w:val="003B3CFA"/>
    <w:rsid w:val="003B443A"/>
    <w:rsid w:val="003C1F67"/>
    <w:rsid w:val="003C2585"/>
    <w:rsid w:val="003C38C1"/>
    <w:rsid w:val="003C4D4E"/>
    <w:rsid w:val="003C6AC7"/>
    <w:rsid w:val="003D1A4F"/>
    <w:rsid w:val="003D33AB"/>
    <w:rsid w:val="003D3E2E"/>
    <w:rsid w:val="003D4044"/>
    <w:rsid w:val="003E20DE"/>
    <w:rsid w:val="003E212B"/>
    <w:rsid w:val="003E25A3"/>
    <w:rsid w:val="003E3381"/>
    <w:rsid w:val="003E41C1"/>
    <w:rsid w:val="003E59EA"/>
    <w:rsid w:val="003F0185"/>
    <w:rsid w:val="003F3AD3"/>
    <w:rsid w:val="003F494C"/>
    <w:rsid w:val="003F4FB0"/>
    <w:rsid w:val="00401DFB"/>
    <w:rsid w:val="00401F1A"/>
    <w:rsid w:val="004021F8"/>
    <w:rsid w:val="0040291C"/>
    <w:rsid w:val="004049FC"/>
    <w:rsid w:val="00410421"/>
    <w:rsid w:val="0041430C"/>
    <w:rsid w:val="00430BDB"/>
    <w:rsid w:val="00434520"/>
    <w:rsid w:val="004346EF"/>
    <w:rsid w:val="00434E15"/>
    <w:rsid w:val="00436591"/>
    <w:rsid w:val="00437FF2"/>
    <w:rsid w:val="004408F6"/>
    <w:rsid w:val="00441087"/>
    <w:rsid w:val="00441371"/>
    <w:rsid w:val="004415CD"/>
    <w:rsid w:val="00446397"/>
    <w:rsid w:val="004505C1"/>
    <w:rsid w:val="00454BCE"/>
    <w:rsid w:val="00465F75"/>
    <w:rsid w:val="004667E8"/>
    <w:rsid w:val="00471095"/>
    <w:rsid w:val="004713B0"/>
    <w:rsid w:val="00477147"/>
    <w:rsid w:val="00477AA0"/>
    <w:rsid w:val="00480F2F"/>
    <w:rsid w:val="004814AC"/>
    <w:rsid w:val="004815B1"/>
    <w:rsid w:val="00481E0F"/>
    <w:rsid w:val="004820DA"/>
    <w:rsid w:val="0048299E"/>
    <w:rsid w:val="00482BE5"/>
    <w:rsid w:val="004831DC"/>
    <w:rsid w:val="00490D7E"/>
    <w:rsid w:val="00491214"/>
    <w:rsid w:val="00493FA0"/>
    <w:rsid w:val="004967FE"/>
    <w:rsid w:val="00496CD5"/>
    <w:rsid w:val="004A46E3"/>
    <w:rsid w:val="004A6B41"/>
    <w:rsid w:val="004B2732"/>
    <w:rsid w:val="004B4353"/>
    <w:rsid w:val="004B6823"/>
    <w:rsid w:val="004C1D5F"/>
    <w:rsid w:val="004C29BB"/>
    <w:rsid w:val="004C5A2C"/>
    <w:rsid w:val="004D0434"/>
    <w:rsid w:val="004D234B"/>
    <w:rsid w:val="004D4A33"/>
    <w:rsid w:val="004D5093"/>
    <w:rsid w:val="004E374A"/>
    <w:rsid w:val="004E3EC0"/>
    <w:rsid w:val="004E688C"/>
    <w:rsid w:val="004F0BDB"/>
    <w:rsid w:val="004F19D5"/>
    <w:rsid w:val="004F1F9A"/>
    <w:rsid w:val="004F329B"/>
    <w:rsid w:val="004F3A94"/>
    <w:rsid w:val="004F4E2F"/>
    <w:rsid w:val="004F53FB"/>
    <w:rsid w:val="004F7A87"/>
    <w:rsid w:val="00501E45"/>
    <w:rsid w:val="00504672"/>
    <w:rsid w:val="00504F34"/>
    <w:rsid w:val="005103CD"/>
    <w:rsid w:val="00511140"/>
    <w:rsid w:val="005117F0"/>
    <w:rsid w:val="005121E7"/>
    <w:rsid w:val="005130B0"/>
    <w:rsid w:val="005130B5"/>
    <w:rsid w:val="00515626"/>
    <w:rsid w:val="00516295"/>
    <w:rsid w:val="005172DB"/>
    <w:rsid w:val="0052052F"/>
    <w:rsid w:val="00520FC2"/>
    <w:rsid w:val="00521AE2"/>
    <w:rsid w:val="00522E9D"/>
    <w:rsid w:val="005245BD"/>
    <w:rsid w:val="005262CD"/>
    <w:rsid w:val="005277C3"/>
    <w:rsid w:val="00527ADA"/>
    <w:rsid w:val="00527B62"/>
    <w:rsid w:val="00537D30"/>
    <w:rsid w:val="00543B80"/>
    <w:rsid w:val="0054460D"/>
    <w:rsid w:val="00545999"/>
    <w:rsid w:val="00547891"/>
    <w:rsid w:val="00547C1A"/>
    <w:rsid w:val="00552D4C"/>
    <w:rsid w:val="00552FE4"/>
    <w:rsid w:val="005539C7"/>
    <w:rsid w:val="00553D3C"/>
    <w:rsid w:val="00554DE4"/>
    <w:rsid w:val="00557B1F"/>
    <w:rsid w:val="0056030E"/>
    <w:rsid w:val="00562DE7"/>
    <w:rsid w:val="0056340D"/>
    <w:rsid w:val="00565389"/>
    <w:rsid w:val="0056554C"/>
    <w:rsid w:val="0056599B"/>
    <w:rsid w:val="005665E6"/>
    <w:rsid w:val="0056710B"/>
    <w:rsid w:val="00570A0A"/>
    <w:rsid w:val="00571A19"/>
    <w:rsid w:val="00576B04"/>
    <w:rsid w:val="00576CA1"/>
    <w:rsid w:val="00577B2B"/>
    <w:rsid w:val="00580908"/>
    <w:rsid w:val="00582440"/>
    <w:rsid w:val="00582874"/>
    <w:rsid w:val="00583905"/>
    <w:rsid w:val="00586128"/>
    <w:rsid w:val="00587919"/>
    <w:rsid w:val="00591FF1"/>
    <w:rsid w:val="00595644"/>
    <w:rsid w:val="005976AD"/>
    <w:rsid w:val="005A1860"/>
    <w:rsid w:val="005A25E5"/>
    <w:rsid w:val="005A5719"/>
    <w:rsid w:val="005B0D45"/>
    <w:rsid w:val="005B449C"/>
    <w:rsid w:val="005B55C0"/>
    <w:rsid w:val="005B5B88"/>
    <w:rsid w:val="005B731E"/>
    <w:rsid w:val="005C1254"/>
    <w:rsid w:val="005C3B74"/>
    <w:rsid w:val="005C521B"/>
    <w:rsid w:val="005C5ADE"/>
    <w:rsid w:val="005D0755"/>
    <w:rsid w:val="005D178B"/>
    <w:rsid w:val="005D1801"/>
    <w:rsid w:val="005D2265"/>
    <w:rsid w:val="005D617C"/>
    <w:rsid w:val="005D7FF8"/>
    <w:rsid w:val="005E04BE"/>
    <w:rsid w:val="005E0C28"/>
    <w:rsid w:val="005E12C6"/>
    <w:rsid w:val="005E15D4"/>
    <w:rsid w:val="005E2206"/>
    <w:rsid w:val="005E2F1E"/>
    <w:rsid w:val="005E4799"/>
    <w:rsid w:val="005E4B0D"/>
    <w:rsid w:val="005E59B0"/>
    <w:rsid w:val="005E5A3C"/>
    <w:rsid w:val="005E6235"/>
    <w:rsid w:val="005E67D2"/>
    <w:rsid w:val="005E79BE"/>
    <w:rsid w:val="005E7F09"/>
    <w:rsid w:val="005F0B7B"/>
    <w:rsid w:val="005F4829"/>
    <w:rsid w:val="005F4BDB"/>
    <w:rsid w:val="005F693F"/>
    <w:rsid w:val="005F7EEB"/>
    <w:rsid w:val="0060601B"/>
    <w:rsid w:val="00610014"/>
    <w:rsid w:val="00612D59"/>
    <w:rsid w:val="00612EF0"/>
    <w:rsid w:val="0061561F"/>
    <w:rsid w:val="006159D1"/>
    <w:rsid w:val="00622C0F"/>
    <w:rsid w:val="00623B71"/>
    <w:rsid w:val="00625053"/>
    <w:rsid w:val="00632DE1"/>
    <w:rsid w:val="00633329"/>
    <w:rsid w:val="00634366"/>
    <w:rsid w:val="006345C1"/>
    <w:rsid w:val="006366DB"/>
    <w:rsid w:val="006423B4"/>
    <w:rsid w:val="006447BF"/>
    <w:rsid w:val="006475A9"/>
    <w:rsid w:val="006476D3"/>
    <w:rsid w:val="00647D86"/>
    <w:rsid w:val="00651DFE"/>
    <w:rsid w:val="006547CD"/>
    <w:rsid w:val="0065614F"/>
    <w:rsid w:val="006561A1"/>
    <w:rsid w:val="00656518"/>
    <w:rsid w:val="00660AC1"/>
    <w:rsid w:val="006631D5"/>
    <w:rsid w:val="006632F3"/>
    <w:rsid w:val="006638E0"/>
    <w:rsid w:val="00663C3A"/>
    <w:rsid w:val="00664414"/>
    <w:rsid w:val="0067118E"/>
    <w:rsid w:val="006711DF"/>
    <w:rsid w:val="0067167A"/>
    <w:rsid w:val="00672009"/>
    <w:rsid w:val="006737A1"/>
    <w:rsid w:val="00675759"/>
    <w:rsid w:val="00680278"/>
    <w:rsid w:val="00680F8C"/>
    <w:rsid w:val="006811D1"/>
    <w:rsid w:val="0068174D"/>
    <w:rsid w:val="00682C69"/>
    <w:rsid w:val="0068558A"/>
    <w:rsid w:val="006866C8"/>
    <w:rsid w:val="00686D9E"/>
    <w:rsid w:val="006901E8"/>
    <w:rsid w:val="0069160F"/>
    <w:rsid w:val="0069547F"/>
    <w:rsid w:val="00695DC1"/>
    <w:rsid w:val="006964C0"/>
    <w:rsid w:val="006A0847"/>
    <w:rsid w:val="006A14D1"/>
    <w:rsid w:val="006A4985"/>
    <w:rsid w:val="006A6849"/>
    <w:rsid w:val="006A725A"/>
    <w:rsid w:val="006A739D"/>
    <w:rsid w:val="006B0D83"/>
    <w:rsid w:val="006B238A"/>
    <w:rsid w:val="006B2EC2"/>
    <w:rsid w:val="006B437D"/>
    <w:rsid w:val="006B76BB"/>
    <w:rsid w:val="006C24FE"/>
    <w:rsid w:val="006C5985"/>
    <w:rsid w:val="006C5A00"/>
    <w:rsid w:val="006D11BA"/>
    <w:rsid w:val="006D29AB"/>
    <w:rsid w:val="006D47A8"/>
    <w:rsid w:val="006D5FA9"/>
    <w:rsid w:val="006D67A7"/>
    <w:rsid w:val="006E03D8"/>
    <w:rsid w:val="006E0DB6"/>
    <w:rsid w:val="006E1779"/>
    <w:rsid w:val="006E2FF0"/>
    <w:rsid w:val="006E4B05"/>
    <w:rsid w:val="006E6BD6"/>
    <w:rsid w:val="006F24C9"/>
    <w:rsid w:val="006F31B4"/>
    <w:rsid w:val="006F5217"/>
    <w:rsid w:val="00703F4D"/>
    <w:rsid w:val="00704FE7"/>
    <w:rsid w:val="007055D4"/>
    <w:rsid w:val="00707EF4"/>
    <w:rsid w:val="00712583"/>
    <w:rsid w:val="007139FE"/>
    <w:rsid w:val="00713D44"/>
    <w:rsid w:val="00713FAF"/>
    <w:rsid w:val="00715A1B"/>
    <w:rsid w:val="00716423"/>
    <w:rsid w:val="0071690A"/>
    <w:rsid w:val="00720C59"/>
    <w:rsid w:val="00721AB7"/>
    <w:rsid w:val="00723D0A"/>
    <w:rsid w:val="0073030C"/>
    <w:rsid w:val="0073416B"/>
    <w:rsid w:val="007374F2"/>
    <w:rsid w:val="00740031"/>
    <w:rsid w:val="00742215"/>
    <w:rsid w:val="00742904"/>
    <w:rsid w:val="00743E07"/>
    <w:rsid w:val="00743E66"/>
    <w:rsid w:val="007441AD"/>
    <w:rsid w:val="00745106"/>
    <w:rsid w:val="00750819"/>
    <w:rsid w:val="0075393B"/>
    <w:rsid w:val="007546EA"/>
    <w:rsid w:val="00757EA5"/>
    <w:rsid w:val="007648D5"/>
    <w:rsid w:val="00767A7C"/>
    <w:rsid w:val="0077002F"/>
    <w:rsid w:val="00772B74"/>
    <w:rsid w:val="00773981"/>
    <w:rsid w:val="0077452F"/>
    <w:rsid w:val="0077462F"/>
    <w:rsid w:val="0077628E"/>
    <w:rsid w:val="00777F34"/>
    <w:rsid w:val="00780AE3"/>
    <w:rsid w:val="0078200D"/>
    <w:rsid w:val="00783169"/>
    <w:rsid w:val="00785B0C"/>
    <w:rsid w:val="00787F56"/>
    <w:rsid w:val="0079066C"/>
    <w:rsid w:val="00790EED"/>
    <w:rsid w:val="0079206B"/>
    <w:rsid w:val="007947EB"/>
    <w:rsid w:val="007949F6"/>
    <w:rsid w:val="00795D05"/>
    <w:rsid w:val="0079778C"/>
    <w:rsid w:val="007A1857"/>
    <w:rsid w:val="007A43BA"/>
    <w:rsid w:val="007A5207"/>
    <w:rsid w:val="007A6D36"/>
    <w:rsid w:val="007A7E21"/>
    <w:rsid w:val="007B10CF"/>
    <w:rsid w:val="007B3A98"/>
    <w:rsid w:val="007B5656"/>
    <w:rsid w:val="007C0BC4"/>
    <w:rsid w:val="007C1276"/>
    <w:rsid w:val="007C4044"/>
    <w:rsid w:val="007C4488"/>
    <w:rsid w:val="007C68B6"/>
    <w:rsid w:val="007D2161"/>
    <w:rsid w:val="007D24C3"/>
    <w:rsid w:val="007D355C"/>
    <w:rsid w:val="007D6336"/>
    <w:rsid w:val="007D635B"/>
    <w:rsid w:val="007F0155"/>
    <w:rsid w:val="007F028E"/>
    <w:rsid w:val="007F0339"/>
    <w:rsid w:val="007F145E"/>
    <w:rsid w:val="007F2123"/>
    <w:rsid w:val="007F3865"/>
    <w:rsid w:val="007F5F45"/>
    <w:rsid w:val="007F670A"/>
    <w:rsid w:val="0080052F"/>
    <w:rsid w:val="00801789"/>
    <w:rsid w:val="00802241"/>
    <w:rsid w:val="0080386A"/>
    <w:rsid w:val="00807842"/>
    <w:rsid w:val="00810727"/>
    <w:rsid w:val="00810C58"/>
    <w:rsid w:val="0081209B"/>
    <w:rsid w:val="008214EB"/>
    <w:rsid w:val="00822F84"/>
    <w:rsid w:val="00823EFD"/>
    <w:rsid w:val="008247D1"/>
    <w:rsid w:val="00825A4A"/>
    <w:rsid w:val="00826B02"/>
    <w:rsid w:val="00827E2D"/>
    <w:rsid w:val="00831C4E"/>
    <w:rsid w:val="00831ED3"/>
    <w:rsid w:val="00833B7E"/>
    <w:rsid w:val="0083490A"/>
    <w:rsid w:val="0083650A"/>
    <w:rsid w:val="008369EC"/>
    <w:rsid w:val="00844F44"/>
    <w:rsid w:val="00845EAB"/>
    <w:rsid w:val="0084606E"/>
    <w:rsid w:val="00846447"/>
    <w:rsid w:val="00847BBC"/>
    <w:rsid w:val="0085170E"/>
    <w:rsid w:val="00852B79"/>
    <w:rsid w:val="00855F59"/>
    <w:rsid w:val="008606EB"/>
    <w:rsid w:val="008610CC"/>
    <w:rsid w:val="00861687"/>
    <w:rsid w:val="00861E89"/>
    <w:rsid w:val="00862033"/>
    <w:rsid w:val="00863038"/>
    <w:rsid w:val="008716C5"/>
    <w:rsid w:val="00871CD9"/>
    <w:rsid w:val="00872896"/>
    <w:rsid w:val="008737FF"/>
    <w:rsid w:val="00874868"/>
    <w:rsid w:val="00876684"/>
    <w:rsid w:val="00876F3A"/>
    <w:rsid w:val="00877F04"/>
    <w:rsid w:val="008807B5"/>
    <w:rsid w:val="00883A80"/>
    <w:rsid w:val="00884766"/>
    <w:rsid w:val="00884BC1"/>
    <w:rsid w:val="0088626F"/>
    <w:rsid w:val="008879E5"/>
    <w:rsid w:val="0089059C"/>
    <w:rsid w:val="008937A4"/>
    <w:rsid w:val="00895804"/>
    <w:rsid w:val="008A0D3C"/>
    <w:rsid w:val="008A1B1E"/>
    <w:rsid w:val="008A3126"/>
    <w:rsid w:val="008A49C3"/>
    <w:rsid w:val="008A603C"/>
    <w:rsid w:val="008A634F"/>
    <w:rsid w:val="008B21A5"/>
    <w:rsid w:val="008B2655"/>
    <w:rsid w:val="008B6593"/>
    <w:rsid w:val="008C0048"/>
    <w:rsid w:val="008C017B"/>
    <w:rsid w:val="008C0E7A"/>
    <w:rsid w:val="008C1B19"/>
    <w:rsid w:val="008C1D47"/>
    <w:rsid w:val="008C3558"/>
    <w:rsid w:val="008C6031"/>
    <w:rsid w:val="008C7057"/>
    <w:rsid w:val="008D516F"/>
    <w:rsid w:val="008D77C5"/>
    <w:rsid w:val="008D7C70"/>
    <w:rsid w:val="008E5F9C"/>
    <w:rsid w:val="008E7262"/>
    <w:rsid w:val="008F121D"/>
    <w:rsid w:val="008F1D2D"/>
    <w:rsid w:val="008F1ED6"/>
    <w:rsid w:val="008F26D9"/>
    <w:rsid w:val="008F31FE"/>
    <w:rsid w:val="008F5145"/>
    <w:rsid w:val="008F7A17"/>
    <w:rsid w:val="0090278C"/>
    <w:rsid w:val="0090288B"/>
    <w:rsid w:val="0090645E"/>
    <w:rsid w:val="00910B32"/>
    <w:rsid w:val="009114DF"/>
    <w:rsid w:val="00912286"/>
    <w:rsid w:val="00912A2D"/>
    <w:rsid w:val="009165A1"/>
    <w:rsid w:val="00922B5B"/>
    <w:rsid w:val="00925B34"/>
    <w:rsid w:val="009303CF"/>
    <w:rsid w:val="009310B0"/>
    <w:rsid w:val="00931A41"/>
    <w:rsid w:val="00932F89"/>
    <w:rsid w:val="009350B9"/>
    <w:rsid w:val="0093510B"/>
    <w:rsid w:val="00935BC8"/>
    <w:rsid w:val="00940D53"/>
    <w:rsid w:val="0094285D"/>
    <w:rsid w:val="00944C76"/>
    <w:rsid w:val="00947FCD"/>
    <w:rsid w:val="0095026E"/>
    <w:rsid w:val="009516CA"/>
    <w:rsid w:val="00960FF7"/>
    <w:rsid w:val="00963D2C"/>
    <w:rsid w:val="00964AB4"/>
    <w:rsid w:val="00965509"/>
    <w:rsid w:val="00971C28"/>
    <w:rsid w:val="00973E3D"/>
    <w:rsid w:val="009741F3"/>
    <w:rsid w:val="00975522"/>
    <w:rsid w:val="00976A27"/>
    <w:rsid w:val="00976D0A"/>
    <w:rsid w:val="0098029D"/>
    <w:rsid w:val="009806B1"/>
    <w:rsid w:val="0098093D"/>
    <w:rsid w:val="00984B2E"/>
    <w:rsid w:val="009863A9"/>
    <w:rsid w:val="009864C7"/>
    <w:rsid w:val="00986A3B"/>
    <w:rsid w:val="00986D01"/>
    <w:rsid w:val="00987346"/>
    <w:rsid w:val="00987416"/>
    <w:rsid w:val="00991B38"/>
    <w:rsid w:val="009949AE"/>
    <w:rsid w:val="00996685"/>
    <w:rsid w:val="00997A7D"/>
    <w:rsid w:val="009A103F"/>
    <w:rsid w:val="009A18DD"/>
    <w:rsid w:val="009A1B33"/>
    <w:rsid w:val="009A4157"/>
    <w:rsid w:val="009A4DB5"/>
    <w:rsid w:val="009A5030"/>
    <w:rsid w:val="009A50E1"/>
    <w:rsid w:val="009A56EF"/>
    <w:rsid w:val="009B063C"/>
    <w:rsid w:val="009B0BC4"/>
    <w:rsid w:val="009B0E43"/>
    <w:rsid w:val="009B1776"/>
    <w:rsid w:val="009B3A9E"/>
    <w:rsid w:val="009B61C8"/>
    <w:rsid w:val="009B772A"/>
    <w:rsid w:val="009C3CB6"/>
    <w:rsid w:val="009C4FED"/>
    <w:rsid w:val="009D0BDF"/>
    <w:rsid w:val="009D334E"/>
    <w:rsid w:val="009E56D2"/>
    <w:rsid w:val="009E6EAE"/>
    <w:rsid w:val="009E7115"/>
    <w:rsid w:val="009E7228"/>
    <w:rsid w:val="009E7525"/>
    <w:rsid w:val="009E7581"/>
    <w:rsid w:val="009E7694"/>
    <w:rsid w:val="009F07B7"/>
    <w:rsid w:val="009F5258"/>
    <w:rsid w:val="009F560F"/>
    <w:rsid w:val="009F614F"/>
    <w:rsid w:val="00A0016D"/>
    <w:rsid w:val="00A04528"/>
    <w:rsid w:val="00A07E14"/>
    <w:rsid w:val="00A1119F"/>
    <w:rsid w:val="00A1122A"/>
    <w:rsid w:val="00A134CA"/>
    <w:rsid w:val="00A151C3"/>
    <w:rsid w:val="00A16B0B"/>
    <w:rsid w:val="00A176B0"/>
    <w:rsid w:val="00A23B8D"/>
    <w:rsid w:val="00A34DD3"/>
    <w:rsid w:val="00A362C6"/>
    <w:rsid w:val="00A362ED"/>
    <w:rsid w:val="00A420D2"/>
    <w:rsid w:val="00A435B5"/>
    <w:rsid w:val="00A4384D"/>
    <w:rsid w:val="00A45909"/>
    <w:rsid w:val="00A5001F"/>
    <w:rsid w:val="00A517CF"/>
    <w:rsid w:val="00A53393"/>
    <w:rsid w:val="00A57EDF"/>
    <w:rsid w:val="00A600A6"/>
    <w:rsid w:val="00A612F7"/>
    <w:rsid w:val="00A6449D"/>
    <w:rsid w:val="00A669F1"/>
    <w:rsid w:val="00A66C52"/>
    <w:rsid w:val="00A66C71"/>
    <w:rsid w:val="00A71807"/>
    <w:rsid w:val="00A73D3E"/>
    <w:rsid w:val="00A7504E"/>
    <w:rsid w:val="00A77E8B"/>
    <w:rsid w:val="00A817B1"/>
    <w:rsid w:val="00A81990"/>
    <w:rsid w:val="00A85C7C"/>
    <w:rsid w:val="00A8638A"/>
    <w:rsid w:val="00A87921"/>
    <w:rsid w:val="00A87F15"/>
    <w:rsid w:val="00A94175"/>
    <w:rsid w:val="00A95735"/>
    <w:rsid w:val="00A9619C"/>
    <w:rsid w:val="00A97879"/>
    <w:rsid w:val="00AA0BBF"/>
    <w:rsid w:val="00AA1576"/>
    <w:rsid w:val="00AA1FD3"/>
    <w:rsid w:val="00AA2363"/>
    <w:rsid w:val="00AA308F"/>
    <w:rsid w:val="00AA3FA5"/>
    <w:rsid w:val="00AA4A07"/>
    <w:rsid w:val="00AA632E"/>
    <w:rsid w:val="00AB0D59"/>
    <w:rsid w:val="00AB1473"/>
    <w:rsid w:val="00AB236F"/>
    <w:rsid w:val="00AC14A5"/>
    <w:rsid w:val="00AC2CB2"/>
    <w:rsid w:val="00AC5947"/>
    <w:rsid w:val="00AC7E20"/>
    <w:rsid w:val="00AD0B13"/>
    <w:rsid w:val="00AD37F7"/>
    <w:rsid w:val="00AD3D97"/>
    <w:rsid w:val="00AD5E6D"/>
    <w:rsid w:val="00AD63A7"/>
    <w:rsid w:val="00AE086E"/>
    <w:rsid w:val="00AE1086"/>
    <w:rsid w:val="00AE5AC8"/>
    <w:rsid w:val="00AE626C"/>
    <w:rsid w:val="00AF0B0A"/>
    <w:rsid w:val="00AF26D0"/>
    <w:rsid w:val="00AF3436"/>
    <w:rsid w:val="00AF4310"/>
    <w:rsid w:val="00AF7578"/>
    <w:rsid w:val="00AF7A55"/>
    <w:rsid w:val="00B05754"/>
    <w:rsid w:val="00B06277"/>
    <w:rsid w:val="00B0700A"/>
    <w:rsid w:val="00B11172"/>
    <w:rsid w:val="00B145AC"/>
    <w:rsid w:val="00B15279"/>
    <w:rsid w:val="00B16888"/>
    <w:rsid w:val="00B16914"/>
    <w:rsid w:val="00B1719C"/>
    <w:rsid w:val="00B23386"/>
    <w:rsid w:val="00B25C64"/>
    <w:rsid w:val="00B27C38"/>
    <w:rsid w:val="00B34167"/>
    <w:rsid w:val="00B34A3B"/>
    <w:rsid w:val="00B35626"/>
    <w:rsid w:val="00B43145"/>
    <w:rsid w:val="00B47CDD"/>
    <w:rsid w:val="00B50BE7"/>
    <w:rsid w:val="00B53831"/>
    <w:rsid w:val="00B60941"/>
    <w:rsid w:val="00B615CE"/>
    <w:rsid w:val="00B61EAE"/>
    <w:rsid w:val="00B64A5B"/>
    <w:rsid w:val="00B65019"/>
    <w:rsid w:val="00B66614"/>
    <w:rsid w:val="00B668E8"/>
    <w:rsid w:val="00B70EF1"/>
    <w:rsid w:val="00B71CDE"/>
    <w:rsid w:val="00B72250"/>
    <w:rsid w:val="00B750B2"/>
    <w:rsid w:val="00B75B2F"/>
    <w:rsid w:val="00B80137"/>
    <w:rsid w:val="00B802FF"/>
    <w:rsid w:val="00B81344"/>
    <w:rsid w:val="00B82F1E"/>
    <w:rsid w:val="00B86F3F"/>
    <w:rsid w:val="00B878A7"/>
    <w:rsid w:val="00B87C9E"/>
    <w:rsid w:val="00B9046D"/>
    <w:rsid w:val="00B90899"/>
    <w:rsid w:val="00B914B5"/>
    <w:rsid w:val="00BA00B7"/>
    <w:rsid w:val="00BA0569"/>
    <w:rsid w:val="00BA1A7B"/>
    <w:rsid w:val="00BA1E28"/>
    <w:rsid w:val="00BB05A8"/>
    <w:rsid w:val="00BB1500"/>
    <w:rsid w:val="00BB1AAB"/>
    <w:rsid w:val="00BB4CCC"/>
    <w:rsid w:val="00BB546E"/>
    <w:rsid w:val="00BC2D18"/>
    <w:rsid w:val="00BC4446"/>
    <w:rsid w:val="00BC53F5"/>
    <w:rsid w:val="00BD0C94"/>
    <w:rsid w:val="00BD16B3"/>
    <w:rsid w:val="00BD62B7"/>
    <w:rsid w:val="00BE2496"/>
    <w:rsid w:val="00BE591E"/>
    <w:rsid w:val="00BF1A01"/>
    <w:rsid w:val="00BF1AC4"/>
    <w:rsid w:val="00BF20D4"/>
    <w:rsid w:val="00C03B0F"/>
    <w:rsid w:val="00C03E48"/>
    <w:rsid w:val="00C1042B"/>
    <w:rsid w:val="00C12FCF"/>
    <w:rsid w:val="00C149A9"/>
    <w:rsid w:val="00C157CE"/>
    <w:rsid w:val="00C15929"/>
    <w:rsid w:val="00C16B72"/>
    <w:rsid w:val="00C16E27"/>
    <w:rsid w:val="00C17DA5"/>
    <w:rsid w:val="00C270CB"/>
    <w:rsid w:val="00C27AA1"/>
    <w:rsid w:val="00C30151"/>
    <w:rsid w:val="00C31AA9"/>
    <w:rsid w:val="00C323EB"/>
    <w:rsid w:val="00C32AAA"/>
    <w:rsid w:val="00C32BAF"/>
    <w:rsid w:val="00C33528"/>
    <w:rsid w:val="00C33951"/>
    <w:rsid w:val="00C35732"/>
    <w:rsid w:val="00C40AA5"/>
    <w:rsid w:val="00C456A8"/>
    <w:rsid w:val="00C51A7C"/>
    <w:rsid w:val="00C57F76"/>
    <w:rsid w:val="00C627DA"/>
    <w:rsid w:val="00C650E9"/>
    <w:rsid w:val="00C66BAD"/>
    <w:rsid w:val="00C71C2C"/>
    <w:rsid w:val="00C75007"/>
    <w:rsid w:val="00C764CC"/>
    <w:rsid w:val="00C77A3A"/>
    <w:rsid w:val="00C77CC3"/>
    <w:rsid w:val="00C84522"/>
    <w:rsid w:val="00C84962"/>
    <w:rsid w:val="00C875EE"/>
    <w:rsid w:val="00C9076F"/>
    <w:rsid w:val="00C91874"/>
    <w:rsid w:val="00C92105"/>
    <w:rsid w:val="00C92126"/>
    <w:rsid w:val="00C96013"/>
    <w:rsid w:val="00CA2D35"/>
    <w:rsid w:val="00CA6391"/>
    <w:rsid w:val="00CA639D"/>
    <w:rsid w:val="00CA7904"/>
    <w:rsid w:val="00CB2175"/>
    <w:rsid w:val="00CB3C05"/>
    <w:rsid w:val="00CB41BD"/>
    <w:rsid w:val="00CB4291"/>
    <w:rsid w:val="00CB43BE"/>
    <w:rsid w:val="00CB5862"/>
    <w:rsid w:val="00CB5EAF"/>
    <w:rsid w:val="00CB61F8"/>
    <w:rsid w:val="00CB6630"/>
    <w:rsid w:val="00CC02C9"/>
    <w:rsid w:val="00CC0B24"/>
    <w:rsid w:val="00CC0C7C"/>
    <w:rsid w:val="00CC4CC2"/>
    <w:rsid w:val="00CC7B6F"/>
    <w:rsid w:val="00CD15A6"/>
    <w:rsid w:val="00CD1D4D"/>
    <w:rsid w:val="00CD6484"/>
    <w:rsid w:val="00CD6F48"/>
    <w:rsid w:val="00CD7582"/>
    <w:rsid w:val="00CE181A"/>
    <w:rsid w:val="00CE1D25"/>
    <w:rsid w:val="00CE31CB"/>
    <w:rsid w:val="00CE458C"/>
    <w:rsid w:val="00CE61BB"/>
    <w:rsid w:val="00CE6853"/>
    <w:rsid w:val="00CE79C7"/>
    <w:rsid w:val="00CF3418"/>
    <w:rsid w:val="00CF4C43"/>
    <w:rsid w:val="00D01493"/>
    <w:rsid w:val="00D019B6"/>
    <w:rsid w:val="00D03655"/>
    <w:rsid w:val="00D05681"/>
    <w:rsid w:val="00D05CBD"/>
    <w:rsid w:val="00D06147"/>
    <w:rsid w:val="00D061EA"/>
    <w:rsid w:val="00D068CA"/>
    <w:rsid w:val="00D07276"/>
    <w:rsid w:val="00D075A3"/>
    <w:rsid w:val="00D13C61"/>
    <w:rsid w:val="00D14670"/>
    <w:rsid w:val="00D14ED6"/>
    <w:rsid w:val="00D1532D"/>
    <w:rsid w:val="00D22CE2"/>
    <w:rsid w:val="00D24493"/>
    <w:rsid w:val="00D30A18"/>
    <w:rsid w:val="00D30F47"/>
    <w:rsid w:val="00D31113"/>
    <w:rsid w:val="00D31569"/>
    <w:rsid w:val="00D3162E"/>
    <w:rsid w:val="00D320AB"/>
    <w:rsid w:val="00D33738"/>
    <w:rsid w:val="00D348A0"/>
    <w:rsid w:val="00D3704A"/>
    <w:rsid w:val="00D370D7"/>
    <w:rsid w:val="00D4164A"/>
    <w:rsid w:val="00D42623"/>
    <w:rsid w:val="00D43383"/>
    <w:rsid w:val="00D43E18"/>
    <w:rsid w:val="00D44B37"/>
    <w:rsid w:val="00D468F6"/>
    <w:rsid w:val="00D47FE8"/>
    <w:rsid w:val="00D50804"/>
    <w:rsid w:val="00D50981"/>
    <w:rsid w:val="00D5236B"/>
    <w:rsid w:val="00D5311C"/>
    <w:rsid w:val="00D56ABC"/>
    <w:rsid w:val="00D57743"/>
    <w:rsid w:val="00D5794B"/>
    <w:rsid w:val="00D67151"/>
    <w:rsid w:val="00D67F6C"/>
    <w:rsid w:val="00D76EE6"/>
    <w:rsid w:val="00D776E8"/>
    <w:rsid w:val="00D77F74"/>
    <w:rsid w:val="00D85B7F"/>
    <w:rsid w:val="00D85E30"/>
    <w:rsid w:val="00D90017"/>
    <w:rsid w:val="00D90A39"/>
    <w:rsid w:val="00D93AFF"/>
    <w:rsid w:val="00D944AF"/>
    <w:rsid w:val="00D95308"/>
    <w:rsid w:val="00D96499"/>
    <w:rsid w:val="00DA0DE0"/>
    <w:rsid w:val="00DA23AA"/>
    <w:rsid w:val="00DA2744"/>
    <w:rsid w:val="00DA2CD0"/>
    <w:rsid w:val="00DA3F37"/>
    <w:rsid w:val="00DA773F"/>
    <w:rsid w:val="00DB1B5B"/>
    <w:rsid w:val="00DB265F"/>
    <w:rsid w:val="00DB2972"/>
    <w:rsid w:val="00DB39E5"/>
    <w:rsid w:val="00DB651A"/>
    <w:rsid w:val="00DC088C"/>
    <w:rsid w:val="00DC0E69"/>
    <w:rsid w:val="00DC2A8A"/>
    <w:rsid w:val="00DC406E"/>
    <w:rsid w:val="00DC537F"/>
    <w:rsid w:val="00DC5799"/>
    <w:rsid w:val="00DC7F8D"/>
    <w:rsid w:val="00DD2151"/>
    <w:rsid w:val="00DD3110"/>
    <w:rsid w:val="00DD4F04"/>
    <w:rsid w:val="00DE0256"/>
    <w:rsid w:val="00DE71E6"/>
    <w:rsid w:val="00DF2CC6"/>
    <w:rsid w:val="00E0170F"/>
    <w:rsid w:val="00E074CD"/>
    <w:rsid w:val="00E07BFC"/>
    <w:rsid w:val="00E13C21"/>
    <w:rsid w:val="00E155D5"/>
    <w:rsid w:val="00E16416"/>
    <w:rsid w:val="00E16781"/>
    <w:rsid w:val="00E2288D"/>
    <w:rsid w:val="00E22FDB"/>
    <w:rsid w:val="00E248B6"/>
    <w:rsid w:val="00E258DC"/>
    <w:rsid w:val="00E30A0E"/>
    <w:rsid w:val="00E31255"/>
    <w:rsid w:val="00E36076"/>
    <w:rsid w:val="00E4130C"/>
    <w:rsid w:val="00E42416"/>
    <w:rsid w:val="00E430B6"/>
    <w:rsid w:val="00E44679"/>
    <w:rsid w:val="00E46584"/>
    <w:rsid w:val="00E46B94"/>
    <w:rsid w:val="00E47B3E"/>
    <w:rsid w:val="00E514AB"/>
    <w:rsid w:val="00E53DE0"/>
    <w:rsid w:val="00E54D77"/>
    <w:rsid w:val="00E56FA1"/>
    <w:rsid w:val="00E60889"/>
    <w:rsid w:val="00E613FF"/>
    <w:rsid w:val="00E61E00"/>
    <w:rsid w:val="00E62223"/>
    <w:rsid w:val="00E6499B"/>
    <w:rsid w:val="00E64AF5"/>
    <w:rsid w:val="00E67BF7"/>
    <w:rsid w:val="00E715E4"/>
    <w:rsid w:val="00E724ED"/>
    <w:rsid w:val="00E81A07"/>
    <w:rsid w:val="00E82EA1"/>
    <w:rsid w:val="00E847F7"/>
    <w:rsid w:val="00E853E2"/>
    <w:rsid w:val="00E863EB"/>
    <w:rsid w:val="00E8731C"/>
    <w:rsid w:val="00E87A86"/>
    <w:rsid w:val="00E87F08"/>
    <w:rsid w:val="00E912B1"/>
    <w:rsid w:val="00E937A1"/>
    <w:rsid w:val="00EA4543"/>
    <w:rsid w:val="00EA5A96"/>
    <w:rsid w:val="00EB018B"/>
    <w:rsid w:val="00EB11D8"/>
    <w:rsid w:val="00EB1829"/>
    <w:rsid w:val="00EC00EE"/>
    <w:rsid w:val="00EC1E7D"/>
    <w:rsid w:val="00EC3E48"/>
    <w:rsid w:val="00EC54DD"/>
    <w:rsid w:val="00ED1815"/>
    <w:rsid w:val="00ED2545"/>
    <w:rsid w:val="00ED3E03"/>
    <w:rsid w:val="00EE58BB"/>
    <w:rsid w:val="00EE6708"/>
    <w:rsid w:val="00EF1EA0"/>
    <w:rsid w:val="00EF409F"/>
    <w:rsid w:val="00EF64B4"/>
    <w:rsid w:val="00EF6CBE"/>
    <w:rsid w:val="00EF7F16"/>
    <w:rsid w:val="00F00FE1"/>
    <w:rsid w:val="00F02E7C"/>
    <w:rsid w:val="00F032E7"/>
    <w:rsid w:val="00F0345F"/>
    <w:rsid w:val="00F03FAB"/>
    <w:rsid w:val="00F04E08"/>
    <w:rsid w:val="00F07936"/>
    <w:rsid w:val="00F122EA"/>
    <w:rsid w:val="00F122FA"/>
    <w:rsid w:val="00F154F6"/>
    <w:rsid w:val="00F16F44"/>
    <w:rsid w:val="00F179B8"/>
    <w:rsid w:val="00F22361"/>
    <w:rsid w:val="00F23D15"/>
    <w:rsid w:val="00F255F5"/>
    <w:rsid w:val="00F256AC"/>
    <w:rsid w:val="00F278C0"/>
    <w:rsid w:val="00F303B6"/>
    <w:rsid w:val="00F30424"/>
    <w:rsid w:val="00F34298"/>
    <w:rsid w:val="00F34664"/>
    <w:rsid w:val="00F35E68"/>
    <w:rsid w:val="00F4065B"/>
    <w:rsid w:val="00F40948"/>
    <w:rsid w:val="00F40ADA"/>
    <w:rsid w:val="00F40BD9"/>
    <w:rsid w:val="00F44573"/>
    <w:rsid w:val="00F45E78"/>
    <w:rsid w:val="00F53E98"/>
    <w:rsid w:val="00F55DDB"/>
    <w:rsid w:val="00F57A59"/>
    <w:rsid w:val="00F61336"/>
    <w:rsid w:val="00F61A8E"/>
    <w:rsid w:val="00F6248D"/>
    <w:rsid w:val="00F658C3"/>
    <w:rsid w:val="00F72A39"/>
    <w:rsid w:val="00F73530"/>
    <w:rsid w:val="00F7455E"/>
    <w:rsid w:val="00F745DF"/>
    <w:rsid w:val="00F7496C"/>
    <w:rsid w:val="00F76C7A"/>
    <w:rsid w:val="00F80132"/>
    <w:rsid w:val="00F804F3"/>
    <w:rsid w:val="00F82953"/>
    <w:rsid w:val="00F83DCF"/>
    <w:rsid w:val="00F84FD3"/>
    <w:rsid w:val="00F85C3E"/>
    <w:rsid w:val="00F87F00"/>
    <w:rsid w:val="00F92360"/>
    <w:rsid w:val="00F93124"/>
    <w:rsid w:val="00F96E69"/>
    <w:rsid w:val="00F972EE"/>
    <w:rsid w:val="00FA3010"/>
    <w:rsid w:val="00FA396B"/>
    <w:rsid w:val="00FA5E63"/>
    <w:rsid w:val="00FA60FD"/>
    <w:rsid w:val="00FA7288"/>
    <w:rsid w:val="00FA7B29"/>
    <w:rsid w:val="00FB1A92"/>
    <w:rsid w:val="00FB1FDE"/>
    <w:rsid w:val="00FB2896"/>
    <w:rsid w:val="00FB3068"/>
    <w:rsid w:val="00FB393E"/>
    <w:rsid w:val="00FC0100"/>
    <w:rsid w:val="00FC04C1"/>
    <w:rsid w:val="00FC184A"/>
    <w:rsid w:val="00FC21B5"/>
    <w:rsid w:val="00FC3528"/>
    <w:rsid w:val="00FC64CD"/>
    <w:rsid w:val="00FC734D"/>
    <w:rsid w:val="00FD1ECF"/>
    <w:rsid w:val="00FD207D"/>
    <w:rsid w:val="00FD31C5"/>
    <w:rsid w:val="00FD64A7"/>
    <w:rsid w:val="00FE192D"/>
    <w:rsid w:val="00FE2477"/>
    <w:rsid w:val="00FE55FD"/>
    <w:rsid w:val="00FE708C"/>
    <w:rsid w:val="00FF2464"/>
    <w:rsid w:val="00FF57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9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1"/>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2B0A12"/>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7F670A"/>
    <w:rPr>
      <w:color w:val="808080"/>
      <w:shd w:val="clear" w:color="auto" w:fill="E6E6E6"/>
    </w:rPr>
  </w:style>
  <w:style w:type="character" w:styleId="CommentReference">
    <w:name w:val="annotation reference"/>
    <w:basedOn w:val="DefaultParagraphFont"/>
    <w:uiPriority w:val="99"/>
    <w:semiHidden/>
    <w:locked/>
    <w:rsid w:val="00EF1EA0"/>
    <w:rPr>
      <w:sz w:val="16"/>
      <w:szCs w:val="16"/>
    </w:rPr>
  </w:style>
  <w:style w:type="paragraph" w:styleId="CommentText">
    <w:name w:val="annotation text"/>
    <w:basedOn w:val="Normal"/>
    <w:link w:val="CommentTextChar"/>
    <w:uiPriority w:val="99"/>
    <w:semiHidden/>
    <w:locked/>
    <w:rsid w:val="00EF1EA0"/>
    <w:rPr>
      <w:sz w:val="20"/>
      <w:szCs w:val="20"/>
    </w:rPr>
  </w:style>
  <w:style w:type="character" w:customStyle="1" w:styleId="CommentTextChar">
    <w:name w:val="Comment Text Char"/>
    <w:basedOn w:val="DefaultParagraphFont"/>
    <w:link w:val="CommentText"/>
    <w:uiPriority w:val="99"/>
    <w:semiHidden/>
    <w:rsid w:val="00EF1EA0"/>
    <w:rPr>
      <w:sz w:val="20"/>
      <w:szCs w:val="20"/>
    </w:rPr>
  </w:style>
  <w:style w:type="paragraph" w:styleId="CommentSubject">
    <w:name w:val="annotation subject"/>
    <w:basedOn w:val="CommentText"/>
    <w:next w:val="CommentText"/>
    <w:link w:val="CommentSubjectChar"/>
    <w:uiPriority w:val="99"/>
    <w:semiHidden/>
    <w:locked/>
    <w:rsid w:val="00EF1EA0"/>
    <w:rPr>
      <w:b/>
      <w:bCs/>
    </w:rPr>
  </w:style>
  <w:style w:type="character" w:customStyle="1" w:styleId="CommentSubjectChar">
    <w:name w:val="Comment Subject Char"/>
    <w:basedOn w:val="CommentTextChar"/>
    <w:link w:val="CommentSubject"/>
    <w:uiPriority w:val="99"/>
    <w:semiHidden/>
    <w:rsid w:val="00EF1EA0"/>
    <w:rPr>
      <w:b/>
      <w:bCs/>
      <w:sz w:val="20"/>
      <w:szCs w:val="20"/>
    </w:rPr>
  </w:style>
  <w:style w:type="character" w:customStyle="1" w:styleId="UnresolvedMention2">
    <w:name w:val="Unresolved Mention2"/>
    <w:basedOn w:val="DefaultParagraphFont"/>
    <w:uiPriority w:val="99"/>
    <w:semiHidden/>
    <w:unhideWhenUsed/>
    <w:rsid w:val="000C1ABC"/>
    <w:rPr>
      <w:color w:val="605E5C"/>
      <w:shd w:val="clear" w:color="auto" w:fill="E1DFDD"/>
    </w:rPr>
  </w:style>
  <w:style w:type="paragraph" w:styleId="Revision">
    <w:name w:val="Revision"/>
    <w:hidden/>
    <w:uiPriority w:val="99"/>
    <w:semiHidden/>
    <w:rsid w:val="001C14CD"/>
  </w:style>
  <w:style w:type="paragraph" w:customStyle="1" w:styleId="Default">
    <w:name w:val="Default"/>
    <w:rsid w:val="00AA3FA5"/>
    <w:pPr>
      <w:autoSpaceDE w:val="0"/>
      <w:autoSpaceDN w:val="0"/>
      <w:adjustRightInd w:val="0"/>
    </w:pPr>
    <w:rPr>
      <w:rFonts w:cs="Calibri"/>
      <w:color w:val="000000"/>
      <w:sz w:val="24"/>
      <w:szCs w:val="24"/>
    </w:rPr>
  </w:style>
  <w:style w:type="character" w:customStyle="1" w:styleId="UnresolvedMention">
    <w:name w:val="Unresolved Mention"/>
    <w:basedOn w:val="DefaultParagraphFont"/>
    <w:uiPriority w:val="99"/>
    <w:semiHidden/>
    <w:unhideWhenUsed/>
    <w:rsid w:val="0016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76648">
      <w:bodyDiv w:val="1"/>
      <w:marLeft w:val="0"/>
      <w:marRight w:val="0"/>
      <w:marTop w:val="0"/>
      <w:marBottom w:val="0"/>
      <w:divBdr>
        <w:top w:val="none" w:sz="0" w:space="0" w:color="auto"/>
        <w:left w:val="none" w:sz="0" w:space="0" w:color="auto"/>
        <w:bottom w:val="none" w:sz="0" w:space="0" w:color="auto"/>
        <w:right w:val="none" w:sz="0" w:space="0" w:color="auto"/>
      </w:divBdr>
    </w:div>
    <w:div w:id="749814299">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1730610319">
      <w:bodyDiv w:val="1"/>
      <w:marLeft w:val="0"/>
      <w:marRight w:val="0"/>
      <w:marTop w:val="0"/>
      <w:marBottom w:val="0"/>
      <w:divBdr>
        <w:top w:val="none" w:sz="0" w:space="0" w:color="auto"/>
        <w:left w:val="none" w:sz="0" w:space="0" w:color="auto"/>
        <w:bottom w:val="none" w:sz="0" w:space="0" w:color="auto"/>
        <w:right w:val="none" w:sz="0" w:space="0" w:color="auto"/>
      </w:divBdr>
    </w:div>
    <w:div w:id="1999841245">
      <w:bodyDiv w:val="1"/>
      <w:marLeft w:val="0"/>
      <w:marRight w:val="0"/>
      <w:marTop w:val="0"/>
      <w:marBottom w:val="0"/>
      <w:divBdr>
        <w:top w:val="none" w:sz="0" w:space="0" w:color="auto"/>
        <w:left w:val="none" w:sz="0" w:space="0" w:color="auto"/>
        <w:bottom w:val="none" w:sz="0" w:space="0" w:color="auto"/>
        <w:right w:val="none" w:sz="0" w:space="0" w:color="auto"/>
      </w:divBdr>
    </w:div>
    <w:div w:id="20767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www.environment.gov.au/protection/waste-resource-recovery/national-waste-reports/national-waste-report-2018"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mh.com.au/world/asia/eight-more-containers-of-toxic-rubbish-to-be-sent-back-to-australia-20190709-p525kb.html" TargetMode="External"/><Relationship Id="rId13" Type="http://schemas.openxmlformats.org/officeDocument/2006/relationships/hyperlink" Target="https://www.thestar.com.my/news/nation/2018/10/17/govt-to-ban-import-of-all-nonrecyclable-waste/" TargetMode="External"/><Relationship Id="rId18" Type="http://schemas.openxmlformats.org/officeDocument/2006/relationships/hyperlink" Target="http://www.nationmultimedia.com/detail/national/30351792" TargetMode="External"/><Relationship Id="rId26" Type="http://schemas.openxmlformats.org/officeDocument/2006/relationships/hyperlink" Target="https://www.spglobal.com/platts/en/market-insights/latest-news/metals/022019-vietnams-jan-scrap-imports-plunge-amid-stricter-government-rules" TargetMode="External"/><Relationship Id="rId3" Type="http://schemas.openxmlformats.org/officeDocument/2006/relationships/hyperlink" Target="https://www.recyclingtodayglobal.com/article/china-import-scrap-policy-update" TargetMode="External"/><Relationship Id="rId21" Type="http://schemas.openxmlformats.org/officeDocument/2006/relationships/hyperlink" Target="https://www.reuters.com/article/us-thailand-environment-waste/thailand-to-ban-imports-of-high-tech-trash-plastic-waste-idUSKBN1L10QW" TargetMode="External"/><Relationship Id="rId7" Type="http://schemas.openxmlformats.org/officeDocument/2006/relationships/hyperlink" Target="https://www.recyclingtoday.com/article/indonesia-recovered-paper-import-inspections/" TargetMode="External"/><Relationship Id="rId12" Type="http://schemas.openxmlformats.org/officeDocument/2006/relationships/hyperlink" Target="http://wastemanagementreview.com.au/battling-sovereign-risk/" TargetMode="External"/><Relationship Id="rId17" Type="http://schemas.openxmlformats.org/officeDocument/2006/relationships/hyperlink" Target="http://www.taipeitimes.com/News/taiwan/archives/2018/08/14/2003698509" TargetMode="External"/><Relationship Id="rId25" Type="http://schemas.openxmlformats.org/officeDocument/2006/relationships/hyperlink" Target="https://en.vietnamplus.vn/scrap-imports-through-road-railway-border-gates-to-be-banned/145041.vnp" TargetMode="External"/><Relationship Id="rId2" Type="http://schemas.openxmlformats.org/officeDocument/2006/relationships/hyperlink" Target="https://blueenvironment.com.au/wp-content/uploads/2018/05/Exports-of-recyclables-from-Aust-to-China-v2.pdf" TargetMode="External"/><Relationship Id="rId16" Type="http://schemas.openxmlformats.org/officeDocument/2006/relationships/hyperlink" Target="http://www.taipeitimes.com/News/taiwan/archives/2018/10/02/2003701576" TargetMode="External"/><Relationship Id="rId20" Type="http://schemas.openxmlformats.org/officeDocument/2006/relationships/hyperlink" Target="http://www.ratchakitcha.soc.go.th/DATA/PDF/2561/E/188/T15.PDF" TargetMode="External"/><Relationship Id="rId1" Type="http://schemas.openxmlformats.org/officeDocument/2006/relationships/hyperlink" Target="mailto:joe.pickin@blueenvironment.com.au" TargetMode="External"/><Relationship Id="rId6" Type="http://schemas.openxmlformats.org/officeDocument/2006/relationships/hyperlink" Target="http://pib.nic.in/PressReleseDetail.aspx?PRID=1567682" TargetMode="External"/><Relationship Id="rId11" Type="http://schemas.openxmlformats.org/officeDocument/2006/relationships/hyperlink" Target="https://www.freemalaysiatoday.com/category/nation/2018/07/24/permits-to-import-plastic-waste-for-114-factories-revoked/" TargetMode="External"/><Relationship Id="rId24"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5" Type="http://schemas.openxmlformats.org/officeDocument/2006/relationships/hyperlink" Target="https://www.businesstoday.in/current/policy/india-bans-import-of-plastic-waste-from-august-this-year-to-curb-pollution/story/358778.html" TargetMode="External"/><Relationship Id="rId15" Type="http://schemas.openxmlformats.org/officeDocument/2006/relationships/hyperlink" Target="https://www.malaymail.com/news/malaysia/2019/05/31/yeo-bee-yin-moots-rm1500-charge-per-shipping-container-to-cut-illegal-impor/1758091" TargetMode="External"/><Relationship Id="rId23" Type="http://schemas.openxmlformats.org/officeDocument/2006/relationships/hyperlink" Target="https://e.vnexpress.net/news/business/economy/vietnam-to-end-plastic-scrap-imports-from-2025-3900351.html" TargetMode="External"/><Relationship Id="rId10" Type="http://schemas.openxmlformats.org/officeDocument/2006/relationships/hyperlink" Target="https://www.voanews.com/east-asia/indonesia-vows-send-back-illegal-plastic-waste" TargetMode="External"/><Relationship Id="rId19" Type="http://schemas.openxmlformats.org/officeDocument/2006/relationships/hyperlink" Target="https://ciwm-journal.co.uk/thailand-set-to-ban-plastic-waste-imports-by-2021/" TargetMode="External"/><Relationship Id="rId4" Type="http://schemas.openxmlformats.org/officeDocument/2006/relationships/hyperlink" Target="https://www.reuters.com/article/us-china-environment-waste/china-to-restrict-imports-of-scrap-steel-aluminum-from-july-idUSKCN1OS02X" TargetMode="External"/><Relationship Id="rId9" Type="http://schemas.openxmlformats.org/officeDocument/2006/relationships/hyperlink" Target="http://wastemanagementreview.com.au/indonesia-100-per-cent-paper-inspection-rate/" TargetMode="External"/><Relationship Id="rId14" Type="http://schemas.openxmlformats.org/officeDocument/2006/relationships/hyperlink" Target="https://www.theaustralian.com.au/nation/world/australia-would-vet-any-waste-returns-says-ley/news-story/96aaa8c05908bca11579908f128cf40e" TargetMode="External"/><Relationship Id="rId22" Type="http://schemas.openxmlformats.org/officeDocument/2006/relationships/hyperlink" Target="http://www.vietnam-briefing.com/news/vietnam-to-restrict-surging-scrap-import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oe\Documents\A)%20BE%20projects\P956%20Ongoing%20waste%20export%20analysis\Outputs\ABS%20export%20data%20collation%20to%20June%2019%20(draft%20v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22239583333333E-2"/>
          <c:y val="3.3388095238095238E-2"/>
          <c:w val="0.86874521010849715"/>
          <c:h val="0.7836793650793652"/>
        </c:manualLayout>
      </c:layout>
      <c:areaChart>
        <c:grouping val="stacked"/>
        <c:varyColors val="0"/>
        <c:ser>
          <c:idx val="0"/>
          <c:order val="0"/>
          <c:tx>
            <c:strRef>
              <c:f>'Total waste'!$BA$204</c:f>
              <c:strCache>
                <c:ptCount val="1"/>
                <c:pt idx="0">
                  <c:v>Vietnam</c:v>
                </c:pt>
              </c:strCache>
            </c:strRef>
          </c:tx>
          <c:spPr>
            <a:solidFill>
              <a:schemeClr val="accent2">
                <a:lumMod val="20000"/>
                <a:lumOff val="80000"/>
              </a:schemeClr>
            </a:solidFill>
            <a:ln>
              <a:noFill/>
            </a:ln>
            <a:effectLst/>
          </c:spPr>
          <c:dLbls>
            <c:dLbl>
              <c:idx val="0"/>
              <c:layout>
                <c:manualLayout>
                  <c:x val="-0.25750679861996495"/>
                  <c:y val="-9.2393112561059377E-17"/>
                </c:manualLayout>
              </c:layout>
              <c:spPr>
                <a:noFill/>
                <a:ln>
                  <a:noFill/>
                </a:ln>
                <a:effectLst/>
              </c:spPr>
              <c:txPr>
                <a:bodyPr rot="0" spcFirstLastPara="1" vertOverflow="ellipsis" vert="horz" wrap="square" lIns="36000" tIns="19050" rIns="360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0-CA24-4BD0-87B3-52178AF47DB3}"/>
                </c:ext>
                <c:ext xmlns:c15="http://schemas.microsoft.com/office/drawing/2012/chart" uri="{CE6537A1-D6FC-4f65-9D91-7224C49458BB}">
                  <c15:spPr xmlns:c15="http://schemas.microsoft.com/office/drawing/2012/chart">
                    <a:prstGeom prst="rect">
                      <a:avLst/>
                    </a:prstGeom>
                    <a:noFill/>
                    <a:ln>
                      <a:noFill/>
                    </a:ln>
                  </c15:spPr>
                  <c15:layout/>
                </c:ext>
              </c:extLst>
            </c:dLbl>
            <c:spPr>
              <a:noFill/>
              <a:ln>
                <a:noFill/>
              </a:ln>
              <a:effectLst/>
            </c:spPr>
            <c:txPr>
              <a:bodyPr rot="0" spcFirstLastPara="1" vertOverflow="ellipsis" vert="horz" wrap="square" lIns="36000" tIns="19050" rIns="360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0"/>
              </c:ext>
            </c:extLst>
          </c:dLbls>
          <c:cat>
            <c:numRef>
              <c:f>'Total waste'!$Q$5:$AB$5</c:f>
              <c:numCache>
                <c:formatCode>mmm\-yy</c:formatCode>
                <c:ptCount val="12"/>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numCache>
            </c:numRef>
          </c:cat>
          <c:val>
            <c:numRef>
              <c:f>'Total waste'!$BC$204:$BN$204</c:f>
              <c:numCache>
                <c:formatCode>#,##0</c:formatCode>
                <c:ptCount val="12"/>
                <c:pt idx="0">
                  <c:v>48638.963691531069</c:v>
                </c:pt>
                <c:pt idx="1">
                  <c:v>76714.015223644659</c:v>
                </c:pt>
                <c:pt idx="2">
                  <c:v>59736.021839877067</c:v>
                </c:pt>
                <c:pt idx="3">
                  <c:v>61783.654072106678</c:v>
                </c:pt>
                <c:pt idx="4">
                  <c:v>102944.38581654706</c:v>
                </c:pt>
                <c:pt idx="5">
                  <c:v>89489.708426271129</c:v>
                </c:pt>
                <c:pt idx="6">
                  <c:v>37276.988573462324</c:v>
                </c:pt>
                <c:pt idx="7">
                  <c:v>26265.895380877373</c:v>
                </c:pt>
                <c:pt idx="8">
                  <c:v>39676.426947500135</c:v>
                </c:pt>
                <c:pt idx="9">
                  <c:v>108511.4921455102</c:v>
                </c:pt>
                <c:pt idx="10">
                  <c:v>6786.3836225268105</c:v>
                </c:pt>
                <c:pt idx="11">
                  <c:v>75766.705510053202</c:v>
                </c:pt>
              </c:numCache>
            </c:numRef>
          </c:val>
          <c:extLst xmlns:c16r2="http://schemas.microsoft.com/office/drawing/2015/06/chart">
            <c:ext xmlns:c16="http://schemas.microsoft.com/office/drawing/2014/chart" uri="{C3380CC4-5D6E-409C-BE32-E72D297353CC}">
              <c16:uniqueId val="{00000001-CA24-4BD0-87B3-52178AF47DB3}"/>
            </c:ext>
          </c:extLst>
        </c:ser>
        <c:ser>
          <c:idx val="2"/>
          <c:order val="1"/>
          <c:tx>
            <c:strRef>
              <c:f>'Total waste'!$BA$205</c:f>
              <c:strCache>
                <c:ptCount val="1"/>
                <c:pt idx="0">
                  <c:v>Indonesia</c:v>
                </c:pt>
              </c:strCache>
            </c:strRef>
          </c:tx>
          <c:spPr>
            <a:solidFill>
              <a:schemeClr val="accent2">
                <a:lumMod val="40000"/>
                <a:lumOff val="60000"/>
              </a:schemeClr>
            </a:solidFill>
            <a:ln>
              <a:noFill/>
            </a:ln>
            <a:effectLst/>
          </c:spPr>
          <c:dLbls>
            <c:dLbl>
              <c:idx val="0"/>
              <c:layout>
                <c:manualLayout>
                  <c:x val="-0.25306702622996552"/>
                  <c:y val="0"/>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2-CA24-4BD0-87B3-52178AF47DB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0">
                <a:spAutoFit/>
              </a:bodyPr>
              <a:lstStyle/>
              <a:p>
                <a:pPr algn="ctr">
                  <a:defRPr lang="en-AU" sz="900" b="0" i="0" u="none" strike="noStrike" kern="1200" baseline="0">
                    <a:solidFill>
                      <a:sysClr val="windowText" lastClr="000000"/>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'Total waste'!$Q$5:$AB$5</c:f>
              <c:numCache>
                <c:formatCode>mmm\-yy</c:formatCode>
                <c:ptCount val="12"/>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numCache>
            </c:numRef>
          </c:cat>
          <c:val>
            <c:numRef>
              <c:f>'Total waste'!$BC$205:$BN$205</c:f>
              <c:numCache>
                <c:formatCode>#,##0</c:formatCode>
                <c:ptCount val="12"/>
                <c:pt idx="0">
                  <c:v>60479.635280200891</c:v>
                </c:pt>
                <c:pt idx="1">
                  <c:v>57344.022834824551</c:v>
                </c:pt>
                <c:pt idx="2">
                  <c:v>69025.138764606425</c:v>
                </c:pt>
                <c:pt idx="3">
                  <c:v>77968.598392197338</c:v>
                </c:pt>
                <c:pt idx="4">
                  <c:v>84528.689535031968</c:v>
                </c:pt>
                <c:pt idx="5">
                  <c:v>76636.95760657225</c:v>
                </c:pt>
                <c:pt idx="6">
                  <c:v>41121.066632896858</c:v>
                </c:pt>
                <c:pt idx="7">
                  <c:v>69827.916820934755</c:v>
                </c:pt>
                <c:pt idx="8">
                  <c:v>52762.788128784661</c:v>
                </c:pt>
                <c:pt idx="9">
                  <c:v>45019.569293502893</c:v>
                </c:pt>
                <c:pt idx="10">
                  <c:v>48235.184241750496</c:v>
                </c:pt>
                <c:pt idx="11">
                  <c:v>44683.684707046392</c:v>
                </c:pt>
              </c:numCache>
            </c:numRef>
          </c:val>
          <c:extLst xmlns:c16r2="http://schemas.microsoft.com/office/drawing/2015/06/chart">
            <c:ext xmlns:c16="http://schemas.microsoft.com/office/drawing/2014/chart" uri="{C3380CC4-5D6E-409C-BE32-E72D297353CC}">
              <c16:uniqueId val="{00000003-CA24-4BD0-87B3-52178AF47DB3}"/>
            </c:ext>
          </c:extLst>
        </c:ser>
        <c:ser>
          <c:idx val="3"/>
          <c:order val="2"/>
          <c:tx>
            <c:strRef>
              <c:f>'Total waste'!$BA$206</c:f>
              <c:strCache>
                <c:ptCount val="1"/>
                <c:pt idx="0">
                  <c:v>China (including Hong Kong and Macau)</c:v>
                </c:pt>
              </c:strCache>
            </c:strRef>
          </c:tx>
          <c:spPr>
            <a:solidFill>
              <a:schemeClr val="accent2">
                <a:lumMod val="60000"/>
                <a:lumOff val="40000"/>
              </a:schemeClr>
            </a:solidFill>
            <a:ln>
              <a:noFill/>
            </a:ln>
            <a:effectLst/>
          </c:spPr>
          <c:dLbls>
            <c:dLbl>
              <c:idx val="0"/>
              <c:layout>
                <c:manualLayout>
                  <c:x val="-0.26083662791246448"/>
                  <c:y val="-2.267857142857143E-2"/>
                </c:manualLayout>
              </c:layout>
              <c:spPr>
                <a:noFill/>
                <a:ln>
                  <a:noFill/>
                </a:ln>
                <a:effectLst/>
              </c:spPr>
              <c:txPr>
                <a:bodyPr rot="0" spcFirstLastPara="1" vertOverflow="ellipsis" vert="horz" wrap="square" lIns="38100" tIns="19050" rIns="38100" bIns="19050" anchor="ctr" anchorCtr="0">
                  <a:noAutofit/>
                </a:bodyPr>
                <a:lstStyle/>
                <a:p>
                  <a:pPr algn="ctr">
                    <a:defRPr lang="en-AU" sz="900" b="0" i="0" u="none" strike="noStrike" kern="1200" baseline="0">
                      <a:solidFill>
                        <a:schemeClr val="tx1"/>
                      </a:solidFill>
                      <a:latin typeface="+mn-lt"/>
                      <a:ea typeface="+mn-ea"/>
                      <a:cs typeface="+mn-cs"/>
                    </a:defRPr>
                  </a:pPr>
                  <a:endParaRPr lang="en-US"/>
                </a:p>
              </c:txPr>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4-CA24-4BD0-87B3-52178AF47DB3}"/>
                </c:ext>
                <c:ext xmlns:c15="http://schemas.microsoft.com/office/drawing/2012/chart" uri="{CE6537A1-D6FC-4f65-9D91-7224C49458BB}">
                  <c15:layout>
                    <c:manualLayout>
                      <c:w val="0.34165149744433415"/>
                      <c:h val="9.0563095238095234E-2"/>
                    </c:manualLayout>
                  </c15:layout>
                </c:ext>
              </c:extLst>
            </c:dLbl>
            <c:spPr>
              <a:noFill/>
              <a:ln>
                <a:noFill/>
              </a:ln>
              <a:effectLst/>
            </c:spPr>
            <c:txPr>
              <a:bodyPr rot="0" spcFirstLastPara="1" vertOverflow="ellipsis" vert="horz" wrap="square" lIns="38100" tIns="19050" rIns="38100" bIns="19050" anchor="ctr" anchorCtr="0">
                <a:spAutoFit/>
              </a:bodyPr>
              <a:lstStyle/>
              <a:p>
                <a:pPr algn="ctr">
                  <a:defRPr lang="en-AU" sz="900" b="0"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'Total waste'!$Q$5:$AB$5</c:f>
              <c:numCache>
                <c:formatCode>mmm\-yy</c:formatCode>
                <c:ptCount val="12"/>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numCache>
            </c:numRef>
          </c:cat>
          <c:val>
            <c:numRef>
              <c:f>'Total waste'!$BC$206:$BN$206</c:f>
              <c:numCache>
                <c:formatCode>#,##0</c:formatCode>
                <c:ptCount val="12"/>
                <c:pt idx="0">
                  <c:v>55404.223280318351</c:v>
                </c:pt>
                <c:pt idx="1">
                  <c:v>60570.310696880661</c:v>
                </c:pt>
                <c:pt idx="2">
                  <c:v>63325.806362444579</c:v>
                </c:pt>
                <c:pt idx="3">
                  <c:v>52867.477055136478</c:v>
                </c:pt>
                <c:pt idx="4">
                  <c:v>64829.53605671128</c:v>
                </c:pt>
                <c:pt idx="5">
                  <c:v>56310.623645679567</c:v>
                </c:pt>
                <c:pt idx="6">
                  <c:v>46723.489534140848</c:v>
                </c:pt>
                <c:pt idx="7">
                  <c:v>45888.540930586278</c:v>
                </c:pt>
                <c:pt idx="8">
                  <c:v>42350.551546184135</c:v>
                </c:pt>
                <c:pt idx="9">
                  <c:v>56589.470357969054</c:v>
                </c:pt>
                <c:pt idx="10">
                  <c:v>54422.807857284148</c:v>
                </c:pt>
                <c:pt idx="11">
                  <c:v>46871.772976417888</c:v>
                </c:pt>
              </c:numCache>
            </c:numRef>
          </c:val>
          <c:extLst xmlns:c16r2="http://schemas.microsoft.com/office/drawing/2015/06/chart">
            <c:ext xmlns:c16="http://schemas.microsoft.com/office/drawing/2014/chart" uri="{C3380CC4-5D6E-409C-BE32-E72D297353CC}">
              <c16:uniqueId val="{00000005-CA24-4BD0-87B3-52178AF47DB3}"/>
            </c:ext>
          </c:extLst>
        </c:ser>
        <c:ser>
          <c:idx val="4"/>
          <c:order val="3"/>
          <c:tx>
            <c:strRef>
              <c:f>'Total waste'!$BA$207</c:f>
              <c:strCache>
                <c:ptCount val="1"/>
                <c:pt idx="0">
                  <c:v>India</c:v>
                </c:pt>
              </c:strCache>
            </c:strRef>
          </c:tx>
          <c:spPr>
            <a:solidFill>
              <a:schemeClr val="accent2"/>
            </a:solidFill>
            <a:ln>
              <a:noFill/>
            </a:ln>
            <a:effectLst/>
          </c:spPr>
          <c:dLbls>
            <c:dLbl>
              <c:idx val="0"/>
              <c:layout>
                <c:manualLayout>
                  <c:x val="-0.25306702622996552"/>
                  <c:y val="-1.0079365079365079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6-CA24-4BD0-87B3-52178AF47DB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'Total waste'!$Q$5:$AB$5</c:f>
              <c:numCache>
                <c:formatCode>mmm\-yy</c:formatCode>
                <c:ptCount val="12"/>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numCache>
            </c:numRef>
          </c:cat>
          <c:val>
            <c:numRef>
              <c:f>'Total waste'!$BC$207:$BN$207</c:f>
              <c:numCache>
                <c:formatCode>#,##0</c:formatCode>
                <c:ptCount val="12"/>
                <c:pt idx="0">
                  <c:v>46273.541865763182</c:v>
                </c:pt>
                <c:pt idx="1">
                  <c:v>37781.100302366212</c:v>
                </c:pt>
                <c:pt idx="2">
                  <c:v>31096.834394641115</c:v>
                </c:pt>
                <c:pt idx="3">
                  <c:v>37704.976423658212</c:v>
                </c:pt>
                <c:pt idx="4">
                  <c:v>33525.669515394045</c:v>
                </c:pt>
                <c:pt idx="5">
                  <c:v>52064.720576620944</c:v>
                </c:pt>
                <c:pt idx="6">
                  <c:v>38450.167714522628</c:v>
                </c:pt>
                <c:pt idx="7">
                  <c:v>67580.659109725544</c:v>
                </c:pt>
                <c:pt idx="8">
                  <c:v>69486.055776095483</c:v>
                </c:pt>
                <c:pt idx="9">
                  <c:v>67182.797145198521</c:v>
                </c:pt>
                <c:pt idx="10">
                  <c:v>53219.299428029168</c:v>
                </c:pt>
                <c:pt idx="11">
                  <c:v>51850.748627887107</c:v>
                </c:pt>
              </c:numCache>
            </c:numRef>
          </c:val>
          <c:extLst xmlns:c16r2="http://schemas.microsoft.com/office/drawing/2015/06/chart">
            <c:ext xmlns:c16="http://schemas.microsoft.com/office/drawing/2014/chart" uri="{C3380CC4-5D6E-409C-BE32-E72D297353CC}">
              <c16:uniqueId val="{00000007-CA24-4BD0-87B3-52178AF47DB3}"/>
            </c:ext>
          </c:extLst>
        </c:ser>
        <c:ser>
          <c:idx val="5"/>
          <c:order val="4"/>
          <c:tx>
            <c:strRef>
              <c:f>'Total waste'!$BA$208</c:f>
              <c:strCache>
                <c:ptCount val="1"/>
                <c:pt idx="0">
                  <c:v>Malaysia</c:v>
                </c:pt>
              </c:strCache>
            </c:strRef>
          </c:tx>
          <c:spPr>
            <a:solidFill>
              <a:schemeClr val="accent2">
                <a:lumMod val="75000"/>
              </a:schemeClr>
            </a:solidFill>
            <a:ln>
              <a:noFill/>
            </a:ln>
            <a:effectLst/>
          </c:spPr>
          <c:dLbls>
            <c:dLbl>
              <c:idx val="0"/>
              <c:layout>
                <c:manualLayout>
                  <c:x val="0.1553920336499788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8-CA24-4BD0-87B3-52178AF47DB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'Total waste'!$Q$5:$AB$5</c:f>
              <c:numCache>
                <c:formatCode>mmm\-yy</c:formatCode>
                <c:ptCount val="12"/>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numCache>
            </c:numRef>
          </c:cat>
          <c:val>
            <c:numRef>
              <c:f>'Total waste'!$BC$208:$BN$208</c:f>
              <c:numCache>
                <c:formatCode>#,##0</c:formatCode>
                <c:ptCount val="12"/>
                <c:pt idx="0">
                  <c:v>23061.473661647829</c:v>
                </c:pt>
                <c:pt idx="1">
                  <c:v>16874.195248018041</c:v>
                </c:pt>
                <c:pt idx="2">
                  <c:v>18974.145333795066</c:v>
                </c:pt>
                <c:pt idx="3">
                  <c:v>24896.547423607128</c:v>
                </c:pt>
                <c:pt idx="4">
                  <c:v>23721.01970377798</c:v>
                </c:pt>
                <c:pt idx="5">
                  <c:v>24810.061026039912</c:v>
                </c:pt>
                <c:pt idx="6">
                  <c:v>20917.720641700544</c:v>
                </c:pt>
                <c:pt idx="7">
                  <c:v>31933.008340443972</c:v>
                </c:pt>
                <c:pt idx="8">
                  <c:v>29218.856280802516</c:v>
                </c:pt>
                <c:pt idx="9">
                  <c:v>24221.27647878923</c:v>
                </c:pt>
                <c:pt idx="10">
                  <c:v>25613.294618572549</c:v>
                </c:pt>
                <c:pt idx="11">
                  <c:v>57997.24951544682</c:v>
                </c:pt>
              </c:numCache>
            </c:numRef>
          </c:val>
          <c:extLst xmlns:c16r2="http://schemas.microsoft.com/office/drawing/2015/06/chart">
            <c:ext xmlns:c16="http://schemas.microsoft.com/office/drawing/2014/chart" uri="{C3380CC4-5D6E-409C-BE32-E72D297353CC}">
              <c16:uniqueId val="{00000009-CA24-4BD0-87B3-52178AF47DB3}"/>
            </c:ext>
          </c:extLst>
        </c:ser>
        <c:ser>
          <c:idx val="6"/>
          <c:order val="5"/>
          <c:tx>
            <c:strRef>
              <c:f>'Total waste'!$BA$209</c:f>
              <c:strCache>
                <c:ptCount val="1"/>
                <c:pt idx="0">
                  <c:v>Bangladesh</c:v>
                </c:pt>
              </c:strCache>
            </c:strRef>
          </c:tx>
          <c:spPr>
            <a:solidFill>
              <a:schemeClr val="accent2">
                <a:lumMod val="50000"/>
              </a:schemeClr>
            </a:solidFill>
            <a:ln>
              <a:noFill/>
            </a:ln>
            <a:effectLst/>
          </c:spPr>
          <c:dLbls>
            <c:dLbl>
              <c:idx val="0"/>
              <c:layout>
                <c:manualLayout>
                  <c:x val="0.35518179119995164"/>
                  <c:y val="-4.6196556280529689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A-CA24-4BD0-87B3-52178AF47DB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'Total waste'!$Q$5:$AB$5</c:f>
              <c:numCache>
                <c:formatCode>mmm\-yy</c:formatCode>
                <c:ptCount val="12"/>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numCache>
            </c:numRef>
          </c:cat>
          <c:val>
            <c:numRef>
              <c:f>'Total waste'!$BC$209:$BN$209</c:f>
              <c:numCache>
                <c:formatCode>#,##0</c:formatCode>
                <c:ptCount val="12"/>
                <c:pt idx="0">
                  <c:v>13844.125</c:v>
                </c:pt>
                <c:pt idx="1">
                  <c:v>16320.163403217954</c:v>
                </c:pt>
                <c:pt idx="2">
                  <c:v>6872.5569136809327</c:v>
                </c:pt>
                <c:pt idx="3">
                  <c:v>6102.9401309029008</c:v>
                </c:pt>
                <c:pt idx="4">
                  <c:v>6797.6849999999995</c:v>
                </c:pt>
                <c:pt idx="5">
                  <c:v>11916.320000000002</c:v>
                </c:pt>
                <c:pt idx="6">
                  <c:v>23180.874713455352</c:v>
                </c:pt>
                <c:pt idx="7">
                  <c:v>34409.334271896616</c:v>
                </c:pt>
                <c:pt idx="8">
                  <c:v>25334.290000000005</c:v>
                </c:pt>
                <c:pt idx="9">
                  <c:v>26599.707302913379</c:v>
                </c:pt>
                <c:pt idx="10">
                  <c:v>49568.051999999996</c:v>
                </c:pt>
                <c:pt idx="11">
                  <c:v>86634.837078252356</c:v>
                </c:pt>
              </c:numCache>
            </c:numRef>
          </c:val>
          <c:extLst xmlns:c16r2="http://schemas.microsoft.com/office/drawing/2015/06/chart">
            <c:ext xmlns:c16="http://schemas.microsoft.com/office/drawing/2014/chart" uri="{C3380CC4-5D6E-409C-BE32-E72D297353CC}">
              <c16:uniqueId val="{0000000B-CA24-4BD0-87B3-52178AF47DB3}"/>
            </c:ext>
          </c:extLst>
        </c:ser>
        <c:ser>
          <c:idx val="7"/>
          <c:order val="6"/>
          <c:tx>
            <c:strRef>
              <c:f>'Total waste'!$BA$221</c:f>
              <c:strCache>
                <c:ptCount val="1"/>
                <c:pt idx="0">
                  <c:v>Other destinations</c:v>
                </c:pt>
              </c:strCache>
            </c:strRef>
          </c:tx>
          <c:spPr>
            <a:solidFill>
              <a:schemeClr val="tx1"/>
            </a:solidFill>
            <a:ln>
              <a:noFill/>
            </a:ln>
            <a:effectLst/>
          </c:spPr>
          <c:dLbls>
            <c:dLbl>
              <c:idx val="0"/>
              <c:layout>
                <c:manualLayout>
                  <c:x val="-0.25750679861996495"/>
                  <c:y val="-4.031746031746031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C-CA24-4BD0-87B3-52178AF47DB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'Total waste'!$Q$5:$AB$5</c:f>
              <c:numCache>
                <c:formatCode>mmm\-yy</c:formatCode>
                <c:ptCount val="12"/>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numCache>
            </c:numRef>
          </c:cat>
          <c:val>
            <c:numRef>
              <c:f>'Total waste'!$BC$221:$BN$221</c:f>
              <c:numCache>
                <c:formatCode>#,##0</c:formatCode>
                <c:ptCount val="12"/>
                <c:pt idx="0">
                  <c:v>113473.63158898544</c:v>
                </c:pt>
                <c:pt idx="1">
                  <c:v>80582.011210215394</c:v>
                </c:pt>
                <c:pt idx="2">
                  <c:v>125777.77440855053</c:v>
                </c:pt>
                <c:pt idx="3">
                  <c:v>84308.363596720272</c:v>
                </c:pt>
                <c:pt idx="4">
                  <c:v>60519.319856000016</c:v>
                </c:pt>
                <c:pt idx="5">
                  <c:v>92633.400300861744</c:v>
                </c:pt>
                <c:pt idx="6">
                  <c:v>57897.427814541414</c:v>
                </c:pt>
                <c:pt idx="7">
                  <c:v>63925.362865464587</c:v>
                </c:pt>
                <c:pt idx="8">
                  <c:v>109391.90521427416</c:v>
                </c:pt>
                <c:pt idx="9">
                  <c:v>116994.41179957351</c:v>
                </c:pt>
                <c:pt idx="10">
                  <c:v>98678.538467559643</c:v>
                </c:pt>
                <c:pt idx="11">
                  <c:v>109260.32370811829</c:v>
                </c:pt>
              </c:numCache>
            </c:numRef>
          </c:val>
          <c:extLst xmlns:c16r2="http://schemas.microsoft.com/office/drawing/2015/06/chart">
            <c:ext xmlns:c16="http://schemas.microsoft.com/office/drawing/2014/chart" uri="{C3380CC4-5D6E-409C-BE32-E72D297353CC}">
              <c16:uniqueId val="{0000000D-CA24-4BD0-87B3-52178AF47DB3}"/>
            </c:ext>
          </c:extLst>
        </c:ser>
        <c:dLbls>
          <c:showLegendKey val="0"/>
          <c:showVal val="1"/>
          <c:showCatName val="0"/>
          <c:showSerName val="0"/>
          <c:showPercent val="0"/>
          <c:showBubbleSize val="0"/>
        </c:dLbls>
        <c:axId val="367490728"/>
        <c:axId val="367491120"/>
      </c:areaChart>
      <c:dateAx>
        <c:axId val="36749072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491120"/>
        <c:crosses val="autoZero"/>
        <c:auto val="1"/>
        <c:lblOffset val="100"/>
        <c:baseTimeUnit val="months"/>
      </c:dateAx>
      <c:valAx>
        <c:axId val="36749112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Thousands of tonnes</a:t>
                </a:r>
              </a:p>
            </c:rich>
          </c:tx>
          <c:layout>
            <c:manualLayout>
              <c:xMode val="edge"/>
              <c:yMode val="edge"/>
              <c:x val="1.1488562091503272E-3"/>
              <c:y val="0.254773015873015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490728"/>
        <c:crosses val="autoZero"/>
        <c:crossBetween val="midCat"/>
        <c:dispUnits>
          <c:builtInUnit val="thousands"/>
        </c:dispUnits>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prstDash val="solid"/>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10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reviewers>Name Surname, Name Surname</reviewers>
  <projnumber>1234</projnumber>
  <contractdate>2018-01-01T00:00:00</contractdate>
  <infocurrent>2017-07-01T00:00:00</infocurrent>
  <copyright/>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0F670-9325-470C-97D0-A9A4BC3018FA}">
  <ds:schemaRefs/>
</ds:datastoreItem>
</file>

<file path=customXml/itemProps3.xml><?xml version="1.0" encoding="utf-8"?>
<ds:datastoreItem xmlns:ds="http://schemas.openxmlformats.org/officeDocument/2006/customXml" ds:itemID="{7C86E6A2-1E50-4253-AC80-C3662F38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AD1A855E.dotm</Template>
  <TotalTime>0</TotalTime>
  <Pages>10</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Data on exports of Australian wastes 2018-19</vt:lpstr>
    </vt:vector>
  </TitlesOfParts>
  <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on exports of Australian wastes 2018-19</dc:title>
  <dc:subject/>
  <dc:creator/>
  <cp:keywords/>
  <dc:description/>
  <cp:lastModifiedBy/>
  <cp:revision>1</cp:revision>
  <dcterms:created xsi:type="dcterms:W3CDTF">2019-11-07T00:33:00Z</dcterms:created>
  <dcterms:modified xsi:type="dcterms:W3CDTF">2019-11-07T00:34:00Z</dcterms:modified>
</cp:coreProperties>
</file>