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D9659" w14:textId="49E3DA4A" w:rsidR="002F63DB" w:rsidRPr="00DF3DC4" w:rsidRDefault="009D2229" w:rsidP="009D2229">
      <w:pPr>
        <w:pStyle w:val="Heading1nonumber"/>
        <w:rPr>
          <w:sz w:val="32"/>
          <w:szCs w:val="24"/>
        </w:rPr>
      </w:pPr>
      <w:r w:rsidRPr="00DF3DC4">
        <w:rPr>
          <w:sz w:val="32"/>
          <w:szCs w:val="24"/>
        </w:rPr>
        <w:t xml:space="preserve">Exports of Australian waste-derived products and wastes in </w:t>
      </w:r>
      <w:r w:rsidR="00FF2464" w:rsidRPr="00DF3DC4">
        <w:rPr>
          <w:sz w:val="32"/>
          <w:szCs w:val="24"/>
        </w:rPr>
        <w:t>201</w:t>
      </w:r>
      <w:r w:rsidR="0085443C" w:rsidRPr="00DF3DC4">
        <w:rPr>
          <w:sz w:val="32"/>
          <w:szCs w:val="24"/>
        </w:rPr>
        <w:t>9</w:t>
      </w:r>
      <w:r w:rsidR="00FF2464" w:rsidRPr="00DF3DC4">
        <w:rPr>
          <w:sz w:val="32"/>
          <w:szCs w:val="24"/>
        </w:rPr>
        <w:t>-</w:t>
      </w:r>
      <w:r w:rsidR="0085443C" w:rsidRPr="00DF3DC4">
        <w:rPr>
          <w:sz w:val="32"/>
          <w:szCs w:val="24"/>
        </w:rPr>
        <w:t>20</w:t>
      </w:r>
    </w:p>
    <w:p w14:paraId="082B03A3" w14:textId="35558B0F" w:rsidR="00066C1F" w:rsidRPr="00066C1F" w:rsidRDefault="001572A8" w:rsidP="00E61E00">
      <w:pPr>
        <w:pStyle w:val="BodyText"/>
        <w:ind w:right="169"/>
        <w:jc w:val="right"/>
        <w:rPr>
          <w:sz w:val="20"/>
        </w:rPr>
      </w:pPr>
      <w:r>
        <w:rPr>
          <w:sz w:val="20"/>
        </w:rPr>
        <w:t>2</w:t>
      </w:r>
      <w:r w:rsidR="00A04937">
        <w:rPr>
          <w:sz w:val="20"/>
        </w:rPr>
        <w:t>6</w:t>
      </w:r>
      <w:r w:rsidR="00DF3DC4">
        <w:rPr>
          <w:sz w:val="20"/>
        </w:rPr>
        <w:t xml:space="preserve"> </w:t>
      </w:r>
      <w:r w:rsidR="00D36D38">
        <w:rPr>
          <w:sz w:val="20"/>
        </w:rPr>
        <w:t xml:space="preserve">October </w:t>
      </w:r>
      <w:r w:rsidR="00241F9D">
        <w:rPr>
          <w:sz w:val="20"/>
        </w:rPr>
        <w:t>20</w:t>
      </w:r>
      <w:r w:rsidR="0085443C">
        <w:rPr>
          <w:sz w:val="20"/>
        </w:rPr>
        <w:t>20</w:t>
      </w:r>
      <w:r w:rsidR="009C17B0">
        <w:rPr>
          <w:sz w:val="20"/>
        </w:rPr>
        <w:t xml:space="preserve">, </w:t>
      </w:r>
      <w:r w:rsidR="00E61E00">
        <w:rPr>
          <w:sz w:val="20"/>
        </w:rPr>
        <w:t xml:space="preserve">Joe Pickin and </w:t>
      </w:r>
      <w:r w:rsidR="009D2229">
        <w:rPr>
          <w:sz w:val="20"/>
        </w:rPr>
        <w:t>S</w:t>
      </w:r>
      <w:r w:rsidR="0085443C">
        <w:rPr>
          <w:sz w:val="20"/>
        </w:rPr>
        <w:t>ally Donovan</w:t>
      </w:r>
      <w:r w:rsidR="00E61E00">
        <w:rPr>
          <w:rStyle w:val="FootnoteReference"/>
          <w:sz w:val="20"/>
        </w:rPr>
        <w:footnoteReference w:id="1"/>
      </w:r>
      <w:r w:rsidR="00066C1F" w:rsidRPr="00066C1F">
        <w:rPr>
          <w:sz w:val="20"/>
        </w:rPr>
        <w:t xml:space="preserve"> </w:t>
      </w:r>
    </w:p>
    <w:p w14:paraId="32F4A715" w14:textId="77777777" w:rsidR="009D2229" w:rsidRPr="001B6294" w:rsidRDefault="009D2229" w:rsidP="009D2229">
      <w:pPr>
        <w:autoSpaceDE w:val="0"/>
        <w:autoSpaceDN w:val="0"/>
        <w:adjustRightInd w:val="0"/>
        <w:rPr>
          <w:rFonts w:cs="Calibri"/>
          <w:color w:val="000000"/>
          <w:sz w:val="12"/>
          <w:szCs w:val="12"/>
        </w:rPr>
      </w:pPr>
    </w:p>
    <w:p w14:paraId="33A711EA" w14:textId="1BAD10A3" w:rsidR="009D2229" w:rsidRDefault="009D2229" w:rsidP="009D2229">
      <w:r w:rsidRPr="009D2229">
        <w:t>Blue Environment is commissioned by the Department of Agriculture, Water and the Environment to analyse and report on monthly exports of waste-derived products (e.g. recycled plastic chip) and materials that are still wastes. The data is provided by the Australian Bureau of Statistics</w:t>
      </w:r>
      <w:r w:rsidRPr="009D2229">
        <w:rPr>
          <w:vertAlign w:val="superscript"/>
        </w:rPr>
        <w:footnoteReference w:id="2"/>
      </w:r>
      <w:r w:rsidRPr="009D2229">
        <w:t>, and comprises monthly data covering the previous six months, including any updates to previously reported data. On a tonnage basis</w:t>
      </w:r>
      <w:r w:rsidR="00AA58FF">
        <w:t>,</w:t>
      </w:r>
      <w:r w:rsidRPr="009D2229">
        <w:t xml:space="preserve"> nearly all these exports are materials recovered from waste streams for recycling or energy recovery</w:t>
      </w:r>
      <w:r w:rsidRPr="009D2229">
        <w:rPr>
          <w:vertAlign w:val="superscript"/>
        </w:rPr>
        <w:footnoteReference w:id="3"/>
      </w:r>
      <w:r w:rsidRPr="009D2229">
        <w:t xml:space="preserve">, but a small portion is hazardous waste sent for treatment. </w:t>
      </w:r>
    </w:p>
    <w:p w14:paraId="2BCB9FDC" w14:textId="77777777" w:rsidR="009D2229" w:rsidRDefault="009D2229" w:rsidP="009D2229"/>
    <w:p w14:paraId="75374819" w14:textId="6CEE6E16" w:rsidR="009806B1" w:rsidRPr="009D2229" w:rsidRDefault="001329AB" w:rsidP="009D2229">
      <w:pPr>
        <w:pStyle w:val="Heading1"/>
      </w:pPr>
      <w:r w:rsidRPr="009D2229">
        <w:t>Summary</w:t>
      </w:r>
    </w:p>
    <w:p w14:paraId="421D9808" w14:textId="415052F9" w:rsidR="00EC208E" w:rsidRDefault="001329AB" w:rsidP="0081209B">
      <w:pPr>
        <w:pStyle w:val="BodyText"/>
      </w:pPr>
      <w:r>
        <w:t>In 2019-20</w:t>
      </w:r>
      <w:r w:rsidR="00AA58FF">
        <w:t>,</w:t>
      </w:r>
      <w:r>
        <w:t xml:space="preserve"> Australia exported </w:t>
      </w:r>
      <w:r w:rsidR="0057287B">
        <w:t>4</w:t>
      </w:r>
      <w:r w:rsidR="009D2229">
        <w:t>.</w:t>
      </w:r>
      <w:r w:rsidR="0057287B">
        <w:t>2</w:t>
      </w:r>
      <w:r w:rsidR="009D2229">
        <w:t>2 million</w:t>
      </w:r>
      <w:r w:rsidR="00D84D73">
        <w:t> </w:t>
      </w:r>
      <w:r w:rsidR="0057287B">
        <w:t>tonnes</w:t>
      </w:r>
      <w:r w:rsidR="00C874C2">
        <w:t xml:space="preserve"> (</w:t>
      </w:r>
      <w:r w:rsidR="00C874C2" w:rsidRPr="00AA58FF">
        <w:t>Mt</w:t>
      </w:r>
      <w:r w:rsidR="00C874C2">
        <w:t>)</w:t>
      </w:r>
      <w:r w:rsidR="0057287B">
        <w:t xml:space="preserve"> of waste-derived products and wastes with a</w:t>
      </w:r>
      <w:r w:rsidR="00667706">
        <w:t xml:space="preserve"> reported</w:t>
      </w:r>
      <w:r w:rsidR="0057287B">
        <w:t xml:space="preserve"> value of $2</w:t>
      </w:r>
      <w:r w:rsidR="00667706">
        <w:t>.90</w:t>
      </w:r>
      <w:r w:rsidR="00D84D73">
        <w:t> </w:t>
      </w:r>
      <w:r w:rsidR="00667706">
        <w:t>b</w:t>
      </w:r>
      <w:r w:rsidR="0057287B">
        <w:t>illion</w:t>
      </w:r>
      <w:r w:rsidR="0057287B">
        <w:rPr>
          <w:rStyle w:val="FootnoteReference"/>
        </w:rPr>
        <w:footnoteReference w:id="4"/>
      </w:r>
      <w:r w:rsidR="0057287B">
        <w:t xml:space="preserve">. This represents a </w:t>
      </w:r>
      <w:r w:rsidR="001B6294">
        <w:t>fall</w:t>
      </w:r>
      <w:r w:rsidR="0057287B">
        <w:t xml:space="preserve"> of 5% in tonnage and 7% in value compared with 2018</w:t>
      </w:r>
      <w:r w:rsidR="00B7053C">
        <w:noBreakHyphen/>
      </w:r>
      <w:r w:rsidR="0057287B">
        <w:t xml:space="preserve">19. </w:t>
      </w:r>
      <w:r w:rsidR="00AF5D0E">
        <w:t xml:space="preserve">Exports of </w:t>
      </w:r>
      <w:r w:rsidR="00667706">
        <w:t>the main categories of material declined</w:t>
      </w:r>
      <w:r w:rsidR="00AA58FF">
        <w:t>,</w:t>
      </w:r>
      <w:r w:rsidR="00667706">
        <w:t xml:space="preserve"> </w:t>
      </w:r>
      <w:r w:rsidR="00AF5D0E">
        <w:t xml:space="preserve">except for scrap glass </w:t>
      </w:r>
      <w:r w:rsidR="0057287B">
        <w:t xml:space="preserve">and materials classified as </w:t>
      </w:r>
      <w:r w:rsidR="00667706">
        <w:t>‘</w:t>
      </w:r>
      <w:r w:rsidR="0057287B">
        <w:t>other</w:t>
      </w:r>
      <w:r w:rsidR="00667706">
        <w:t>’</w:t>
      </w:r>
      <w:r w:rsidR="0057287B">
        <w:t xml:space="preserve">. </w:t>
      </w:r>
      <w:r w:rsidR="00EC208E" w:rsidRPr="001B6294">
        <w:t xml:space="preserve">The impact of the Asian restrictions </w:t>
      </w:r>
      <w:r w:rsidR="00015F2D">
        <w:t>of imports of waste-derived products is clearly apparent in the data</w:t>
      </w:r>
      <w:r w:rsidR="001B6294">
        <w:t xml:space="preserve"> for plastics and paper and cardboard</w:t>
      </w:r>
      <w:r w:rsidR="00015F2D">
        <w:t>.</w:t>
      </w:r>
      <w:r w:rsidR="001B6294">
        <w:t xml:space="preserve"> </w:t>
      </w:r>
    </w:p>
    <w:p w14:paraId="7799B518" w14:textId="79E9A00B" w:rsidR="001B6294" w:rsidRDefault="001B6294" w:rsidP="0081209B">
      <w:pPr>
        <w:pStyle w:val="BodyText"/>
      </w:pPr>
    </w:p>
    <w:p w14:paraId="66CAF13C" w14:textId="060C2539" w:rsidR="00486A41" w:rsidRDefault="004C7A6A" w:rsidP="0081209B">
      <w:pPr>
        <w:pStyle w:val="BodyText"/>
      </w:pPr>
      <w:r>
        <w:t>About 1</w:t>
      </w:r>
      <w:r w:rsidR="00667706">
        <w:t>.</w:t>
      </w:r>
      <w:r>
        <w:t>29</w:t>
      </w:r>
      <w:r w:rsidR="00667706">
        <w:t xml:space="preserve"> </w:t>
      </w:r>
      <w:r w:rsidR="00C874C2">
        <w:t xml:space="preserve">Mt </w:t>
      </w:r>
      <w:r w:rsidR="00D36D38">
        <w:t>of</w:t>
      </w:r>
      <w:r>
        <w:t xml:space="preserve"> </w:t>
      </w:r>
      <w:r w:rsidR="00486A41">
        <w:t xml:space="preserve">glass, paper, plastics and tyres </w:t>
      </w:r>
      <w:r>
        <w:t>codes</w:t>
      </w:r>
      <w:r w:rsidR="00D36D38">
        <w:t xml:space="preserve"> were exported</w:t>
      </w:r>
      <w:r w:rsidR="009C17B0">
        <w:t>, down from 1.43 Mt in 2018</w:t>
      </w:r>
      <w:r w:rsidR="009C17B0">
        <w:noBreakHyphen/>
        <w:t>19</w:t>
      </w:r>
      <w:r w:rsidR="00D36D38">
        <w:t>. Export bans will apply to these materials if not processed into a value-added material. An estimated 612 kt are potentially affected.</w:t>
      </w:r>
    </w:p>
    <w:p w14:paraId="771EABE7" w14:textId="77777777" w:rsidR="00CE61BB" w:rsidRPr="0081209B" w:rsidRDefault="00CE61BB" w:rsidP="0081209B">
      <w:pPr>
        <w:pStyle w:val="BodyText"/>
      </w:pPr>
    </w:p>
    <w:p w14:paraId="3D983724" w14:textId="446EB2B4" w:rsidR="005C1254" w:rsidRDefault="00A45909" w:rsidP="00667706">
      <w:pPr>
        <w:pStyle w:val="Heading1"/>
      </w:pPr>
      <w:r>
        <w:t>Annual t</w:t>
      </w:r>
      <w:r w:rsidR="005C1254">
        <w:t>rends in exports</w:t>
      </w:r>
      <w:r w:rsidR="00B23386">
        <w:t xml:space="preserve"> of waste-derived materials</w:t>
      </w:r>
    </w:p>
    <w:p w14:paraId="476190A3" w14:textId="01BDACD4" w:rsidR="00030869" w:rsidRDefault="0065614F" w:rsidP="00030869">
      <w:pPr>
        <w:pStyle w:val="BodyText"/>
      </w:pPr>
      <w:r>
        <w:fldChar w:fldCharType="begin"/>
      </w:r>
      <w:r>
        <w:instrText xml:space="preserve"> REF _Ref17628258 \h </w:instrText>
      </w:r>
      <w:r>
        <w:fldChar w:fldCharType="separate"/>
      </w:r>
      <w:r w:rsidR="009223D9">
        <w:t xml:space="preserve">Figure </w:t>
      </w:r>
      <w:r w:rsidR="009223D9">
        <w:rPr>
          <w:noProof/>
        </w:rPr>
        <w:t>1</w:t>
      </w:r>
      <w:r>
        <w:fldChar w:fldCharType="end"/>
      </w:r>
      <w:r>
        <w:t xml:space="preserve"> </w:t>
      </w:r>
      <w:r w:rsidR="006561A1" w:rsidRPr="0065614F">
        <w:t>displays</w:t>
      </w:r>
      <w:r w:rsidRPr="0065614F">
        <w:t xml:space="preserve"> the tonnage of</w:t>
      </w:r>
      <w:r w:rsidR="006561A1" w:rsidRPr="0065614F">
        <w:t xml:space="preserve"> exports of </w:t>
      </w:r>
      <w:r w:rsidR="00030869">
        <w:t xml:space="preserve">waste-derived materials and </w:t>
      </w:r>
      <w:r w:rsidR="006561A1" w:rsidRPr="0065614F">
        <w:t xml:space="preserve">waste to all destinations </w:t>
      </w:r>
      <w:r w:rsidR="00831C4E" w:rsidRPr="0065614F">
        <w:t xml:space="preserve">over </w:t>
      </w:r>
      <w:r w:rsidR="00030869">
        <w:t>the</w:t>
      </w:r>
      <w:r w:rsidR="00831C4E" w:rsidRPr="0065614F">
        <w:t xml:space="preserve"> 1</w:t>
      </w:r>
      <w:r w:rsidR="00B7053C">
        <w:t>4</w:t>
      </w:r>
      <w:r w:rsidR="00831C4E" w:rsidRPr="0065614F">
        <w:t>-year period from 2006</w:t>
      </w:r>
      <w:r w:rsidR="00030869">
        <w:noBreakHyphen/>
      </w:r>
      <w:r w:rsidR="00831C4E" w:rsidRPr="0065614F">
        <w:t xml:space="preserve">07 to </w:t>
      </w:r>
      <w:r w:rsidR="006C24FE" w:rsidRPr="0065614F">
        <w:t>201</w:t>
      </w:r>
      <w:r w:rsidR="0085443C">
        <w:t>9</w:t>
      </w:r>
      <w:r w:rsidR="006C24FE" w:rsidRPr="0065614F">
        <w:t>-</w:t>
      </w:r>
      <w:r w:rsidR="0085443C">
        <w:t>20</w:t>
      </w:r>
      <w:r w:rsidR="006561A1" w:rsidRPr="0065614F">
        <w:t xml:space="preserve">. </w:t>
      </w:r>
      <w:r w:rsidR="00030869">
        <w:t>Scrap m</w:t>
      </w:r>
      <w:r w:rsidR="00766E01">
        <w:t>etal</w:t>
      </w:r>
      <w:r w:rsidR="003759CE">
        <w:t>s were</w:t>
      </w:r>
      <w:r w:rsidR="00766E01">
        <w:t xml:space="preserve"> </w:t>
      </w:r>
      <w:r w:rsidR="00D16D80">
        <w:t>the largest component</w:t>
      </w:r>
      <w:r w:rsidR="00030869">
        <w:t>,</w:t>
      </w:r>
      <w:r w:rsidR="00D16D80">
        <w:t xml:space="preserve"> accounting for </w:t>
      </w:r>
      <w:r w:rsidR="00030869">
        <w:t>between 50% and 60% throughout the period. In 201</w:t>
      </w:r>
      <w:r w:rsidR="003759CE">
        <w:t>9</w:t>
      </w:r>
      <w:r w:rsidR="00030869">
        <w:t>-</w:t>
      </w:r>
      <w:r w:rsidR="00E71C67">
        <w:t>20</w:t>
      </w:r>
      <w:r w:rsidR="009C17B0">
        <w:t>,</w:t>
      </w:r>
      <w:r w:rsidR="00030869">
        <w:t xml:space="preserve"> metals were </w:t>
      </w:r>
      <w:r w:rsidR="003759CE">
        <w:t xml:space="preserve">at </w:t>
      </w:r>
      <w:r w:rsidR="00030869">
        <w:t xml:space="preserve">2.54 </w:t>
      </w:r>
      <w:r w:rsidR="00C874C2">
        <w:t>Mt</w:t>
      </w:r>
      <w:r w:rsidR="003759CE">
        <w:t>,</w:t>
      </w:r>
      <w:r w:rsidR="00030869">
        <w:t xml:space="preserve"> 60% of the total and 93</w:t>
      </w:r>
      <w:r w:rsidR="00464FC7">
        <w:t> </w:t>
      </w:r>
      <w:r w:rsidR="00FC70F3">
        <w:t xml:space="preserve">thousand </w:t>
      </w:r>
      <w:r w:rsidR="00030869">
        <w:t>tonnes</w:t>
      </w:r>
      <w:r w:rsidR="00FC70F3">
        <w:t xml:space="preserve"> (</w:t>
      </w:r>
      <w:r w:rsidR="00FC70F3" w:rsidRPr="009C17B0">
        <w:t>kt)</w:t>
      </w:r>
      <w:r w:rsidR="00030869">
        <w:t xml:space="preserve"> less than 2018-19. The second largest category was </w:t>
      </w:r>
      <w:r w:rsidR="003759CE">
        <w:t xml:space="preserve">scrap </w:t>
      </w:r>
      <w:r w:rsidR="00030869">
        <w:t>paper and cardboard,</w:t>
      </w:r>
      <w:r w:rsidR="00843E85">
        <w:t xml:space="preserve"> of which 1.07 </w:t>
      </w:r>
      <w:r w:rsidR="00C874C2">
        <w:t>Mt</w:t>
      </w:r>
      <w:r w:rsidR="00843E85">
        <w:t xml:space="preserve"> were exported</w:t>
      </w:r>
      <w:r w:rsidR="003759CE">
        <w:t xml:space="preserve"> (</w:t>
      </w:r>
      <w:r w:rsidR="00843E85">
        <w:t>25% of the total</w:t>
      </w:r>
      <w:r w:rsidR="003759CE">
        <w:t>)</w:t>
      </w:r>
      <w:r w:rsidR="00464FC7">
        <w:t xml:space="preserve"> in 2019</w:t>
      </w:r>
      <w:r w:rsidR="00464FC7">
        <w:noBreakHyphen/>
        <w:t xml:space="preserve">20 – these </w:t>
      </w:r>
      <w:r w:rsidR="00843E85">
        <w:t>exports have fallen steadily from their 2015-16 peak</w:t>
      </w:r>
      <w:r w:rsidR="003759CE">
        <w:t>, including</w:t>
      </w:r>
      <w:r w:rsidR="00E71C67">
        <w:t xml:space="preserve"> a</w:t>
      </w:r>
      <w:r w:rsidR="003759CE">
        <w:t xml:space="preserve"> </w:t>
      </w:r>
      <w:r w:rsidR="00843E85">
        <w:t xml:space="preserve">4% </w:t>
      </w:r>
      <w:r w:rsidR="00E71C67">
        <w:t xml:space="preserve">drop </w:t>
      </w:r>
      <w:r w:rsidR="00843E85">
        <w:t>during 2019</w:t>
      </w:r>
      <w:r w:rsidR="00843E85">
        <w:noBreakHyphen/>
        <w:t xml:space="preserve">20. Import restrictions in Asia are </w:t>
      </w:r>
      <w:r w:rsidR="00C874C2">
        <w:t xml:space="preserve">the </w:t>
      </w:r>
      <w:r w:rsidR="00843E85">
        <w:t xml:space="preserve">likely main cause. </w:t>
      </w:r>
    </w:p>
    <w:p w14:paraId="4211BD84" w14:textId="3DA050C9" w:rsidR="00843E85" w:rsidRDefault="00843E85" w:rsidP="00030869">
      <w:pPr>
        <w:pStyle w:val="BodyText"/>
      </w:pPr>
    </w:p>
    <w:p w14:paraId="257FDE9C" w14:textId="1C362E6A" w:rsidR="00EC208E" w:rsidRDefault="00843E85" w:rsidP="0065614F">
      <w:pPr>
        <w:pStyle w:val="BodyText"/>
      </w:pPr>
      <w:r>
        <w:t>The remaining components are all small compared with</w:t>
      </w:r>
      <w:r w:rsidR="003759CE">
        <w:t xml:space="preserve"> metals and</w:t>
      </w:r>
      <w:r>
        <w:t xml:space="preserve"> paper and cardboard</w:t>
      </w:r>
      <w:r w:rsidR="006B6591">
        <w:t>, and combined made up 15% of total waste exports</w:t>
      </w:r>
      <w:r>
        <w:t>. The category ‘other’</w:t>
      </w:r>
      <w:r w:rsidR="00EC208E">
        <w:t>, which is largely organic wastes,</w:t>
      </w:r>
      <w:r>
        <w:t xml:space="preserve"> </w:t>
      </w:r>
      <w:r w:rsidR="00EC208E">
        <w:t xml:space="preserve">grew </w:t>
      </w:r>
      <w:r w:rsidR="003759CE">
        <w:t>throughout</w:t>
      </w:r>
      <w:r>
        <w:t xml:space="preserve"> the data period </w:t>
      </w:r>
      <w:r w:rsidR="003759CE">
        <w:t xml:space="preserve">and reached </w:t>
      </w:r>
      <w:r>
        <w:t>324</w:t>
      </w:r>
      <w:r w:rsidR="00FC70F3">
        <w:t xml:space="preserve"> kt</w:t>
      </w:r>
      <w:r>
        <w:t xml:space="preserve"> </w:t>
      </w:r>
      <w:r w:rsidR="003759CE">
        <w:t>(</w:t>
      </w:r>
      <w:r>
        <w:t>8% of the total</w:t>
      </w:r>
      <w:r w:rsidR="003759CE">
        <w:t>)</w:t>
      </w:r>
      <w:r w:rsidR="00464FC7">
        <w:t xml:space="preserve"> in 2019</w:t>
      </w:r>
      <w:r w:rsidR="00464FC7">
        <w:noBreakHyphen/>
        <w:t>20</w:t>
      </w:r>
      <w:r>
        <w:t xml:space="preserve">. </w:t>
      </w:r>
      <w:r w:rsidR="00F901F5">
        <w:t>S</w:t>
      </w:r>
      <w:r>
        <w:t xml:space="preserve">crap plastics </w:t>
      </w:r>
      <w:r w:rsidR="00464FC7">
        <w:t>fell</w:t>
      </w:r>
      <w:r w:rsidR="00EC208E">
        <w:t xml:space="preserve"> 40% </w:t>
      </w:r>
      <w:r w:rsidR="00464FC7">
        <w:t xml:space="preserve">from 2018-19 to </w:t>
      </w:r>
      <w:r w:rsidR="00F901F5">
        <w:t xml:space="preserve">a 2019-20 total of </w:t>
      </w:r>
      <w:r w:rsidR="00EC208E">
        <w:t>113</w:t>
      </w:r>
      <w:r w:rsidR="00FC70F3">
        <w:t xml:space="preserve"> kt</w:t>
      </w:r>
      <w:r w:rsidR="003759CE">
        <w:t>, t</w:t>
      </w:r>
      <w:r w:rsidR="009122C2">
        <w:t>he lowest</w:t>
      </w:r>
      <w:r w:rsidR="003759CE">
        <w:t xml:space="preserve"> amount</w:t>
      </w:r>
      <w:r w:rsidR="009122C2">
        <w:t xml:space="preserve"> since 2006-07. </w:t>
      </w:r>
      <w:r w:rsidR="00EC208E">
        <w:t xml:space="preserve">Again, the Asian import restrictions are </w:t>
      </w:r>
      <w:r w:rsidR="001B6294">
        <w:t>considered</w:t>
      </w:r>
      <w:r w:rsidR="00EC208E">
        <w:t xml:space="preserve"> the main cause</w:t>
      </w:r>
      <w:r>
        <w:t>.</w:t>
      </w:r>
      <w:r w:rsidR="00EC208E">
        <w:t xml:space="preserve"> Exports of end-of-life tyres were 85</w:t>
      </w:r>
      <w:r w:rsidR="00FC70F3">
        <w:t xml:space="preserve"> kt</w:t>
      </w:r>
      <w:r w:rsidR="00EC208E">
        <w:t xml:space="preserve">, a 26% drop from the previous year. </w:t>
      </w:r>
      <w:r w:rsidR="00F901F5">
        <w:t xml:space="preserve">Most of this fall occurred late in the year and may be related to </w:t>
      </w:r>
      <w:r w:rsidR="00464FC7">
        <w:t>coronavirus (COVID-19)</w:t>
      </w:r>
      <w:r w:rsidR="00F901F5">
        <w:t xml:space="preserve"> issues in India. Exports of hazardous materials fell to 60</w:t>
      </w:r>
      <w:r w:rsidR="00FC70F3">
        <w:t xml:space="preserve"> kt</w:t>
      </w:r>
      <w:r w:rsidR="00F901F5">
        <w:t xml:space="preserve"> from 67</w:t>
      </w:r>
      <w:r w:rsidR="00FC70F3">
        <w:t xml:space="preserve"> kt in</w:t>
      </w:r>
      <w:r w:rsidR="00F901F5">
        <w:t xml:space="preserve"> the previous year. Scrap glass exports increased 61%</w:t>
      </w:r>
      <w:r w:rsidR="001116FD">
        <w:t xml:space="preserve"> over the previous year</w:t>
      </w:r>
      <w:r w:rsidR="00F901F5">
        <w:t xml:space="preserve"> to</w:t>
      </w:r>
      <w:r w:rsidR="001116FD">
        <w:t xml:space="preserve"> reach</w:t>
      </w:r>
      <w:r w:rsidR="00F901F5">
        <w:t xml:space="preserve"> 26</w:t>
      </w:r>
      <w:r w:rsidR="00FC70F3">
        <w:t xml:space="preserve"> kt</w:t>
      </w:r>
      <w:r w:rsidR="001116FD">
        <w:t xml:space="preserve">, a </w:t>
      </w:r>
      <w:r w:rsidR="005867BE">
        <w:t xml:space="preserve">similar </w:t>
      </w:r>
      <w:r w:rsidR="001116FD">
        <w:t xml:space="preserve">level </w:t>
      </w:r>
      <w:r w:rsidR="005867BE">
        <w:t>to 2017-18</w:t>
      </w:r>
      <w:r w:rsidR="00F901F5">
        <w:t>.</w:t>
      </w:r>
    </w:p>
    <w:p w14:paraId="4FAFD01A" w14:textId="77777777" w:rsidR="00EC208E" w:rsidRDefault="00EC208E" w:rsidP="0065614F">
      <w:pPr>
        <w:pStyle w:val="BodyText"/>
      </w:pPr>
    </w:p>
    <w:p w14:paraId="48EE7304" w14:textId="2E95B688" w:rsidR="00030869" w:rsidRDefault="00480D94" w:rsidP="00F901F5">
      <w:pPr>
        <w:pStyle w:val="BodyText"/>
      </w:pPr>
      <w:r>
        <w:t>In March 2020, the former Council of Australian Governments (</w:t>
      </w:r>
      <w:r w:rsidRPr="00AA58FF">
        <w:t>COAG</w:t>
      </w:r>
      <w:r>
        <w:t xml:space="preserve">) agreed to a timetable for implementing bans on exporting waste glass, paper, plastics and tyres not processed into a value-added material. </w:t>
      </w:r>
      <w:r w:rsidR="0065614F">
        <w:fldChar w:fldCharType="begin"/>
      </w:r>
      <w:r w:rsidR="0065614F">
        <w:instrText xml:space="preserve"> REF _Ref524614971 \h </w:instrText>
      </w:r>
      <w:r w:rsidR="0065614F">
        <w:fldChar w:fldCharType="separate"/>
      </w:r>
      <w:r w:rsidR="009223D9">
        <w:t xml:space="preserve">Figure </w:t>
      </w:r>
      <w:r w:rsidR="009223D9">
        <w:rPr>
          <w:noProof/>
        </w:rPr>
        <w:t>2</w:t>
      </w:r>
      <w:r w:rsidR="0065614F">
        <w:fldChar w:fldCharType="end"/>
      </w:r>
      <w:r w:rsidR="0065614F">
        <w:t xml:space="preserve"> </w:t>
      </w:r>
      <w:r w:rsidR="0065614F" w:rsidRPr="0065614F">
        <w:t xml:space="preserve">shows </w:t>
      </w:r>
      <w:r w:rsidR="00D36D38">
        <w:t xml:space="preserve">exports of these </w:t>
      </w:r>
      <w:r w:rsidR="00464FC7">
        <w:t xml:space="preserve">combined </w:t>
      </w:r>
      <w:r w:rsidR="00D36D38">
        <w:t xml:space="preserve">materials </w:t>
      </w:r>
      <w:r w:rsidR="009122C2">
        <w:t xml:space="preserve">have declined consistently </w:t>
      </w:r>
      <w:r w:rsidR="00F901F5">
        <w:t>since 2015-16.</w:t>
      </w:r>
      <w:r w:rsidR="00766E01">
        <w:t xml:space="preserve"> </w:t>
      </w:r>
    </w:p>
    <w:p w14:paraId="1F369E3F" w14:textId="27EA985D" w:rsidR="006561A1" w:rsidRDefault="006561A1" w:rsidP="00C874C2">
      <w:pPr>
        <w:pStyle w:val="Caption"/>
        <w:spacing w:after="120"/>
        <w:ind w:left="851" w:hanging="851"/>
      </w:pPr>
      <w:bookmarkStart w:id="1" w:name="_Ref524614848"/>
      <w:bookmarkStart w:id="2" w:name="_Ref17628258"/>
      <w:r>
        <w:lastRenderedPageBreak/>
        <w:t xml:space="preserve">Figure </w:t>
      </w:r>
      <w:r>
        <w:rPr>
          <w:noProof/>
        </w:rPr>
        <w:fldChar w:fldCharType="begin"/>
      </w:r>
      <w:r>
        <w:rPr>
          <w:noProof/>
        </w:rPr>
        <w:instrText xml:space="preserve"> SEQ Figure \* ARABIC </w:instrText>
      </w:r>
      <w:r>
        <w:rPr>
          <w:noProof/>
        </w:rPr>
        <w:fldChar w:fldCharType="separate"/>
      </w:r>
      <w:r w:rsidR="009223D9">
        <w:rPr>
          <w:noProof/>
        </w:rPr>
        <w:t>1</w:t>
      </w:r>
      <w:r>
        <w:rPr>
          <w:noProof/>
        </w:rPr>
        <w:fldChar w:fldCharType="end"/>
      </w:r>
      <w:bookmarkEnd w:id="1"/>
      <w:bookmarkEnd w:id="2"/>
      <w:r>
        <w:tab/>
      </w:r>
      <w:r w:rsidR="00C96013">
        <w:t>E</w:t>
      </w:r>
      <w:r>
        <w:t>xports of waste from Australia by financial year and type</w:t>
      </w:r>
      <w:r w:rsidR="00DC406E">
        <w:t>, 2006-07 to 201</w:t>
      </w:r>
      <w:r w:rsidR="008F041B">
        <w:t>9</w:t>
      </w:r>
      <w:r w:rsidR="00DC406E">
        <w:t>-</w:t>
      </w:r>
      <w:r w:rsidR="008F041B">
        <w:t>20</w:t>
      </w:r>
      <w:r w:rsidR="00C96013">
        <w:t xml:space="preserve"> (</w:t>
      </w:r>
      <w:r w:rsidR="00C874C2">
        <w:t>Mt</w:t>
      </w:r>
      <w:r w:rsidR="00C96013">
        <w:t>)</w:t>
      </w:r>
    </w:p>
    <w:p w14:paraId="0D618B31" w14:textId="569545F1" w:rsidR="006561A1" w:rsidRDefault="009122C2" w:rsidP="006561A1">
      <w:pPr>
        <w:pStyle w:val="BodyText"/>
      </w:pPr>
      <w:r w:rsidRPr="009122C2">
        <w:rPr>
          <w:noProof/>
        </w:rPr>
        <w:drawing>
          <wp:inline distT="0" distB="0" distL="0" distR="0" wp14:anchorId="37A9186D" wp14:editId="0D9A7095">
            <wp:extent cx="5124878" cy="224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88706" cy="2275897"/>
                    </a:xfrm>
                    <a:prstGeom prst="rect">
                      <a:avLst/>
                    </a:prstGeom>
                  </pic:spPr>
                </pic:pic>
              </a:graphicData>
            </a:graphic>
          </wp:inline>
        </w:drawing>
      </w:r>
    </w:p>
    <w:p w14:paraId="65DBBE02" w14:textId="77816637" w:rsidR="00DC406E" w:rsidRDefault="00DC406E" w:rsidP="00DC406E">
      <w:pPr>
        <w:pStyle w:val="Caption"/>
        <w:spacing w:after="120"/>
      </w:pPr>
      <w:bookmarkStart w:id="3" w:name="_Ref524614971"/>
      <w:bookmarkStart w:id="4" w:name="_Ref17627870"/>
      <w:bookmarkStart w:id="5" w:name="_Ref17383208"/>
      <w:r>
        <w:t xml:space="preserve">Figure </w:t>
      </w:r>
      <w:r>
        <w:rPr>
          <w:noProof/>
        </w:rPr>
        <w:fldChar w:fldCharType="begin"/>
      </w:r>
      <w:r>
        <w:rPr>
          <w:noProof/>
        </w:rPr>
        <w:instrText xml:space="preserve"> SEQ Figure \* ARABIC </w:instrText>
      </w:r>
      <w:r>
        <w:rPr>
          <w:noProof/>
        </w:rPr>
        <w:fldChar w:fldCharType="separate"/>
      </w:r>
      <w:r w:rsidR="009223D9">
        <w:rPr>
          <w:noProof/>
        </w:rPr>
        <w:t>2</w:t>
      </w:r>
      <w:r>
        <w:rPr>
          <w:noProof/>
        </w:rPr>
        <w:fldChar w:fldCharType="end"/>
      </w:r>
      <w:bookmarkEnd w:id="3"/>
      <w:r>
        <w:tab/>
        <w:t xml:space="preserve">Exports of </w:t>
      </w:r>
      <w:bookmarkEnd w:id="4"/>
      <w:r w:rsidR="00D36D38">
        <w:t>waste glass, paper, plastics and tyres</w:t>
      </w:r>
      <w:r w:rsidR="008F041B">
        <w:t>, 200</w:t>
      </w:r>
      <w:r w:rsidR="00C874C2">
        <w:t>6</w:t>
      </w:r>
      <w:r w:rsidR="008F041B">
        <w:t>-07 to 2019-20</w:t>
      </w:r>
      <w:r w:rsidR="009A7161">
        <w:t xml:space="preserve"> </w:t>
      </w:r>
      <w:r w:rsidR="008F041B">
        <w:t>(</w:t>
      </w:r>
      <w:r w:rsidR="00C874C2">
        <w:t>Mt</w:t>
      </w:r>
      <w:r w:rsidR="008F041B">
        <w:t>)</w:t>
      </w:r>
    </w:p>
    <w:p w14:paraId="3A15345C" w14:textId="0E2A9FCC" w:rsidR="00DC406E" w:rsidRDefault="00015F2D" w:rsidP="00280540">
      <w:pPr>
        <w:pStyle w:val="BodyText"/>
      </w:pPr>
      <w:r>
        <w:rPr>
          <w:noProof/>
        </w:rPr>
        <w:drawing>
          <wp:inline distT="0" distB="0" distL="0" distR="0" wp14:anchorId="2F03F3ED" wp14:editId="786AC4A8">
            <wp:extent cx="5241619" cy="2095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7948" cy="2114021"/>
                    </a:xfrm>
                    <a:prstGeom prst="rect">
                      <a:avLst/>
                    </a:prstGeom>
                    <a:noFill/>
                  </pic:spPr>
                </pic:pic>
              </a:graphicData>
            </a:graphic>
          </wp:inline>
        </w:drawing>
      </w:r>
    </w:p>
    <w:p w14:paraId="6F239EB7" w14:textId="5D8F6FC2" w:rsidR="00015F2D" w:rsidRDefault="00F901F5" w:rsidP="003759CE">
      <w:pPr>
        <w:pStyle w:val="BodyText"/>
        <w:spacing w:before="120"/>
      </w:pPr>
      <w:r>
        <w:fldChar w:fldCharType="begin"/>
      </w:r>
      <w:r>
        <w:instrText xml:space="preserve"> REF _Ref17628278 \h </w:instrText>
      </w:r>
      <w:r>
        <w:fldChar w:fldCharType="separate"/>
      </w:r>
      <w:r w:rsidR="009223D9">
        <w:t xml:space="preserve">Figure </w:t>
      </w:r>
      <w:r w:rsidR="009223D9">
        <w:rPr>
          <w:noProof/>
        </w:rPr>
        <w:t>3</w:t>
      </w:r>
      <w:r>
        <w:fldChar w:fldCharType="end"/>
      </w:r>
      <w:r>
        <w:t xml:space="preserve"> shows the </w:t>
      </w:r>
      <w:r w:rsidR="009122C2">
        <w:t xml:space="preserve">reported </w:t>
      </w:r>
      <w:r w:rsidR="001116FD">
        <w:t xml:space="preserve">dollar </w:t>
      </w:r>
      <w:r>
        <w:t xml:space="preserve">value of exports over </w:t>
      </w:r>
      <w:r w:rsidR="001116FD">
        <w:t>2006</w:t>
      </w:r>
      <w:r w:rsidR="001116FD">
        <w:noBreakHyphen/>
        <w:t>07 to 2019</w:t>
      </w:r>
      <w:r w:rsidR="001116FD">
        <w:noBreakHyphen/>
        <w:t>20</w:t>
      </w:r>
      <w:r>
        <w:t>.</w:t>
      </w:r>
      <w:r w:rsidR="00015F2D">
        <w:t xml:space="preserve"> </w:t>
      </w:r>
      <w:r w:rsidR="001116FD">
        <w:t>Total v</w:t>
      </w:r>
      <w:r w:rsidR="00015F2D">
        <w:t xml:space="preserve">alue declined by 5% in </w:t>
      </w:r>
      <w:r>
        <w:t>2019-20</w:t>
      </w:r>
      <w:r w:rsidR="001116FD">
        <w:t xml:space="preserve"> compared to 2018</w:t>
      </w:r>
      <w:r w:rsidR="001116FD">
        <w:noBreakHyphen/>
        <w:t>19</w:t>
      </w:r>
      <w:r>
        <w:t>. Scrap metals represented 67% of the value.</w:t>
      </w:r>
      <w:r w:rsidR="00015F2D">
        <w:t xml:space="preserve"> </w:t>
      </w:r>
      <w:r>
        <w:t xml:space="preserve">Hazardous waste </w:t>
      </w:r>
      <w:r w:rsidR="00015F2D">
        <w:t xml:space="preserve">was </w:t>
      </w:r>
      <w:r>
        <w:t>1</w:t>
      </w:r>
      <w:r w:rsidR="001B6294">
        <w:t>7</w:t>
      </w:r>
      <w:r>
        <w:t xml:space="preserve">% of value despite being only 1.4% of tonnage. </w:t>
      </w:r>
      <w:r w:rsidR="00015F2D">
        <w:t>The reported unit value of hazardous waste was $791</w:t>
      </w:r>
      <w:r w:rsidR="001116FD">
        <w:t xml:space="preserve"> </w:t>
      </w:r>
      <w:r w:rsidR="00015F2D">
        <w:t>per</w:t>
      </w:r>
      <w:r w:rsidR="001116FD">
        <w:t xml:space="preserve"> </w:t>
      </w:r>
      <w:r w:rsidR="00015F2D">
        <w:t>tonne in 2006-07</w:t>
      </w:r>
      <w:r w:rsidR="00DD533E">
        <w:t>,</w:t>
      </w:r>
      <w:r w:rsidR="001E3C4C">
        <w:t xml:space="preserve"> </w:t>
      </w:r>
      <w:r w:rsidR="00015F2D">
        <w:t>but rose to $</w:t>
      </w:r>
      <w:r w:rsidR="001E3C4C">
        <w:t>8</w:t>
      </w:r>
      <w:r w:rsidR="00015F2D">
        <w:t>,000 in 2012-13</w:t>
      </w:r>
      <w:r w:rsidR="001E3C4C">
        <w:t xml:space="preserve">, </w:t>
      </w:r>
      <w:r w:rsidR="00015F2D">
        <w:t>the highest value since 2012-13</w:t>
      </w:r>
      <w:r w:rsidR="00E16399">
        <w:rPr>
          <w:rStyle w:val="FootnoteReference"/>
        </w:rPr>
        <w:footnoteReference w:id="5"/>
      </w:r>
      <w:r w:rsidR="00015F2D">
        <w:t>. Paper and cardboard represented only 6% of the value despite accounting for 25% of total tonnage.</w:t>
      </w:r>
    </w:p>
    <w:p w14:paraId="0E7420B2" w14:textId="5BC59E54" w:rsidR="006561A1" w:rsidRDefault="00BF20D4" w:rsidP="003767F8">
      <w:pPr>
        <w:pStyle w:val="Caption"/>
        <w:spacing w:after="120"/>
      </w:pPr>
      <w:bookmarkStart w:id="6" w:name="_Ref17628278"/>
      <w:r>
        <w:t xml:space="preserve">Figure </w:t>
      </w:r>
      <w:r>
        <w:rPr>
          <w:noProof/>
        </w:rPr>
        <w:fldChar w:fldCharType="begin"/>
      </w:r>
      <w:r>
        <w:rPr>
          <w:noProof/>
        </w:rPr>
        <w:instrText xml:space="preserve"> SEQ Figure \* ARABIC </w:instrText>
      </w:r>
      <w:r>
        <w:rPr>
          <w:noProof/>
        </w:rPr>
        <w:fldChar w:fldCharType="separate"/>
      </w:r>
      <w:r w:rsidR="009223D9">
        <w:rPr>
          <w:noProof/>
        </w:rPr>
        <w:t>3</w:t>
      </w:r>
      <w:r>
        <w:rPr>
          <w:noProof/>
        </w:rPr>
        <w:fldChar w:fldCharType="end"/>
      </w:r>
      <w:bookmarkEnd w:id="5"/>
      <w:bookmarkEnd w:id="6"/>
      <w:r>
        <w:tab/>
      </w:r>
      <w:r w:rsidR="003767F8">
        <w:t>Value of e</w:t>
      </w:r>
      <w:r>
        <w:t>xports of waste from Australia by financial year and type</w:t>
      </w:r>
      <w:r w:rsidR="00DC406E">
        <w:t xml:space="preserve"> </w:t>
      </w:r>
      <w:r w:rsidR="00C96013">
        <w:t>(billions of dollars)</w:t>
      </w:r>
    </w:p>
    <w:p w14:paraId="60601844" w14:textId="48FE2BBC" w:rsidR="00BF20D4" w:rsidRDefault="00015F2D" w:rsidP="00036682">
      <w:pPr>
        <w:pStyle w:val="BodyText"/>
      </w:pPr>
      <w:r w:rsidRPr="00015F2D">
        <w:rPr>
          <w:noProof/>
        </w:rPr>
        <w:drawing>
          <wp:inline distT="0" distB="0" distL="0" distR="0" wp14:anchorId="59E09912" wp14:editId="3C5B0916">
            <wp:extent cx="5175715" cy="2238375"/>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97390" cy="2334244"/>
                    </a:xfrm>
                    <a:prstGeom prst="rect">
                      <a:avLst/>
                    </a:prstGeom>
                  </pic:spPr>
                </pic:pic>
              </a:graphicData>
            </a:graphic>
          </wp:inline>
        </w:drawing>
      </w:r>
    </w:p>
    <w:p w14:paraId="46AB511E" w14:textId="56819AA8" w:rsidR="00E937A1" w:rsidRDefault="00C874C2" w:rsidP="00E853E2">
      <w:pPr>
        <w:pStyle w:val="BodyText"/>
      </w:pPr>
      <w:r>
        <w:lastRenderedPageBreak/>
        <w:t xml:space="preserve">Figures 4 and 5 illustrate how </w:t>
      </w:r>
      <w:r w:rsidR="008B2ABF">
        <w:t>the</w:t>
      </w:r>
      <w:r>
        <w:t xml:space="preserve"> import restrictions</w:t>
      </w:r>
      <w:r w:rsidR="008B2ABF">
        <w:t xml:space="preserve"> imposed by China and other Asian countries</w:t>
      </w:r>
      <w:r w:rsidR="00BB23AE">
        <w:t xml:space="preserve"> (see </w:t>
      </w:r>
      <w:r w:rsidR="00BB23AE">
        <w:fldChar w:fldCharType="begin"/>
      </w:r>
      <w:r w:rsidR="00BB23AE">
        <w:instrText xml:space="preserve"> REF _Ref50047642 \h </w:instrText>
      </w:r>
      <w:r w:rsidR="00BB23AE">
        <w:fldChar w:fldCharType="separate"/>
      </w:r>
      <w:r w:rsidR="009223D9">
        <w:t xml:space="preserve">Table </w:t>
      </w:r>
      <w:r w:rsidR="009223D9">
        <w:rPr>
          <w:noProof/>
        </w:rPr>
        <w:t>3</w:t>
      </w:r>
      <w:r w:rsidR="00BB23AE">
        <w:fldChar w:fldCharType="end"/>
      </w:r>
      <w:r w:rsidR="00BB23AE">
        <w:t>)</w:t>
      </w:r>
      <w:r>
        <w:t xml:space="preserve"> have affected the key exports of paper and cardboard and plastics. </w:t>
      </w:r>
      <w:r w:rsidR="00E853E2">
        <w:fldChar w:fldCharType="begin"/>
      </w:r>
      <w:r w:rsidR="00E853E2">
        <w:instrText xml:space="preserve"> REF _Ref524614867 \h </w:instrText>
      </w:r>
      <w:r w:rsidR="00E853E2">
        <w:fldChar w:fldCharType="separate"/>
      </w:r>
      <w:r w:rsidR="009223D9">
        <w:t xml:space="preserve">Figure </w:t>
      </w:r>
      <w:r w:rsidR="009223D9">
        <w:rPr>
          <w:noProof/>
        </w:rPr>
        <w:t>4</w:t>
      </w:r>
      <w:r w:rsidR="00E853E2">
        <w:fldChar w:fldCharType="end"/>
      </w:r>
      <w:r w:rsidR="00313ED4">
        <w:t xml:space="preserve"> </w:t>
      </w:r>
      <w:r>
        <w:t>shows</w:t>
      </w:r>
      <w:r w:rsidR="00313ED4">
        <w:t xml:space="preserve"> exports of paper and cardboard</w:t>
      </w:r>
      <w:r>
        <w:t xml:space="preserve"> by grade</w:t>
      </w:r>
      <w:r w:rsidR="00313ED4">
        <w:t xml:space="preserve"> </w:t>
      </w:r>
      <w:r w:rsidR="00D30D74">
        <w:t>since 2014-15</w:t>
      </w:r>
      <w:r>
        <w:t xml:space="preserve">, distinguishing </w:t>
      </w:r>
      <w:r w:rsidR="00313ED4">
        <w:t>exports to China (o</w:t>
      </w:r>
      <w:r w:rsidR="009F5258">
        <w:t>n</w:t>
      </w:r>
      <w:r w:rsidR="00313ED4">
        <w:t xml:space="preserve"> the left) from those to other destinations (o</w:t>
      </w:r>
      <w:r w:rsidR="009F5258">
        <w:t>n</w:t>
      </w:r>
      <w:r w:rsidR="00313ED4">
        <w:t xml:space="preserve"> the right). </w:t>
      </w:r>
      <w:r>
        <w:t>E</w:t>
      </w:r>
      <w:r w:rsidR="005E79BE">
        <w:t>xports of low</w:t>
      </w:r>
      <w:r w:rsidR="008247D1">
        <w:t>-</w:t>
      </w:r>
      <w:r w:rsidR="005E79BE">
        <w:t xml:space="preserve">grade unsorted materials </w:t>
      </w:r>
      <w:r w:rsidR="008247D1">
        <w:t>–</w:t>
      </w:r>
      <w:r>
        <w:t xml:space="preserve"> </w:t>
      </w:r>
      <w:r w:rsidR="005E79BE">
        <w:t>mainly from domestic recycling</w:t>
      </w:r>
      <w:r w:rsidR="008247D1">
        <w:t xml:space="preserve"> – to China</w:t>
      </w:r>
      <w:r>
        <w:t xml:space="preserve"> fell from 2015-16 and plummeted in 201</w:t>
      </w:r>
      <w:r w:rsidR="008B2ABF">
        <w:t>7</w:t>
      </w:r>
      <w:r>
        <w:t>-1</w:t>
      </w:r>
      <w:r w:rsidR="008B2ABF">
        <w:t>8</w:t>
      </w:r>
      <w:r w:rsidR="00BB23AE">
        <w:t xml:space="preserve"> due to that country’s import restrictions</w:t>
      </w:r>
      <w:r>
        <w:t>. Much of this</w:t>
      </w:r>
      <w:r w:rsidR="00BB23AE">
        <w:t xml:space="preserve"> material</w:t>
      </w:r>
      <w:r>
        <w:t xml:space="preserve"> was diverted to </w:t>
      </w:r>
      <w:r w:rsidR="005E79BE">
        <w:t>other destination</w:t>
      </w:r>
      <w:r w:rsidR="008247D1">
        <w:t xml:space="preserve">s (mainly India, Thailand and Indonesia). </w:t>
      </w:r>
      <w:r w:rsidR="00F55DDB">
        <w:t>Exports of both m</w:t>
      </w:r>
      <w:r w:rsidR="008247D1">
        <w:t xml:space="preserve">echanically pulped papers </w:t>
      </w:r>
      <w:r w:rsidR="00F55DDB">
        <w:t>(</w:t>
      </w:r>
      <w:r w:rsidR="008247D1">
        <w:t>newsprint</w:t>
      </w:r>
      <w:r w:rsidR="00F55DDB">
        <w:t xml:space="preserve">) and bleached chemical </w:t>
      </w:r>
      <w:r w:rsidR="008247D1">
        <w:t>(office paper)</w:t>
      </w:r>
      <w:r w:rsidR="00F55DDB">
        <w:t xml:space="preserve"> declined to all destinations. </w:t>
      </w:r>
      <w:r w:rsidR="00E16399">
        <w:t>Exports of u</w:t>
      </w:r>
      <w:r w:rsidR="008247D1">
        <w:t xml:space="preserve">nbleached kraft (old corrugated containers) </w:t>
      </w:r>
      <w:r w:rsidR="00F55DDB">
        <w:t>changed</w:t>
      </w:r>
      <w:r w:rsidR="008B2ABF" w:rsidRPr="008B2ABF">
        <w:t xml:space="preserve"> </w:t>
      </w:r>
      <w:r w:rsidR="008B2ABF">
        <w:t>little</w:t>
      </w:r>
      <w:r w:rsidR="00F55DDB">
        <w:t>.</w:t>
      </w:r>
    </w:p>
    <w:p w14:paraId="3C40BE71" w14:textId="47667939" w:rsidR="00313ED4" w:rsidRDefault="00313ED4" w:rsidP="0029695A">
      <w:pPr>
        <w:pStyle w:val="Caption"/>
        <w:spacing w:after="120"/>
      </w:pPr>
      <w:bookmarkStart w:id="7" w:name="_Ref524614867"/>
      <w:r>
        <w:t xml:space="preserve">Figure </w:t>
      </w:r>
      <w:r>
        <w:rPr>
          <w:noProof/>
        </w:rPr>
        <w:fldChar w:fldCharType="begin"/>
      </w:r>
      <w:r>
        <w:rPr>
          <w:noProof/>
        </w:rPr>
        <w:instrText xml:space="preserve"> SEQ Figure \* ARABIC </w:instrText>
      </w:r>
      <w:r>
        <w:rPr>
          <w:noProof/>
        </w:rPr>
        <w:fldChar w:fldCharType="separate"/>
      </w:r>
      <w:r w:rsidR="009223D9">
        <w:rPr>
          <w:noProof/>
        </w:rPr>
        <w:t>4</w:t>
      </w:r>
      <w:r>
        <w:rPr>
          <w:noProof/>
        </w:rPr>
        <w:fldChar w:fldCharType="end"/>
      </w:r>
      <w:bookmarkEnd w:id="7"/>
      <w:r>
        <w:tab/>
        <w:t>Exports of scrap paper and cardboard from Australia to China and other destinations by financial year</w:t>
      </w:r>
      <w:r w:rsidR="00C96013">
        <w:t xml:space="preserve"> (</w:t>
      </w:r>
      <w:r w:rsidR="00FC70F3">
        <w:t>kt</w:t>
      </w:r>
      <w:r w:rsidR="00C96013">
        <w:t>)</w:t>
      </w:r>
    </w:p>
    <w:p w14:paraId="114BC61E" w14:textId="2E0E1AAA" w:rsidR="009A56EF" w:rsidRDefault="00DD533E" w:rsidP="00313ED4">
      <w:pPr>
        <w:pStyle w:val="BodyText"/>
      </w:pPr>
      <w:r>
        <w:rPr>
          <w:noProof/>
        </w:rPr>
        <w:drawing>
          <wp:inline distT="0" distB="0" distL="0" distR="0" wp14:anchorId="1DD3361D" wp14:editId="21EA2159">
            <wp:extent cx="5785485" cy="18776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85485" cy="1877695"/>
                    </a:xfrm>
                    <a:prstGeom prst="rect">
                      <a:avLst/>
                    </a:prstGeom>
                    <a:noFill/>
                  </pic:spPr>
                </pic:pic>
              </a:graphicData>
            </a:graphic>
          </wp:inline>
        </w:drawing>
      </w:r>
    </w:p>
    <w:p w14:paraId="7898FDBD" w14:textId="77777777" w:rsidR="0035211C" w:rsidRDefault="0035211C" w:rsidP="00313ED4">
      <w:pPr>
        <w:pStyle w:val="BodyText"/>
      </w:pPr>
    </w:p>
    <w:p w14:paraId="744BE886" w14:textId="645FCECA" w:rsidR="00F55DDB" w:rsidRDefault="00F55DDB" w:rsidP="00A969E3">
      <w:pPr>
        <w:pStyle w:val="BodyText"/>
      </w:pPr>
      <w:r>
        <w:fldChar w:fldCharType="begin"/>
      </w:r>
      <w:r>
        <w:instrText xml:space="preserve"> REF _Ref523488518 \h </w:instrText>
      </w:r>
      <w:r>
        <w:fldChar w:fldCharType="separate"/>
      </w:r>
      <w:r w:rsidR="009223D9">
        <w:t xml:space="preserve">Figure </w:t>
      </w:r>
      <w:r w:rsidR="009223D9">
        <w:rPr>
          <w:noProof/>
        </w:rPr>
        <w:t>5</w:t>
      </w:r>
      <w:r>
        <w:fldChar w:fldCharType="end"/>
      </w:r>
      <w:r>
        <w:t xml:space="preserve"> </w:t>
      </w:r>
      <w:r w:rsidR="00A969E3">
        <w:t>similarly shows</w:t>
      </w:r>
      <w:r>
        <w:t xml:space="preserve"> exports of plastics </w:t>
      </w:r>
      <w:r w:rsidR="003C7F80">
        <w:t>since 2014-15</w:t>
      </w:r>
      <w:r>
        <w:t xml:space="preserve">. </w:t>
      </w:r>
      <w:r w:rsidR="0007368B">
        <w:t xml:space="preserve">The </w:t>
      </w:r>
      <w:r w:rsidR="001E50EB">
        <w:t xml:space="preserve">largest export grade </w:t>
      </w:r>
      <w:r w:rsidR="0007368B">
        <w:t>is mixed plastics</w:t>
      </w:r>
      <w:r w:rsidR="001E50EB">
        <w:t xml:space="preserve"> (unsorted mixed materials</w:t>
      </w:r>
      <w:r w:rsidR="00E16399">
        <w:t>, mainly</w:t>
      </w:r>
      <w:r w:rsidR="0007368B">
        <w:t xml:space="preserve"> from domestic recycling collections</w:t>
      </w:r>
      <w:r w:rsidR="001E50EB">
        <w:t>)</w:t>
      </w:r>
      <w:r w:rsidR="0007368B">
        <w:t xml:space="preserve"> followed by polymers of ethylene </w:t>
      </w:r>
      <w:r w:rsidR="003636B8">
        <w:t>(PET and HDPE)</w:t>
      </w:r>
      <w:r w:rsidR="0007368B">
        <w:t>.</w:t>
      </w:r>
      <w:r w:rsidR="001E50EB">
        <w:t xml:space="preserve"> China was the largest market for these materials until 2016-17</w:t>
      </w:r>
      <w:r w:rsidR="00A969E3">
        <w:t>, at which point exports to China collapsed</w:t>
      </w:r>
      <w:r w:rsidR="00A45AE5">
        <w:t xml:space="preserve"> due to its import restrictions</w:t>
      </w:r>
      <w:r w:rsidR="001E50EB">
        <w:t xml:space="preserve">. </w:t>
      </w:r>
      <w:r w:rsidR="00A969E3">
        <w:t xml:space="preserve">However, there was a large corresponding rise in exports </w:t>
      </w:r>
      <w:r w:rsidR="001E50EB">
        <w:t xml:space="preserve">to other Asian destinations, mainly Indonesia and Malaysia. </w:t>
      </w:r>
      <w:r w:rsidR="00A969E3">
        <w:t>During 2019-20</w:t>
      </w:r>
      <w:r w:rsidR="00A45AE5">
        <w:t>,</w:t>
      </w:r>
      <w:r w:rsidR="00A969E3">
        <w:t xml:space="preserve"> exports of unsorted mixed materials to these other destinations fell by 50% as these countries also introduced and began to enforce their own import restrictions. E</w:t>
      </w:r>
      <w:r w:rsidR="003C7F80">
        <w:t xml:space="preserve">xports of ethylene </w:t>
      </w:r>
      <w:r w:rsidR="00A969E3">
        <w:t xml:space="preserve">polymers </w:t>
      </w:r>
      <w:r w:rsidR="003C7F80">
        <w:t>appear</w:t>
      </w:r>
      <w:r w:rsidR="00A969E3">
        <w:t xml:space="preserve"> to have been</w:t>
      </w:r>
      <w:r w:rsidR="003C7F80">
        <w:t xml:space="preserve"> unaffected. </w:t>
      </w:r>
    </w:p>
    <w:p w14:paraId="00EC9C3B" w14:textId="4BB1118F" w:rsidR="007D24C3" w:rsidRDefault="002B6B42" w:rsidP="0029695A">
      <w:pPr>
        <w:pStyle w:val="Caption"/>
        <w:spacing w:after="120"/>
      </w:pPr>
      <w:bookmarkStart w:id="8" w:name="_Ref523488518"/>
      <w:r>
        <w:t xml:space="preserve">Figure </w:t>
      </w:r>
      <w:r w:rsidR="002F01D1">
        <w:rPr>
          <w:noProof/>
        </w:rPr>
        <w:fldChar w:fldCharType="begin"/>
      </w:r>
      <w:r w:rsidR="002F01D1">
        <w:rPr>
          <w:noProof/>
        </w:rPr>
        <w:instrText xml:space="preserve"> SEQ Figure \* ARABIC </w:instrText>
      </w:r>
      <w:r w:rsidR="002F01D1">
        <w:rPr>
          <w:noProof/>
        </w:rPr>
        <w:fldChar w:fldCharType="separate"/>
      </w:r>
      <w:r w:rsidR="009223D9">
        <w:rPr>
          <w:noProof/>
        </w:rPr>
        <w:t>5</w:t>
      </w:r>
      <w:r w:rsidR="002F01D1">
        <w:rPr>
          <w:noProof/>
        </w:rPr>
        <w:fldChar w:fldCharType="end"/>
      </w:r>
      <w:bookmarkEnd w:id="8"/>
      <w:r>
        <w:tab/>
        <w:t>Exports of waste plastic from Australia to China and other destinations by financial year</w:t>
      </w:r>
      <w:r w:rsidR="00C96013">
        <w:t xml:space="preserve"> (</w:t>
      </w:r>
      <w:r w:rsidR="00FC70F3">
        <w:t>kt</w:t>
      </w:r>
      <w:r w:rsidR="00C96013">
        <w:t>)</w:t>
      </w:r>
    </w:p>
    <w:p w14:paraId="267A163E" w14:textId="5A993A8B" w:rsidR="009A56EF" w:rsidRDefault="00DD533E" w:rsidP="00313ED4">
      <w:pPr>
        <w:pStyle w:val="BodyText"/>
      </w:pPr>
      <w:r>
        <w:rPr>
          <w:noProof/>
        </w:rPr>
        <w:drawing>
          <wp:inline distT="0" distB="0" distL="0" distR="0" wp14:anchorId="0BE842F1" wp14:editId="6188DD28">
            <wp:extent cx="5852795" cy="17494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2795" cy="1749425"/>
                    </a:xfrm>
                    <a:prstGeom prst="rect">
                      <a:avLst/>
                    </a:prstGeom>
                    <a:noFill/>
                  </pic:spPr>
                </pic:pic>
              </a:graphicData>
            </a:graphic>
          </wp:inline>
        </w:drawing>
      </w:r>
    </w:p>
    <w:p w14:paraId="25710BC2" w14:textId="2B508570" w:rsidR="007C4488" w:rsidRDefault="007C4488" w:rsidP="00313ED4">
      <w:pPr>
        <w:pStyle w:val="BodyText"/>
      </w:pPr>
    </w:p>
    <w:p w14:paraId="364FCD59" w14:textId="64647566" w:rsidR="00E16399" w:rsidRDefault="00FC70F3" w:rsidP="00FC70F3">
      <w:pPr>
        <w:pStyle w:val="BodyText"/>
      </w:pPr>
      <w:r>
        <w:fldChar w:fldCharType="begin"/>
      </w:r>
      <w:r>
        <w:instrText xml:space="preserve"> REF _Ref17648531 \h </w:instrText>
      </w:r>
      <w:r>
        <w:fldChar w:fldCharType="separate"/>
      </w:r>
      <w:r w:rsidR="009223D9">
        <w:t xml:space="preserve">Figure </w:t>
      </w:r>
      <w:r w:rsidR="009223D9">
        <w:rPr>
          <w:noProof/>
        </w:rPr>
        <w:t>6</w:t>
      </w:r>
      <w:r>
        <w:fldChar w:fldCharType="end"/>
      </w:r>
      <w:r>
        <w:t xml:space="preserve"> shows exports of all waste-derived materials by destination over the past five years, ranking the six destinations that received the most materials in 2019-20. </w:t>
      </w:r>
      <w:r w:rsidRPr="00824C07">
        <w:t xml:space="preserve">China was the top ranked destination </w:t>
      </w:r>
      <w:r>
        <w:t>until 2016-17</w:t>
      </w:r>
      <w:r w:rsidR="00D20D70">
        <w:t xml:space="preserve"> when it received 1.26 Mt and 30% of Australia’s waste exports,</w:t>
      </w:r>
      <w:r>
        <w:t xml:space="preserve"> but </w:t>
      </w:r>
      <w:r w:rsidR="00E16399">
        <w:t>subsequently</w:t>
      </w:r>
      <w:r>
        <w:t xml:space="preserve"> dropped dramatically. Exports to Indonesia, India and Vietnam </w:t>
      </w:r>
      <w:r w:rsidR="00D20D70">
        <w:t>grew from 1.25 Mt in</w:t>
      </w:r>
      <w:r>
        <w:t xml:space="preserve"> 2016</w:t>
      </w:r>
      <w:r w:rsidR="00D20D70">
        <w:noBreakHyphen/>
      </w:r>
      <w:r>
        <w:t>17</w:t>
      </w:r>
      <w:r w:rsidR="00D20D70">
        <w:t xml:space="preserve"> to 2.05 Mt in 2018</w:t>
      </w:r>
      <w:r w:rsidR="00D20D70">
        <w:noBreakHyphen/>
        <w:t>19,</w:t>
      </w:r>
      <w:r>
        <w:t xml:space="preserve"> indicating they received materials displaced from China. In 2019</w:t>
      </w:r>
      <w:r>
        <w:noBreakHyphen/>
        <w:t>20, exports to Vietnam and Indonesia declined as they also brought in import restrictions</w:t>
      </w:r>
      <w:r w:rsidR="00DB5905">
        <w:t xml:space="preserve"> (see details in </w:t>
      </w:r>
      <w:r w:rsidR="00DB5905">
        <w:fldChar w:fldCharType="begin"/>
      </w:r>
      <w:r w:rsidR="00DB5905">
        <w:instrText xml:space="preserve"> REF _Ref50047642 \h </w:instrText>
      </w:r>
      <w:r w:rsidR="00DB5905">
        <w:fldChar w:fldCharType="separate"/>
      </w:r>
      <w:r w:rsidR="009223D9">
        <w:t xml:space="preserve">Table </w:t>
      </w:r>
      <w:r w:rsidR="009223D9">
        <w:rPr>
          <w:noProof/>
        </w:rPr>
        <w:t>3</w:t>
      </w:r>
      <w:r w:rsidR="00DB5905">
        <w:fldChar w:fldCharType="end"/>
      </w:r>
      <w:r w:rsidR="00DB5905">
        <w:t>)</w:t>
      </w:r>
      <w:r>
        <w:t xml:space="preserve">. </w:t>
      </w:r>
    </w:p>
    <w:p w14:paraId="56C3A528" w14:textId="77777777" w:rsidR="00E16399" w:rsidRDefault="00E16399" w:rsidP="00FC70F3">
      <w:pPr>
        <w:pStyle w:val="BodyText"/>
      </w:pPr>
    </w:p>
    <w:p w14:paraId="79A4A2B8" w14:textId="4798E443" w:rsidR="00FC70F3" w:rsidRDefault="00FC70F3" w:rsidP="00FC70F3">
      <w:pPr>
        <w:pStyle w:val="BodyText"/>
      </w:pPr>
      <w:r>
        <w:t xml:space="preserve">Exports of metals to Bangladesh increased </w:t>
      </w:r>
      <w:bookmarkStart w:id="9" w:name="_Ref524614882"/>
      <w:r w:rsidR="009D4596">
        <w:t>from 171</w:t>
      </w:r>
      <w:r w:rsidR="00D20D70">
        <w:t> </w:t>
      </w:r>
      <w:r w:rsidR="009D4596">
        <w:t xml:space="preserve">kt in </w:t>
      </w:r>
      <w:r w:rsidR="00D20D70">
        <w:t>2014</w:t>
      </w:r>
      <w:r w:rsidR="00D20D70">
        <w:noBreakHyphen/>
        <w:t>15 to 622 kt in 2019</w:t>
      </w:r>
      <w:r w:rsidR="00D20D70">
        <w:noBreakHyphen/>
        <w:t>20</w:t>
      </w:r>
      <w:r>
        <w:t>.</w:t>
      </w:r>
      <w:bookmarkEnd w:id="9"/>
    </w:p>
    <w:p w14:paraId="6047A03D" w14:textId="08725D32" w:rsidR="00B731C3" w:rsidRDefault="00B731C3">
      <w:r>
        <w:br w:type="page"/>
      </w:r>
    </w:p>
    <w:p w14:paraId="600E5B3D" w14:textId="5A056FC2" w:rsidR="00142670" w:rsidRDefault="00142670" w:rsidP="00373DD5">
      <w:pPr>
        <w:pStyle w:val="Caption"/>
        <w:spacing w:before="0"/>
      </w:pPr>
      <w:bookmarkStart w:id="10" w:name="_Ref17648531"/>
      <w:r>
        <w:lastRenderedPageBreak/>
        <w:t xml:space="preserve">Figure </w:t>
      </w:r>
      <w:r w:rsidR="003E3241">
        <w:fldChar w:fldCharType="begin"/>
      </w:r>
      <w:r w:rsidR="003E3241">
        <w:instrText xml:space="preserve"> SEQ Figure \* ARABIC </w:instrText>
      </w:r>
      <w:r w:rsidR="003E3241">
        <w:fldChar w:fldCharType="separate"/>
      </w:r>
      <w:r w:rsidR="009223D9">
        <w:rPr>
          <w:noProof/>
        </w:rPr>
        <w:t>6</w:t>
      </w:r>
      <w:r w:rsidR="003E3241">
        <w:rPr>
          <w:noProof/>
        </w:rPr>
        <w:fldChar w:fldCharType="end"/>
      </w:r>
      <w:bookmarkEnd w:id="10"/>
      <w:r>
        <w:tab/>
        <w:t xml:space="preserve"> Exports of waste from Australia by financial year, showing the top six destinations (Mt)</w:t>
      </w:r>
    </w:p>
    <w:p w14:paraId="21CF2ECB" w14:textId="5DF232B8" w:rsidR="00142670" w:rsidRDefault="00142670" w:rsidP="00B731C3">
      <w:pPr>
        <w:pStyle w:val="BodyText"/>
        <w:jc w:val="center"/>
      </w:pPr>
      <w:r>
        <w:rPr>
          <w:noProof/>
        </w:rPr>
        <w:drawing>
          <wp:inline distT="0" distB="0" distL="0" distR="0" wp14:anchorId="189BD65A" wp14:editId="329D7730">
            <wp:extent cx="5785485" cy="2103120"/>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85485" cy="2103120"/>
                    </a:xfrm>
                    <a:prstGeom prst="rect">
                      <a:avLst/>
                    </a:prstGeom>
                    <a:noFill/>
                  </pic:spPr>
                </pic:pic>
              </a:graphicData>
            </a:graphic>
          </wp:inline>
        </w:drawing>
      </w:r>
    </w:p>
    <w:p w14:paraId="79078CBD" w14:textId="77777777" w:rsidR="00142670" w:rsidRDefault="00142670" w:rsidP="00B731C3">
      <w:pPr>
        <w:pStyle w:val="BodyText"/>
        <w:jc w:val="center"/>
      </w:pPr>
    </w:p>
    <w:p w14:paraId="21E3E8FC" w14:textId="26FA0816" w:rsidR="00B731C3" w:rsidRDefault="00B731C3" w:rsidP="00B731C3">
      <w:pPr>
        <w:pStyle w:val="Heading1"/>
      </w:pPr>
      <w:r>
        <w:t>2019-20 in focus</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2"/>
        <w:gridCol w:w="5413"/>
      </w:tblGrid>
      <w:tr w:rsidR="00B63531" w14:paraId="5196EE34" w14:textId="77777777" w:rsidTr="00204F7A">
        <w:tc>
          <w:tcPr>
            <w:tcW w:w="4102" w:type="dxa"/>
            <w:vMerge w:val="restart"/>
            <w:tcMar>
              <w:left w:w="0" w:type="dxa"/>
            </w:tcMar>
          </w:tcPr>
          <w:p w14:paraId="0B5B9E97" w14:textId="5A78107D" w:rsidR="00373DD5" w:rsidRDefault="00324216" w:rsidP="00373DD5">
            <w:pPr>
              <w:pStyle w:val="BodyText"/>
            </w:pPr>
            <w:r>
              <w:fldChar w:fldCharType="begin"/>
            </w:r>
            <w:r>
              <w:instrText xml:space="preserve"> REF _Ref50047614 \h </w:instrText>
            </w:r>
            <w:r>
              <w:fldChar w:fldCharType="separate"/>
            </w:r>
            <w:r w:rsidR="009223D9">
              <w:t xml:space="preserve">Figure </w:t>
            </w:r>
            <w:r w:rsidR="009223D9">
              <w:rPr>
                <w:noProof/>
              </w:rPr>
              <w:t>7</w:t>
            </w:r>
            <w:r>
              <w:fldChar w:fldCharType="end"/>
            </w:r>
            <w:r w:rsidR="00373DD5">
              <w:t xml:space="preserve"> shows monthly exports of waste-derived materials by category from July 201</w:t>
            </w:r>
            <w:r w:rsidR="00831286">
              <w:t>9</w:t>
            </w:r>
            <w:r w:rsidR="00373DD5">
              <w:t xml:space="preserve"> to June 2020. Materials with similar export ranges are </w:t>
            </w:r>
            <w:r w:rsidR="00B7403A">
              <w:t>presented</w:t>
            </w:r>
            <w:r w:rsidR="00373DD5">
              <w:t xml:space="preserve"> together for clarity. </w:t>
            </w:r>
          </w:p>
          <w:p w14:paraId="54DFB23D" w14:textId="4D66AEB6" w:rsidR="00373DD5" w:rsidRDefault="00373DD5" w:rsidP="00373DD5">
            <w:pPr>
              <w:pStyle w:val="BodyText"/>
            </w:pPr>
          </w:p>
          <w:p w14:paraId="56874E10" w14:textId="04C67937" w:rsidR="00142670" w:rsidRDefault="00373DD5" w:rsidP="00B731C3">
            <w:pPr>
              <w:pStyle w:val="BodyText"/>
            </w:pPr>
            <w:bookmarkStart w:id="11" w:name="_Hlk49791034"/>
            <w:r>
              <w:t xml:space="preserve">Metals exports </w:t>
            </w:r>
            <w:bookmarkEnd w:id="11"/>
            <w:r w:rsidR="00FC70F3">
              <w:t>varied</w:t>
            </w:r>
            <w:r>
              <w:t xml:space="preserve"> due to uneven quantities of ferrous scrap</w:t>
            </w:r>
            <w:r w:rsidR="00B7403A">
              <w:t>, which makes up half the total,</w:t>
            </w:r>
            <w:r>
              <w:t xml:space="preserve"> and mixed metal waste grades.</w:t>
            </w:r>
            <w:r w:rsidR="00831286">
              <w:t xml:space="preserve"> Of the 2.54 Mt exported, </w:t>
            </w:r>
            <w:r>
              <w:t>Bangladesh, Vietnam, India and Indonesia</w:t>
            </w:r>
            <w:r w:rsidR="00831286">
              <w:t xml:space="preserve"> </w:t>
            </w:r>
            <w:r>
              <w:t xml:space="preserve">received 64%. </w:t>
            </w:r>
          </w:p>
          <w:p w14:paraId="3D42F228" w14:textId="77777777" w:rsidR="00142670" w:rsidRDefault="00142670" w:rsidP="00B731C3">
            <w:pPr>
              <w:pStyle w:val="BodyText"/>
            </w:pPr>
          </w:p>
          <w:p w14:paraId="2212D044" w14:textId="77777777" w:rsidR="00831286" w:rsidRDefault="00373DD5" w:rsidP="00B731C3">
            <w:pPr>
              <w:pStyle w:val="BodyText"/>
            </w:pPr>
            <w:r>
              <w:t xml:space="preserve">Monthly exports of scrap paper and cardboard </w:t>
            </w:r>
            <w:r w:rsidR="00831286">
              <w:t>were stable</w:t>
            </w:r>
            <w:r>
              <w:t xml:space="preserve"> in 2019-20.</w:t>
            </w:r>
            <w:r w:rsidR="00831286">
              <w:t xml:space="preserve"> Of 1.07 Mt exported,</w:t>
            </w:r>
            <w:r>
              <w:t xml:space="preserve"> Indonesia accept</w:t>
            </w:r>
            <w:r w:rsidR="00831286">
              <w:t>ed</w:t>
            </w:r>
            <w:r>
              <w:t xml:space="preserve"> 314 kt (29%) followed by China </w:t>
            </w:r>
            <w:r w:rsidR="00831286">
              <w:t xml:space="preserve">at </w:t>
            </w:r>
            <w:r>
              <w:t xml:space="preserve">224 kt (21%). </w:t>
            </w:r>
          </w:p>
          <w:p w14:paraId="2E1BA8AB" w14:textId="77777777" w:rsidR="00831286" w:rsidRDefault="00831286" w:rsidP="00B731C3">
            <w:pPr>
              <w:pStyle w:val="BodyText"/>
            </w:pPr>
          </w:p>
          <w:p w14:paraId="6FAACF92" w14:textId="483B1DC2" w:rsidR="00373DD5" w:rsidRDefault="00373DD5" w:rsidP="00B731C3">
            <w:pPr>
              <w:pStyle w:val="BodyText"/>
            </w:pPr>
            <w:r>
              <w:t xml:space="preserve">Exports of materials in the waste category </w:t>
            </w:r>
            <w:r w:rsidR="00831286">
              <w:t xml:space="preserve">‘other’ </w:t>
            </w:r>
            <w:r w:rsidR="00B7403A">
              <w:t>ranged from 13 to 43 kt per month</w:t>
            </w:r>
            <w:r>
              <w:t xml:space="preserve">. </w:t>
            </w:r>
          </w:p>
          <w:p w14:paraId="5B42D546" w14:textId="70A51F2F" w:rsidR="00B731C3" w:rsidRDefault="00B731C3" w:rsidP="00B731C3">
            <w:pPr>
              <w:pStyle w:val="BodyText"/>
            </w:pPr>
          </w:p>
          <w:p w14:paraId="161FEAA0" w14:textId="5D6D75AC" w:rsidR="00B63531" w:rsidRDefault="00B63531" w:rsidP="00B63531">
            <w:pPr>
              <w:pStyle w:val="BodyText"/>
            </w:pPr>
            <w:r>
              <w:t xml:space="preserve">Exports of plastics </w:t>
            </w:r>
            <w:r w:rsidR="009E6E33">
              <w:t>fluctuated,</w:t>
            </w:r>
            <w:r w:rsidR="00831286">
              <w:t xml:space="preserve"> but continued a declining trend from</w:t>
            </w:r>
            <w:r w:rsidR="00204F7A">
              <w:t xml:space="preserve"> a 19 kt peak in February</w:t>
            </w:r>
            <w:r w:rsidR="00831286">
              <w:t xml:space="preserve"> </w:t>
            </w:r>
            <w:r>
              <w:t>2019</w:t>
            </w:r>
            <w:r w:rsidR="00204F7A">
              <w:t>.</w:t>
            </w:r>
            <w:r>
              <w:t xml:space="preserve"> </w:t>
            </w:r>
            <w:r w:rsidR="00204F7A">
              <w:t xml:space="preserve">The major destinations were </w:t>
            </w:r>
            <w:r>
              <w:t xml:space="preserve">Malaysia </w:t>
            </w:r>
            <w:r w:rsidR="009E6E33">
              <w:t>(</w:t>
            </w:r>
            <w:r>
              <w:t>43%</w:t>
            </w:r>
            <w:r w:rsidR="009E6E33">
              <w:t>)</w:t>
            </w:r>
            <w:r>
              <w:t xml:space="preserve"> </w:t>
            </w:r>
            <w:r w:rsidR="00204F7A">
              <w:t xml:space="preserve">followed by </w:t>
            </w:r>
            <w:r>
              <w:t xml:space="preserve">China </w:t>
            </w:r>
            <w:r w:rsidR="009E6E33">
              <w:t>(</w:t>
            </w:r>
            <w:r>
              <w:t>14%</w:t>
            </w:r>
            <w:r w:rsidR="009E6E33">
              <w:t>)</w:t>
            </w:r>
            <w:r w:rsidR="00204F7A">
              <w:t xml:space="preserve"> and Indonesia </w:t>
            </w:r>
            <w:r w:rsidR="009E6E33">
              <w:t>(</w:t>
            </w:r>
            <w:r w:rsidR="00204F7A">
              <w:t>10%</w:t>
            </w:r>
            <w:r w:rsidR="009E6E33">
              <w:t>)</w:t>
            </w:r>
            <w:r>
              <w:t>.</w:t>
            </w:r>
          </w:p>
          <w:p w14:paraId="1DD9AAB3" w14:textId="01BDAB0B" w:rsidR="00B63531" w:rsidRDefault="00B63531" w:rsidP="00B63531">
            <w:pPr>
              <w:pStyle w:val="BodyText"/>
            </w:pPr>
          </w:p>
        </w:tc>
        <w:tc>
          <w:tcPr>
            <w:tcW w:w="5413" w:type="dxa"/>
          </w:tcPr>
          <w:p w14:paraId="42765B3C" w14:textId="4580550C" w:rsidR="00373DD5" w:rsidRDefault="00373DD5" w:rsidP="00B731C3">
            <w:pPr>
              <w:pStyle w:val="Caption"/>
              <w:spacing w:before="0"/>
            </w:pPr>
            <w:bookmarkStart w:id="12" w:name="_Ref50047614"/>
            <w:r>
              <w:t xml:space="preserve">Figure </w:t>
            </w:r>
            <w:r>
              <w:rPr>
                <w:noProof/>
              </w:rPr>
              <w:fldChar w:fldCharType="begin"/>
            </w:r>
            <w:r>
              <w:rPr>
                <w:noProof/>
              </w:rPr>
              <w:instrText xml:space="preserve"> SEQ Figure \* ARABIC </w:instrText>
            </w:r>
            <w:r>
              <w:rPr>
                <w:noProof/>
              </w:rPr>
              <w:fldChar w:fldCharType="separate"/>
            </w:r>
            <w:r w:rsidR="009223D9">
              <w:rPr>
                <w:noProof/>
              </w:rPr>
              <w:t>7</w:t>
            </w:r>
            <w:r>
              <w:rPr>
                <w:noProof/>
              </w:rPr>
              <w:fldChar w:fldCharType="end"/>
            </w:r>
            <w:bookmarkEnd w:id="12"/>
            <w:r>
              <w:tab/>
            </w:r>
            <w:r w:rsidRPr="00B27C38">
              <w:t xml:space="preserve">Monthly exports </w:t>
            </w:r>
            <w:r w:rsidR="00831286">
              <w:t>by material</w:t>
            </w:r>
            <w:r>
              <w:t xml:space="preserve">, July </w:t>
            </w:r>
            <w:r w:rsidRPr="00B27C38">
              <w:t>201</w:t>
            </w:r>
            <w:r w:rsidR="00831286">
              <w:t xml:space="preserve">9 to </w:t>
            </w:r>
            <w:r>
              <w:t>June 2020 (</w:t>
            </w:r>
            <w:r w:rsidR="00FC70F3">
              <w:t>kt</w:t>
            </w:r>
            <w:r>
              <w:t>)</w:t>
            </w:r>
          </w:p>
        </w:tc>
      </w:tr>
      <w:tr w:rsidR="00B63531" w14:paraId="5BC3B943" w14:textId="77777777" w:rsidTr="00204F7A">
        <w:tc>
          <w:tcPr>
            <w:tcW w:w="4102" w:type="dxa"/>
            <w:vMerge/>
          </w:tcPr>
          <w:p w14:paraId="263D1FD4" w14:textId="77777777" w:rsidR="00373DD5" w:rsidRDefault="00373DD5" w:rsidP="00373DD5">
            <w:pPr>
              <w:pStyle w:val="BodyText"/>
            </w:pPr>
          </w:p>
        </w:tc>
        <w:tc>
          <w:tcPr>
            <w:tcW w:w="5413" w:type="dxa"/>
          </w:tcPr>
          <w:p w14:paraId="681C86F5" w14:textId="24A1AB8B" w:rsidR="00B731C3" w:rsidRDefault="00831286" w:rsidP="00373DD5">
            <w:pPr>
              <w:pStyle w:val="BodyText"/>
            </w:pPr>
            <w:r>
              <w:rPr>
                <w:noProof/>
              </w:rPr>
              <w:drawing>
                <wp:anchor distT="0" distB="0" distL="114300" distR="114300" simplePos="0" relativeHeight="251658240" behindDoc="0" locked="0" layoutInCell="1" allowOverlap="1" wp14:anchorId="438A70CA" wp14:editId="0C880B72">
                  <wp:simplePos x="0" y="0"/>
                  <wp:positionH relativeFrom="column">
                    <wp:posOffset>635</wp:posOffset>
                  </wp:positionH>
                  <wp:positionV relativeFrom="paragraph">
                    <wp:posOffset>2083435</wp:posOffset>
                  </wp:positionV>
                  <wp:extent cx="3279775" cy="211455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9">
                            <a:extLst>
                              <a:ext uri="{28A0092B-C50C-407E-A947-70E740481C1C}">
                                <a14:useLocalDpi xmlns:a14="http://schemas.microsoft.com/office/drawing/2010/main" val="0"/>
                              </a:ext>
                            </a:extLst>
                          </a:blip>
                          <a:srcRect b="7756"/>
                          <a:stretch/>
                        </pic:blipFill>
                        <pic:spPr bwMode="auto">
                          <a:xfrm>
                            <a:off x="0" y="0"/>
                            <a:ext cx="3279775" cy="2114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2078">
              <w:rPr>
                <w:noProof/>
              </w:rPr>
              <mc:AlternateContent>
                <mc:Choice Requires="wps">
                  <w:drawing>
                    <wp:anchor distT="45720" distB="45720" distL="114300" distR="114300" simplePos="0" relativeHeight="251662336" behindDoc="0" locked="0" layoutInCell="1" allowOverlap="1" wp14:anchorId="6452012E" wp14:editId="75B9F291">
                      <wp:simplePos x="0" y="0"/>
                      <wp:positionH relativeFrom="column">
                        <wp:posOffset>2095500</wp:posOffset>
                      </wp:positionH>
                      <wp:positionV relativeFrom="paragraph">
                        <wp:posOffset>1064895</wp:posOffset>
                      </wp:positionV>
                      <wp:extent cx="1152525" cy="1404620"/>
                      <wp:effectExtent l="0" t="0" r="0"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noFill/>
                              <a:ln w="9525">
                                <a:noFill/>
                                <a:miter lim="800000"/>
                                <a:headEnd/>
                                <a:tailEnd/>
                              </a:ln>
                            </wps:spPr>
                            <wps:txbx>
                              <w:txbxContent>
                                <w:p w14:paraId="325255C2" w14:textId="3DA07378" w:rsidR="00DC0074" w:rsidRPr="00A32078" w:rsidRDefault="00DC0074" w:rsidP="00A32078">
                                  <w:pPr>
                                    <w:jc w:val="center"/>
                                    <w:rPr>
                                      <w:sz w:val="18"/>
                                      <w:szCs w:val="18"/>
                                    </w:rPr>
                                  </w:pPr>
                                  <w:r>
                                    <w:rPr>
                                      <w:sz w:val="18"/>
                                      <w:szCs w:val="18"/>
                                    </w:rPr>
                                    <w:t>Paper &amp; cardboard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52012E" id="_x0000_t202" coordsize="21600,21600" o:spt="202" path="m,l,21600r21600,l21600,xe">
                      <v:stroke joinstyle="miter"/>
                      <v:path gradientshapeok="t" o:connecttype="rect"/>
                    </v:shapetype>
                    <v:shape id="Text Box 2" o:spid="_x0000_s1026" type="#_x0000_t202" style="position:absolute;margin-left:165pt;margin-top:83.85pt;width:90.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" filled="f" stroked="f">
                      <v:textbox style="mso-fit-shape-to-text:t">
                        <w:txbxContent>
                          <w:p w14:paraId="325255C2" w14:textId="3DA07378" w:rsidR="00DC0074" w:rsidRPr="00A32078" w:rsidRDefault="00DC0074" w:rsidP="00A32078">
                            <w:pPr>
                              <w:jc w:val="center"/>
                              <w:rPr>
                                <w:sz w:val="18"/>
                                <w:szCs w:val="18"/>
                              </w:rPr>
                            </w:pPr>
                            <w:r>
                              <w:rPr>
                                <w:sz w:val="18"/>
                                <w:szCs w:val="18"/>
                              </w:rPr>
                              <w:t>Paper &amp; cardboard</w:t>
                            </w:r>
                          </w:p>
                        </w:txbxContent>
                      </v:textbox>
                    </v:shape>
                  </w:pict>
                </mc:Fallback>
              </mc:AlternateContent>
            </w:r>
            <w:r w:rsidR="00A32078">
              <w:rPr>
                <w:noProof/>
              </w:rPr>
              <mc:AlternateContent>
                <mc:Choice Requires="wps">
                  <w:drawing>
                    <wp:anchor distT="45720" distB="45720" distL="114300" distR="114300" simplePos="0" relativeHeight="251664384" behindDoc="0" locked="0" layoutInCell="1" allowOverlap="1" wp14:anchorId="5EE651D2" wp14:editId="46DAA0C4">
                      <wp:simplePos x="0" y="0"/>
                      <wp:positionH relativeFrom="column">
                        <wp:posOffset>2648585</wp:posOffset>
                      </wp:positionH>
                      <wp:positionV relativeFrom="paragraph">
                        <wp:posOffset>1579245</wp:posOffset>
                      </wp:positionV>
                      <wp:extent cx="647700" cy="1404620"/>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noFill/>
                              <a:ln w="9525">
                                <a:noFill/>
                                <a:miter lim="800000"/>
                                <a:headEnd/>
                                <a:tailEnd/>
                              </a:ln>
                            </wps:spPr>
                            <wps:txbx>
                              <w:txbxContent>
                                <w:p w14:paraId="702286B9" w14:textId="038C6D05" w:rsidR="00DC0074" w:rsidRPr="00A32078" w:rsidRDefault="00DC0074" w:rsidP="00A32078">
                                  <w:pPr>
                                    <w:jc w:val="center"/>
                                    <w:rPr>
                                      <w:sz w:val="18"/>
                                      <w:szCs w:val="18"/>
                                    </w:rPr>
                                  </w:pPr>
                                  <w:r>
                                    <w:rPr>
                                      <w:sz w:val="18"/>
                                      <w:szCs w:val="18"/>
                                    </w:rPr>
                                    <w:t>Other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E651D2" id="_x0000_s1027" type="#_x0000_t202" style="position:absolute;margin-left:208.55pt;margin-top:124.35pt;width:51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" filled="f" stroked="f">
                      <v:textbox style="mso-fit-shape-to-text:t">
                        <w:txbxContent>
                          <w:p w14:paraId="702286B9" w14:textId="038C6D05" w:rsidR="00DC0074" w:rsidRPr="00A32078" w:rsidRDefault="00DC0074" w:rsidP="00A32078">
                            <w:pPr>
                              <w:jc w:val="center"/>
                              <w:rPr>
                                <w:sz w:val="18"/>
                                <w:szCs w:val="18"/>
                              </w:rPr>
                            </w:pPr>
                            <w:r>
                              <w:rPr>
                                <w:sz w:val="18"/>
                                <w:szCs w:val="18"/>
                              </w:rPr>
                              <w:t>Other</w:t>
                            </w:r>
                          </w:p>
                        </w:txbxContent>
                      </v:textbox>
                    </v:shape>
                  </w:pict>
                </mc:Fallback>
              </mc:AlternateContent>
            </w:r>
            <w:r w:rsidR="00A32078">
              <w:rPr>
                <w:noProof/>
              </w:rPr>
              <mc:AlternateContent>
                <mc:Choice Requires="wps">
                  <w:drawing>
                    <wp:anchor distT="45720" distB="45720" distL="114300" distR="114300" simplePos="0" relativeHeight="251660288" behindDoc="0" locked="0" layoutInCell="1" allowOverlap="1" wp14:anchorId="7263711D" wp14:editId="693ECC49">
                      <wp:simplePos x="0" y="0"/>
                      <wp:positionH relativeFrom="column">
                        <wp:posOffset>2600960</wp:posOffset>
                      </wp:positionH>
                      <wp:positionV relativeFrom="paragraph">
                        <wp:posOffset>455295</wp:posOffset>
                      </wp:positionV>
                      <wp:extent cx="6858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noFill/>
                              <a:ln w="9525">
                                <a:noFill/>
                                <a:miter lim="800000"/>
                                <a:headEnd/>
                                <a:tailEnd/>
                              </a:ln>
                            </wps:spPr>
                            <wps:txbx>
                              <w:txbxContent>
                                <w:p w14:paraId="2A251622" w14:textId="02333A20" w:rsidR="00DC0074" w:rsidRPr="00A32078" w:rsidRDefault="00DC0074" w:rsidP="00A32078">
                                  <w:pPr>
                                    <w:jc w:val="center"/>
                                    <w:rPr>
                                      <w:sz w:val="18"/>
                                      <w:szCs w:val="18"/>
                                    </w:rPr>
                                  </w:pPr>
                                  <w:r>
                                    <w:rPr>
                                      <w:sz w:val="18"/>
                                      <w:szCs w:val="18"/>
                                    </w:rPr>
                                    <w:t>Metals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63711D" id="_x0000_s1028" type="#_x0000_t202" style="position:absolute;margin-left:204.8pt;margin-top:35.85pt;width:54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" filled="f" stroked="f">
                      <v:textbox style="mso-fit-shape-to-text:t">
                        <w:txbxContent>
                          <w:p w14:paraId="2A251622" w14:textId="02333A20" w:rsidR="00DC0074" w:rsidRPr="00A32078" w:rsidRDefault="00DC0074" w:rsidP="00A32078">
                            <w:pPr>
                              <w:jc w:val="center"/>
                              <w:rPr>
                                <w:sz w:val="18"/>
                                <w:szCs w:val="18"/>
                              </w:rPr>
                            </w:pPr>
                            <w:r>
                              <w:rPr>
                                <w:sz w:val="18"/>
                                <w:szCs w:val="18"/>
                              </w:rPr>
                              <w:t>Metals</w:t>
                            </w:r>
                          </w:p>
                        </w:txbxContent>
                      </v:textbox>
                    </v:shape>
                  </w:pict>
                </mc:Fallback>
              </mc:AlternateContent>
            </w:r>
            <w:r w:rsidR="00B63531">
              <w:rPr>
                <w:noProof/>
              </w:rPr>
              <w:drawing>
                <wp:inline distT="0" distB="0" distL="0" distR="0" wp14:anchorId="267774C5" wp14:editId="3D84CF1E">
                  <wp:extent cx="3300262" cy="22479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14278" cy="2257446"/>
                          </a:xfrm>
                          <a:prstGeom prst="rect">
                            <a:avLst/>
                          </a:prstGeom>
                          <a:noFill/>
                        </pic:spPr>
                      </pic:pic>
                    </a:graphicData>
                  </a:graphic>
                </wp:inline>
              </w:drawing>
            </w:r>
          </w:p>
          <w:p w14:paraId="36409177" w14:textId="22A64DC8" w:rsidR="00B731C3" w:rsidRDefault="00B731C3" w:rsidP="00373DD5">
            <w:pPr>
              <w:pStyle w:val="BodyText"/>
            </w:pPr>
          </w:p>
          <w:p w14:paraId="11FAC0D0" w14:textId="79EB7E7F" w:rsidR="00373DD5" w:rsidRDefault="00B7403A" w:rsidP="00373DD5">
            <w:pPr>
              <w:pStyle w:val="BodyText"/>
            </w:pPr>
            <w:r>
              <w:rPr>
                <w:noProof/>
              </w:rPr>
              <mc:AlternateContent>
                <mc:Choice Requires="wps">
                  <w:drawing>
                    <wp:anchor distT="45720" distB="45720" distL="114300" distR="114300" simplePos="0" relativeHeight="251672576" behindDoc="0" locked="0" layoutInCell="1" allowOverlap="1" wp14:anchorId="61E4FDF5" wp14:editId="1DE52D09">
                      <wp:simplePos x="0" y="0"/>
                      <wp:positionH relativeFrom="column">
                        <wp:posOffset>2448560</wp:posOffset>
                      </wp:positionH>
                      <wp:positionV relativeFrom="paragraph">
                        <wp:posOffset>675005</wp:posOffset>
                      </wp:positionV>
                      <wp:extent cx="781050" cy="1404620"/>
                      <wp:effectExtent l="0" t="0" r="0" b="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4620"/>
                              </a:xfrm>
                              <a:prstGeom prst="rect">
                                <a:avLst/>
                              </a:prstGeom>
                              <a:noFill/>
                              <a:ln w="9525">
                                <a:noFill/>
                                <a:miter lim="800000"/>
                                <a:headEnd/>
                                <a:tailEnd/>
                              </a:ln>
                            </wps:spPr>
                            <wps:txbx>
                              <w:txbxContent>
                                <w:p w14:paraId="0DDC281B" w14:textId="5C20473D" w:rsidR="00DC0074" w:rsidRPr="00A32078" w:rsidRDefault="00DC0074" w:rsidP="00831286">
                                  <w:pPr>
                                    <w:jc w:val="center"/>
                                    <w:rPr>
                                      <w:sz w:val="18"/>
                                      <w:szCs w:val="18"/>
                                    </w:rPr>
                                  </w:pPr>
                                  <w:r>
                                    <w:rPr>
                                      <w:sz w:val="18"/>
                                      <w:szCs w:val="18"/>
                                    </w:rPr>
                                    <w:t>Hazardous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E4FDF5" id="_x0000_s1029" type="#_x0000_t202" style="position:absolute;margin-left:192.8pt;margin-top:53.15pt;width:61.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" filled="f" stroked="f">
                      <v:textbox style="mso-fit-shape-to-text:t">
                        <w:txbxContent>
                          <w:p w14:paraId="0DDC281B" w14:textId="5C20473D" w:rsidR="00DC0074" w:rsidRPr="00A32078" w:rsidRDefault="00DC0074" w:rsidP="00831286">
                            <w:pPr>
                              <w:jc w:val="center"/>
                              <w:rPr>
                                <w:sz w:val="18"/>
                                <w:szCs w:val="18"/>
                              </w:rPr>
                            </w:pPr>
                            <w:r>
                              <w:rPr>
                                <w:sz w:val="18"/>
                                <w:szCs w:val="18"/>
                              </w:rPr>
                              <w:t>Hazardous</w:t>
                            </w:r>
                          </w:p>
                        </w:txbxContent>
                      </v:textbox>
                    </v:shape>
                  </w:pict>
                </mc:Fallback>
              </mc:AlternateContent>
            </w:r>
            <w:r>
              <w:rPr>
                <w:noProof/>
              </w:rPr>
              <mc:AlternateContent>
                <mc:Choice Requires="wps">
                  <w:drawing>
                    <wp:anchor distT="45720" distB="45720" distL="114300" distR="114300" simplePos="0" relativeHeight="251670528" behindDoc="0" locked="0" layoutInCell="1" allowOverlap="1" wp14:anchorId="41850F09" wp14:editId="55060E9F">
                      <wp:simplePos x="0" y="0"/>
                      <wp:positionH relativeFrom="column">
                        <wp:posOffset>2741930</wp:posOffset>
                      </wp:positionH>
                      <wp:positionV relativeFrom="paragraph">
                        <wp:posOffset>885825</wp:posOffset>
                      </wp:positionV>
                      <wp:extent cx="504825" cy="1404620"/>
                      <wp:effectExtent l="0" t="0" r="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404620"/>
                              </a:xfrm>
                              <a:prstGeom prst="rect">
                                <a:avLst/>
                              </a:prstGeom>
                              <a:noFill/>
                              <a:ln w="9525">
                                <a:noFill/>
                                <a:miter lim="800000"/>
                                <a:headEnd/>
                                <a:tailEnd/>
                              </a:ln>
                            </wps:spPr>
                            <wps:txbx>
                              <w:txbxContent>
                                <w:p w14:paraId="6474431D" w14:textId="59DF11F6" w:rsidR="00DC0074" w:rsidRPr="00A32078" w:rsidRDefault="00DC0074" w:rsidP="00831286">
                                  <w:pPr>
                                    <w:jc w:val="center"/>
                                    <w:rPr>
                                      <w:sz w:val="18"/>
                                      <w:szCs w:val="18"/>
                                    </w:rPr>
                                  </w:pPr>
                                  <w:r>
                                    <w:rPr>
                                      <w:sz w:val="18"/>
                                      <w:szCs w:val="18"/>
                                    </w:rPr>
                                    <w:t>Tyres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850F09" id="_x0000_s1030" type="#_x0000_t202" style="position:absolute;margin-left:215.9pt;margin-top:69.75pt;width:39.7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" filled="f" stroked="f">
                      <v:textbox style="mso-fit-shape-to-text:t">
                        <w:txbxContent>
                          <w:p w14:paraId="6474431D" w14:textId="59DF11F6" w:rsidR="00DC0074" w:rsidRPr="00A32078" w:rsidRDefault="00DC0074" w:rsidP="00831286">
                            <w:pPr>
                              <w:jc w:val="center"/>
                              <w:rPr>
                                <w:sz w:val="18"/>
                                <w:szCs w:val="18"/>
                              </w:rPr>
                            </w:pPr>
                            <w:r>
                              <w:rPr>
                                <w:sz w:val="18"/>
                                <w:szCs w:val="18"/>
                              </w:rPr>
                              <w:t>Tyres</w:t>
                            </w:r>
                          </w:p>
                        </w:txbxContent>
                      </v:textbox>
                    </v:shape>
                  </w:pict>
                </mc:Fallback>
              </mc:AlternateContent>
            </w:r>
            <w:r>
              <w:rPr>
                <w:noProof/>
              </w:rPr>
              <mc:AlternateContent>
                <mc:Choice Requires="wps">
                  <w:drawing>
                    <wp:anchor distT="45720" distB="45720" distL="114300" distR="114300" simplePos="0" relativeHeight="251676672" behindDoc="0" locked="0" layoutInCell="1" allowOverlap="1" wp14:anchorId="41FF7823" wp14:editId="68755E83">
                      <wp:simplePos x="0" y="0"/>
                      <wp:positionH relativeFrom="column">
                        <wp:posOffset>1289050</wp:posOffset>
                      </wp:positionH>
                      <wp:positionV relativeFrom="paragraph">
                        <wp:posOffset>491490</wp:posOffset>
                      </wp:positionV>
                      <wp:extent cx="504825" cy="140462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404620"/>
                              </a:xfrm>
                              <a:prstGeom prst="rect">
                                <a:avLst/>
                              </a:prstGeom>
                              <a:noFill/>
                              <a:ln w="9525">
                                <a:noFill/>
                                <a:miter lim="800000"/>
                                <a:headEnd/>
                                <a:tailEnd/>
                              </a:ln>
                            </wps:spPr>
                            <wps:txbx>
                              <w:txbxContent>
                                <w:p w14:paraId="64589F79" w14:textId="77777777" w:rsidR="00DC0074" w:rsidRPr="00A32078" w:rsidRDefault="00DC0074" w:rsidP="00B7403A">
                                  <w:pPr>
                                    <w:jc w:val="center"/>
                                    <w:rPr>
                                      <w:sz w:val="18"/>
                                      <w:szCs w:val="18"/>
                                    </w:rPr>
                                  </w:pPr>
                                  <w:r>
                                    <w:rPr>
                                      <w:sz w:val="18"/>
                                      <w:szCs w:val="18"/>
                                    </w:rPr>
                                    <w:t>Tyres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FF7823" id="_x0000_s1031" type="#_x0000_t202" style="position:absolute;margin-left:101.5pt;margin-top:38.7pt;width:39.7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" filled="f" stroked="f">
                      <v:textbox style="mso-fit-shape-to-text:t">
                        <w:txbxContent>
                          <w:p w14:paraId="64589F79" w14:textId="77777777" w:rsidR="00DC0074" w:rsidRPr="00A32078" w:rsidRDefault="00DC0074" w:rsidP="00B7403A">
                            <w:pPr>
                              <w:jc w:val="center"/>
                              <w:rPr>
                                <w:sz w:val="18"/>
                                <w:szCs w:val="18"/>
                              </w:rPr>
                            </w:pPr>
                            <w:r>
                              <w:rPr>
                                <w:sz w:val="18"/>
                                <w:szCs w:val="18"/>
                              </w:rPr>
                              <w:t>Tyres</w:t>
                            </w:r>
                          </w:p>
                        </w:txbxContent>
                      </v:textbox>
                    </v:shape>
                  </w:pict>
                </mc:Fallback>
              </mc:AlternateContent>
            </w:r>
            <w:r>
              <w:rPr>
                <w:noProof/>
              </w:rPr>
              <mc:AlternateContent>
                <mc:Choice Requires="wps">
                  <w:drawing>
                    <wp:anchor distT="45720" distB="45720" distL="114300" distR="114300" simplePos="0" relativeHeight="251674624" behindDoc="0" locked="0" layoutInCell="1" allowOverlap="1" wp14:anchorId="2B2B6978" wp14:editId="0E898FD4">
                      <wp:simplePos x="0" y="0"/>
                      <wp:positionH relativeFrom="column">
                        <wp:posOffset>717550</wp:posOffset>
                      </wp:positionH>
                      <wp:positionV relativeFrom="paragraph">
                        <wp:posOffset>782955</wp:posOffset>
                      </wp:positionV>
                      <wp:extent cx="78105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4620"/>
                              </a:xfrm>
                              <a:prstGeom prst="rect">
                                <a:avLst/>
                              </a:prstGeom>
                              <a:noFill/>
                              <a:ln w="9525">
                                <a:noFill/>
                                <a:miter lim="800000"/>
                                <a:headEnd/>
                                <a:tailEnd/>
                              </a:ln>
                            </wps:spPr>
                            <wps:txbx>
                              <w:txbxContent>
                                <w:p w14:paraId="4CDB4046" w14:textId="77777777" w:rsidR="00DC0074" w:rsidRPr="00A32078" w:rsidRDefault="00DC0074" w:rsidP="00B7403A">
                                  <w:pPr>
                                    <w:jc w:val="center"/>
                                    <w:rPr>
                                      <w:sz w:val="18"/>
                                      <w:szCs w:val="18"/>
                                    </w:rPr>
                                  </w:pPr>
                                  <w:r>
                                    <w:rPr>
                                      <w:sz w:val="18"/>
                                      <w:szCs w:val="18"/>
                                    </w:rPr>
                                    <w:t>Hazardous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2B6978" id="_x0000_s1032" type="#_x0000_t202" style="position:absolute;margin-left:56.5pt;margin-top:61.65pt;width:61.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" filled="f" stroked="f">
                      <v:textbox style="mso-fit-shape-to-text:t">
                        <w:txbxContent>
                          <w:p w14:paraId="4CDB4046" w14:textId="77777777" w:rsidR="00DC0074" w:rsidRPr="00A32078" w:rsidRDefault="00DC0074" w:rsidP="00B7403A">
                            <w:pPr>
                              <w:jc w:val="center"/>
                              <w:rPr>
                                <w:sz w:val="18"/>
                                <w:szCs w:val="18"/>
                              </w:rPr>
                            </w:pPr>
                            <w:r>
                              <w:rPr>
                                <w:sz w:val="18"/>
                                <w:szCs w:val="18"/>
                              </w:rPr>
                              <w:t>Hazardous</w:t>
                            </w:r>
                          </w:p>
                        </w:txbxContent>
                      </v:textbox>
                    </v:shape>
                  </w:pict>
                </mc:Fallback>
              </mc:AlternateContent>
            </w:r>
            <w:r w:rsidR="00204F7A">
              <w:rPr>
                <w:noProof/>
              </w:rPr>
              <mc:AlternateContent>
                <mc:Choice Requires="wps">
                  <w:drawing>
                    <wp:anchor distT="45720" distB="45720" distL="114300" distR="114300" simplePos="0" relativeHeight="251666432" behindDoc="0" locked="0" layoutInCell="1" allowOverlap="1" wp14:anchorId="653EFD1F" wp14:editId="5A60BD54">
                      <wp:simplePos x="0" y="0"/>
                      <wp:positionH relativeFrom="column">
                        <wp:posOffset>2610485</wp:posOffset>
                      </wp:positionH>
                      <wp:positionV relativeFrom="paragraph">
                        <wp:posOffset>179705</wp:posOffset>
                      </wp:positionV>
                      <wp:extent cx="609600" cy="1404620"/>
                      <wp:effectExtent l="0" t="0" r="0" b="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4620"/>
                              </a:xfrm>
                              <a:prstGeom prst="rect">
                                <a:avLst/>
                              </a:prstGeom>
                              <a:noFill/>
                              <a:ln w="9525">
                                <a:noFill/>
                                <a:miter lim="800000"/>
                                <a:headEnd/>
                                <a:tailEnd/>
                              </a:ln>
                            </wps:spPr>
                            <wps:txbx>
                              <w:txbxContent>
                                <w:p w14:paraId="7FC3E76B" w14:textId="06F6ECBC" w:rsidR="00DC0074" w:rsidRPr="00A32078" w:rsidRDefault="00DC0074" w:rsidP="00A32078">
                                  <w:pPr>
                                    <w:jc w:val="center"/>
                                    <w:rPr>
                                      <w:sz w:val="18"/>
                                      <w:szCs w:val="18"/>
                                    </w:rPr>
                                  </w:pPr>
                                  <w:r>
                                    <w:rPr>
                                      <w:sz w:val="18"/>
                                      <w:szCs w:val="18"/>
                                    </w:rPr>
                                    <w:t>Plastics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3EFD1F" id="_x0000_s1033" type="#_x0000_t202" style="position:absolute;margin-left:205.55pt;margin-top:14.15pt;width:48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" filled="f" stroked="f">
                      <v:textbox style="mso-fit-shape-to-text:t">
                        <w:txbxContent>
                          <w:p w14:paraId="7FC3E76B" w14:textId="06F6ECBC" w:rsidR="00DC0074" w:rsidRPr="00A32078" w:rsidRDefault="00DC0074" w:rsidP="00A32078">
                            <w:pPr>
                              <w:jc w:val="center"/>
                              <w:rPr>
                                <w:sz w:val="18"/>
                                <w:szCs w:val="18"/>
                              </w:rPr>
                            </w:pPr>
                            <w:r>
                              <w:rPr>
                                <w:sz w:val="18"/>
                                <w:szCs w:val="18"/>
                              </w:rPr>
                              <w:t>Plastics</w:t>
                            </w:r>
                          </w:p>
                        </w:txbxContent>
                      </v:textbox>
                    </v:shape>
                  </w:pict>
                </mc:Fallback>
              </mc:AlternateContent>
            </w:r>
            <w:r w:rsidR="00A32078">
              <w:rPr>
                <w:noProof/>
              </w:rPr>
              <mc:AlternateContent>
                <mc:Choice Requires="wps">
                  <w:drawing>
                    <wp:anchor distT="45720" distB="45720" distL="114300" distR="114300" simplePos="0" relativeHeight="251668480" behindDoc="0" locked="0" layoutInCell="1" allowOverlap="1" wp14:anchorId="54FED06E" wp14:editId="27B316FE">
                      <wp:simplePos x="0" y="0"/>
                      <wp:positionH relativeFrom="column">
                        <wp:posOffset>2724785</wp:posOffset>
                      </wp:positionH>
                      <wp:positionV relativeFrom="paragraph">
                        <wp:posOffset>1265555</wp:posOffset>
                      </wp:positionV>
                      <wp:extent cx="504825" cy="1404620"/>
                      <wp:effectExtent l="0" t="0" r="0" b="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404620"/>
                              </a:xfrm>
                              <a:prstGeom prst="rect">
                                <a:avLst/>
                              </a:prstGeom>
                              <a:noFill/>
                              <a:ln w="9525">
                                <a:noFill/>
                                <a:miter lim="800000"/>
                                <a:headEnd/>
                                <a:tailEnd/>
                              </a:ln>
                            </wps:spPr>
                            <wps:txbx>
                              <w:txbxContent>
                                <w:p w14:paraId="6FDF1E65" w14:textId="46AF27AE" w:rsidR="00DC0074" w:rsidRPr="00A32078" w:rsidRDefault="00DC0074" w:rsidP="00A32078">
                                  <w:pPr>
                                    <w:jc w:val="center"/>
                                    <w:rPr>
                                      <w:sz w:val="18"/>
                                      <w:szCs w:val="18"/>
                                    </w:rPr>
                                  </w:pPr>
                                  <w:r>
                                    <w:rPr>
                                      <w:sz w:val="18"/>
                                      <w:szCs w:val="18"/>
                                    </w:rPr>
                                    <w:t>Glass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FED06E" id="_x0000_s1034" type="#_x0000_t202" style="position:absolute;margin-left:214.55pt;margin-top:99.65pt;width:39.7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" filled="f" stroked="f">
                      <v:textbox style="mso-fit-shape-to-text:t">
                        <w:txbxContent>
                          <w:p w14:paraId="6FDF1E65" w14:textId="46AF27AE" w:rsidR="00DC0074" w:rsidRPr="00A32078" w:rsidRDefault="00DC0074" w:rsidP="00A32078">
                            <w:pPr>
                              <w:jc w:val="center"/>
                              <w:rPr>
                                <w:sz w:val="18"/>
                                <w:szCs w:val="18"/>
                              </w:rPr>
                            </w:pPr>
                            <w:r>
                              <w:rPr>
                                <w:sz w:val="18"/>
                                <w:szCs w:val="18"/>
                              </w:rPr>
                              <w:t>Glass</w:t>
                            </w:r>
                          </w:p>
                        </w:txbxContent>
                      </v:textbox>
                    </v:shape>
                  </w:pict>
                </mc:Fallback>
              </mc:AlternateContent>
            </w:r>
          </w:p>
        </w:tc>
      </w:tr>
    </w:tbl>
    <w:p w14:paraId="351B1F59" w14:textId="5517A7E7" w:rsidR="00142670" w:rsidRDefault="00204F7A" w:rsidP="00142670">
      <w:pPr>
        <w:pStyle w:val="BodyText"/>
      </w:pPr>
      <w:r>
        <w:t>Monthly e</w:t>
      </w:r>
      <w:r w:rsidR="00831286">
        <w:t xml:space="preserve">xports of waste tyres </w:t>
      </w:r>
      <w:r>
        <w:t>fell throughout the year</w:t>
      </w:r>
      <w:r w:rsidR="00831286">
        <w:t>. The main recipients in 2019-20 were India (47%) and Malaysia (28%).</w:t>
      </w:r>
    </w:p>
    <w:p w14:paraId="7456737B" w14:textId="4EF5A302" w:rsidR="00831286" w:rsidRDefault="00831286" w:rsidP="00142670">
      <w:pPr>
        <w:pStyle w:val="BodyText"/>
      </w:pPr>
    </w:p>
    <w:p w14:paraId="3438C5C0" w14:textId="06B95126" w:rsidR="00142670" w:rsidRDefault="00142670" w:rsidP="00142670">
      <w:pPr>
        <w:pStyle w:val="BodyText"/>
      </w:pPr>
      <w:r>
        <w:t>The hazardous category, comprising mainly metal processing wastes,</w:t>
      </w:r>
      <w:r w:rsidR="00204F7A">
        <w:t xml:space="preserve"> </w:t>
      </w:r>
      <w:r w:rsidR="00E16399">
        <w:t>ended</w:t>
      </w:r>
      <w:r w:rsidR="00204F7A">
        <w:t xml:space="preserve"> the year </w:t>
      </w:r>
      <w:r w:rsidR="00E16399">
        <w:t xml:space="preserve">with reported </w:t>
      </w:r>
      <w:r w:rsidR="00204F7A">
        <w:t xml:space="preserve">monthly values similar to </w:t>
      </w:r>
      <w:r w:rsidR="00E16399">
        <w:t xml:space="preserve">the </w:t>
      </w:r>
      <w:r w:rsidR="00204F7A">
        <w:t>start</w:t>
      </w:r>
      <w:r w:rsidR="009E6E33">
        <w:t xml:space="preserve"> (5.7 kt compared with 5.9 kt)</w:t>
      </w:r>
      <w:r w:rsidR="00204F7A">
        <w:t>.</w:t>
      </w:r>
      <w:r>
        <w:t xml:space="preserve"> </w:t>
      </w:r>
    </w:p>
    <w:p w14:paraId="2D6A0A91" w14:textId="5824352A" w:rsidR="00B63531" w:rsidRDefault="00B63531" w:rsidP="00142670">
      <w:pPr>
        <w:pStyle w:val="BodyText"/>
      </w:pPr>
    </w:p>
    <w:p w14:paraId="460B5C7C" w14:textId="536C2862" w:rsidR="00B63531" w:rsidRDefault="003E2351" w:rsidP="00B63531">
      <w:pPr>
        <w:pStyle w:val="BodyText"/>
      </w:pPr>
      <w:r>
        <w:t>Compared with the other categories, g</w:t>
      </w:r>
      <w:r w:rsidR="00B63531">
        <w:t xml:space="preserve">lass exports </w:t>
      </w:r>
      <w:r w:rsidR="00204F7A">
        <w:t xml:space="preserve">were </w:t>
      </w:r>
      <w:r w:rsidR="00B63531">
        <w:t xml:space="preserve">relatively low throughout the </w:t>
      </w:r>
      <w:r w:rsidR="00204F7A">
        <w:t>year</w:t>
      </w:r>
      <w:r>
        <w:t>. A</w:t>
      </w:r>
      <w:r w:rsidR="00B63531">
        <w:t xml:space="preserve"> strong peak in early 2020 </w:t>
      </w:r>
      <w:r>
        <w:t xml:space="preserve">was </w:t>
      </w:r>
      <w:r w:rsidR="00B63531">
        <w:t xml:space="preserve">followed by a drop back to just eight tonnes in June. </w:t>
      </w:r>
    </w:p>
    <w:p w14:paraId="4B1B373C" w14:textId="541A1670" w:rsidR="004967FE" w:rsidRDefault="00E853E2" w:rsidP="00471095">
      <w:pPr>
        <w:pStyle w:val="BodyText"/>
      </w:pPr>
      <w:r w:rsidRPr="001061CA">
        <w:lastRenderedPageBreak/>
        <w:fldChar w:fldCharType="begin"/>
      </w:r>
      <w:r w:rsidRPr="001061CA">
        <w:instrText xml:space="preserve"> REF _Ref524614896 \h </w:instrText>
      </w:r>
      <w:r w:rsidR="001061CA">
        <w:instrText xml:space="preserve"> \* MERGEFORMAT </w:instrText>
      </w:r>
      <w:r w:rsidRPr="001061CA">
        <w:fldChar w:fldCharType="separate"/>
      </w:r>
      <w:r w:rsidR="009223D9">
        <w:t xml:space="preserve">Figure </w:t>
      </w:r>
      <w:r w:rsidR="009223D9">
        <w:rPr>
          <w:noProof/>
        </w:rPr>
        <w:t>8</w:t>
      </w:r>
      <w:r w:rsidRPr="001061CA">
        <w:fldChar w:fldCharType="end"/>
      </w:r>
      <w:r w:rsidR="00471095" w:rsidRPr="001061CA">
        <w:t xml:space="preserve"> shows exports from Australia </w:t>
      </w:r>
      <w:r w:rsidR="006C4090">
        <w:t>between July 201</w:t>
      </w:r>
      <w:r w:rsidR="0079781A">
        <w:t>8</w:t>
      </w:r>
      <w:r w:rsidR="006C4090">
        <w:t xml:space="preserve"> and June 2020</w:t>
      </w:r>
      <w:r w:rsidR="00471095" w:rsidRPr="001061CA">
        <w:t xml:space="preserve">, </w:t>
      </w:r>
      <w:r w:rsidR="003B443A" w:rsidRPr="001061CA">
        <w:t>ranking the six destinations receiv</w:t>
      </w:r>
      <w:r w:rsidR="00313ED4" w:rsidRPr="001061CA">
        <w:t>ing</w:t>
      </w:r>
      <w:r w:rsidR="003B443A" w:rsidRPr="001061CA">
        <w:t xml:space="preserve"> the most materials</w:t>
      </w:r>
      <w:r w:rsidR="00C92105">
        <w:t xml:space="preserve"> </w:t>
      </w:r>
      <w:r w:rsidR="001004C1">
        <w:t>(ranked from the bottom)</w:t>
      </w:r>
      <w:r w:rsidR="003B443A" w:rsidRPr="001061CA">
        <w:t>.</w:t>
      </w:r>
      <w:r w:rsidR="00721AB7" w:rsidRPr="001061CA">
        <w:t xml:space="preserve"> </w:t>
      </w:r>
      <w:r w:rsidR="006C4090">
        <w:t>Indonesia</w:t>
      </w:r>
      <w:r w:rsidR="001004C1">
        <w:t xml:space="preserve"> was our biggest export destination, </w:t>
      </w:r>
      <w:r w:rsidR="006C4090">
        <w:t xml:space="preserve">receiving mainly scrap metals and paper </w:t>
      </w:r>
      <w:r w:rsidR="00DB6FAC">
        <w:t>and</w:t>
      </w:r>
      <w:r w:rsidR="006C4090">
        <w:t xml:space="preserve"> cardboard</w:t>
      </w:r>
      <w:r w:rsidR="001004C1">
        <w:t xml:space="preserve">. </w:t>
      </w:r>
      <w:r w:rsidR="00B851E6">
        <w:t>For 2019-20 only, the ranking is similar except that Bangladesh jumps to second place.</w:t>
      </w:r>
    </w:p>
    <w:p w14:paraId="5C6F9E62" w14:textId="24301CBA" w:rsidR="00471095" w:rsidRDefault="00471095" w:rsidP="0029695A">
      <w:pPr>
        <w:pStyle w:val="Caption"/>
        <w:spacing w:after="120"/>
      </w:pPr>
      <w:bookmarkStart w:id="13" w:name="_Ref524614896"/>
      <w:r>
        <w:t xml:space="preserve">Figure </w:t>
      </w:r>
      <w:r>
        <w:rPr>
          <w:noProof/>
        </w:rPr>
        <w:fldChar w:fldCharType="begin"/>
      </w:r>
      <w:r>
        <w:rPr>
          <w:noProof/>
        </w:rPr>
        <w:instrText xml:space="preserve"> SEQ Figure \* ARABIC </w:instrText>
      </w:r>
      <w:r>
        <w:rPr>
          <w:noProof/>
        </w:rPr>
        <w:fldChar w:fldCharType="separate"/>
      </w:r>
      <w:r w:rsidR="009223D9">
        <w:rPr>
          <w:noProof/>
        </w:rPr>
        <w:t>8</w:t>
      </w:r>
      <w:r>
        <w:rPr>
          <w:noProof/>
        </w:rPr>
        <w:fldChar w:fldCharType="end"/>
      </w:r>
      <w:bookmarkEnd w:id="13"/>
      <w:r>
        <w:tab/>
        <w:t>Exports of waste from Australia by</w:t>
      </w:r>
      <w:r w:rsidR="003B443A">
        <w:t xml:space="preserve"> destination and</w:t>
      </w:r>
      <w:r>
        <w:t xml:space="preserve"> month, </w:t>
      </w:r>
      <w:r w:rsidR="00D84D73">
        <w:t>July 2017-June </w:t>
      </w:r>
      <w:r w:rsidR="00437187">
        <w:t>20</w:t>
      </w:r>
      <w:r w:rsidR="00C96013">
        <w:t xml:space="preserve"> (</w:t>
      </w:r>
      <w:r w:rsidR="00B851E6">
        <w:t>kt</w:t>
      </w:r>
      <w:r w:rsidR="00C96013">
        <w:t>)</w:t>
      </w:r>
    </w:p>
    <w:p w14:paraId="326BC1F8" w14:textId="55DEDCB8" w:rsidR="00B27C38" w:rsidRDefault="00B851E6" w:rsidP="00B27C38">
      <w:pPr>
        <w:pStyle w:val="BodyText"/>
      </w:pPr>
      <w:r w:rsidRPr="00B851E6">
        <w:rPr>
          <w:noProof/>
        </w:rPr>
        <w:drawing>
          <wp:inline distT="0" distB="0" distL="0" distR="0" wp14:anchorId="05284005" wp14:editId="52333AAA">
            <wp:extent cx="6048375" cy="2679700"/>
            <wp:effectExtent l="0" t="0" r="9525"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048375" cy="2679700"/>
                    </a:xfrm>
                    <a:prstGeom prst="rect">
                      <a:avLst/>
                    </a:prstGeom>
                  </pic:spPr>
                </pic:pic>
              </a:graphicData>
            </a:graphic>
          </wp:inline>
        </w:drawing>
      </w:r>
    </w:p>
    <w:p w14:paraId="61C656CF" w14:textId="77777777" w:rsidR="00E16399" w:rsidRPr="00B27C38" w:rsidRDefault="00E16399" w:rsidP="00B27C38">
      <w:pPr>
        <w:pStyle w:val="BodyText"/>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826"/>
      </w:tblGrid>
      <w:tr w:rsidR="002B2C82" w14:paraId="217A5177" w14:textId="77777777" w:rsidTr="001B6294">
        <w:tc>
          <w:tcPr>
            <w:tcW w:w="2689" w:type="dxa"/>
            <w:vMerge w:val="restart"/>
            <w:tcMar>
              <w:left w:w="0" w:type="dxa"/>
            </w:tcMar>
          </w:tcPr>
          <w:p w14:paraId="193D78A9" w14:textId="063F7584" w:rsidR="002B2C82" w:rsidRDefault="002B2C82" w:rsidP="002B2C82">
            <w:pPr>
              <w:pStyle w:val="BodyText"/>
            </w:pPr>
            <w:r w:rsidRPr="00CE18DB">
              <w:t xml:space="preserve">Australia’s 2019-20 exports of waste-derived </w:t>
            </w:r>
            <w:r w:rsidR="00DB6FAC">
              <w:t xml:space="preserve">materials </w:t>
            </w:r>
            <w:r w:rsidR="009C1852">
              <w:t>were</w:t>
            </w:r>
            <w:r>
              <w:t xml:space="preserve"> from the</w:t>
            </w:r>
            <w:r w:rsidRPr="00CE18DB">
              <w:t xml:space="preserve"> jurisdictions shown in </w:t>
            </w:r>
            <w:r w:rsidRPr="00CE18DB">
              <w:fldChar w:fldCharType="begin"/>
            </w:r>
            <w:r w:rsidRPr="00CE18DB">
              <w:instrText xml:space="preserve"> REF _Ref17648775 \h  \* MERGEFORMAT </w:instrText>
            </w:r>
            <w:r w:rsidRPr="00CE18DB">
              <w:fldChar w:fldCharType="separate"/>
            </w:r>
            <w:r w:rsidR="009223D9">
              <w:t xml:space="preserve">Figure </w:t>
            </w:r>
            <w:r w:rsidR="009223D9">
              <w:rPr>
                <w:noProof/>
              </w:rPr>
              <w:t>9</w:t>
            </w:r>
            <w:r w:rsidRPr="00CE18DB">
              <w:fldChar w:fldCharType="end"/>
            </w:r>
            <w:r w:rsidRPr="00CE18DB">
              <w:t>. Victoria exported the most overall</w:t>
            </w:r>
            <w:r>
              <w:t xml:space="preserve">, at 1.1 Mt or 26%. Queensland, NSW and WA were also large exporters. </w:t>
            </w:r>
          </w:p>
          <w:p w14:paraId="664A9A99" w14:textId="77777777" w:rsidR="002B2C82" w:rsidRDefault="002B2C82" w:rsidP="002B2C82">
            <w:pPr>
              <w:pStyle w:val="BodyText"/>
            </w:pPr>
          </w:p>
          <w:p w14:paraId="5719CA0E" w14:textId="4B41F8D7" w:rsidR="002B2C82" w:rsidRDefault="002B2C82" w:rsidP="002B2C82">
            <w:pPr>
              <w:pStyle w:val="BodyText"/>
            </w:pPr>
            <w:r>
              <w:t>Victoria exported the most paper and cardboard</w:t>
            </w:r>
            <w:r w:rsidR="009C1852">
              <w:t xml:space="preserve"> (416 kt)</w:t>
            </w:r>
            <w:r>
              <w:t>, plastics</w:t>
            </w:r>
            <w:r w:rsidR="009C1852">
              <w:t xml:space="preserve"> (53 kt)</w:t>
            </w:r>
            <w:r>
              <w:t xml:space="preserve"> and tyres</w:t>
            </w:r>
            <w:r w:rsidR="009C1852">
              <w:t xml:space="preserve"> (30 kt)</w:t>
            </w:r>
            <w:r>
              <w:t>. Queensland exported the most metals</w:t>
            </w:r>
            <w:r w:rsidR="009C1852">
              <w:t xml:space="preserve"> (776 kt)</w:t>
            </w:r>
            <w:r>
              <w:t xml:space="preserve">. NSW exported the most hazardous materials </w:t>
            </w:r>
            <w:r w:rsidR="009C1852">
              <w:t xml:space="preserve">(33 kt) </w:t>
            </w:r>
            <w:r>
              <w:t>and glass</w:t>
            </w:r>
            <w:r w:rsidR="009C1852">
              <w:t xml:space="preserve"> (22 kt)</w:t>
            </w:r>
            <w:r>
              <w:t>.</w:t>
            </w:r>
          </w:p>
          <w:p w14:paraId="4AF9E4ED" w14:textId="77777777" w:rsidR="002B2C82" w:rsidRDefault="002B2C82" w:rsidP="009806B1">
            <w:pPr>
              <w:pStyle w:val="BodyText"/>
            </w:pPr>
          </w:p>
        </w:tc>
        <w:tc>
          <w:tcPr>
            <w:tcW w:w="6826" w:type="dxa"/>
          </w:tcPr>
          <w:p w14:paraId="6FD0347B" w14:textId="59A1D7E5" w:rsidR="002B2C82" w:rsidRPr="002B2C82" w:rsidRDefault="002B2C82" w:rsidP="002B2C82">
            <w:pPr>
              <w:pStyle w:val="Caption"/>
              <w:spacing w:before="0" w:after="120"/>
              <w:rPr>
                <w:i w:val="0"/>
                <w:szCs w:val="22"/>
              </w:rPr>
            </w:pPr>
            <w:bookmarkStart w:id="14" w:name="_Ref524614902"/>
            <w:bookmarkStart w:id="15" w:name="_Ref17648775"/>
            <w:r>
              <w:t xml:space="preserve">Figure </w:t>
            </w:r>
            <w:r>
              <w:rPr>
                <w:noProof/>
              </w:rPr>
              <w:fldChar w:fldCharType="begin"/>
            </w:r>
            <w:r>
              <w:rPr>
                <w:noProof/>
              </w:rPr>
              <w:instrText xml:space="preserve"> SEQ Figure \* ARABIC </w:instrText>
            </w:r>
            <w:r>
              <w:rPr>
                <w:noProof/>
              </w:rPr>
              <w:fldChar w:fldCharType="separate"/>
            </w:r>
            <w:r w:rsidR="009223D9">
              <w:rPr>
                <w:noProof/>
              </w:rPr>
              <w:t>9</w:t>
            </w:r>
            <w:r>
              <w:rPr>
                <w:noProof/>
              </w:rPr>
              <w:fldChar w:fldCharType="end"/>
            </w:r>
            <w:bookmarkEnd w:id="14"/>
            <w:bookmarkEnd w:id="15"/>
            <w:r>
              <w:tab/>
            </w:r>
            <w:r w:rsidRPr="009806B1">
              <w:rPr>
                <w:szCs w:val="22"/>
              </w:rPr>
              <w:t>Australian</w:t>
            </w:r>
            <w:r>
              <w:rPr>
                <w:szCs w:val="22"/>
              </w:rPr>
              <w:t xml:space="preserve"> 2019-20 waste exports by jurisdiction of origin (kt)</w:t>
            </w:r>
          </w:p>
        </w:tc>
      </w:tr>
      <w:tr w:rsidR="002B2C82" w14:paraId="44C13E55" w14:textId="77777777" w:rsidTr="001B6294">
        <w:tc>
          <w:tcPr>
            <w:tcW w:w="2689" w:type="dxa"/>
            <w:vMerge/>
          </w:tcPr>
          <w:p w14:paraId="6C940297" w14:textId="77777777" w:rsidR="002B2C82" w:rsidRDefault="002B2C82" w:rsidP="009806B1">
            <w:pPr>
              <w:pStyle w:val="BodyText"/>
            </w:pPr>
          </w:p>
        </w:tc>
        <w:tc>
          <w:tcPr>
            <w:tcW w:w="6826" w:type="dxa"/>
          </w:tcPr>
          <w:p w14:paraId="05345C30" w14:textId="038DB449" w:rsidR="002B2C82" w:rsidRDefault="002B2C82" w:rsidP="009806B1">
            <w:pPr>
              <w:pStyle w:val="BodyText"/>
            </w:pPr>
            <w:r>
              <w:rPr>
                <w:noProof/>
              </w:rPr>
              <w:drawing>
                <wp:inline distT="0" distB="0" distL="0" distR="0" wp14:anchorId="6E4A0F1C" wp14:editId="2A342F16">
                  <wp:extent cx="3980815" cy="2784125"/>
                  <wp:effectExtent l="0" t="0" r="63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05192" cy="2801174"/>
                          </a:xfrm>
                          <a:prstGeom prst="rect">
                            <a:avLst/>
                          </a:prstGeom>
                          <a:noFill/>
                        </pic:spPr>
                      </pic:pic>
                    </a:graphicData>
                  </a:graphic>
                </wp:inline>
              </w:drawing>
            </w:r>
          </w:p>
        </w:tc>
      </w:tr>
    </w:tbl>
    <w:bookmarkStart w:id="16" w:name="_Ref17149444"/>
    <w:p w14:paraId="796A3F64" w14:textId="352F11CC" w:rsidR="00B53831" w:rsidRDefault="00F34298" w:rsidP="00B53831">
      <w:pPr>
        <w:pStyle w:val="BodyText"/>
      </w:pPr>
      <w:r>
        <w:fldChar w:fldCharType="begin"/>
      </w:r>
      <w:r>
        <w:instrText xml:space="preserve"> REF _Ref17648827 \h </w:instrText>
      </w:r>
      <w:r>
        <w:fldChar w:fldCharType="separate"/>
      </w:r>
      <w:r w:rsidR="009223D9">
        <w:t xml:space="preserve">Figure </w:t>
      </w:r>
      <w:r w:rsidR="009223D9">
        <w:rPr>
          <w:noProof/>
        </w:rPr>
        <w:t>10</w:t>
      </w:r>
      <w:r>
        <w:fldChar w:fldCharType="end"/>
      </w:r>
      <w:r>
        <w:t xml:space="preserve"> </w:t>
      </w:r>
      <w:r w:rsidR="00B53831" w:rsidRPr="00B53831">
        <w:t>presents monthly trends in the</w:t>
      </w:r>
      <w:r w:rsidR="00AF2D03">
        <w:t xml:space="preserve"> reported</w:t>
      </w:r>
      <w:r w:rsidR="00B53831" w:rsidRPr="00B53831">
        <w:t xml:space="preserve"> unit </w:t>
      </w:r>
      <w:r w:rsidR="00AF2D03">
        <w:t xml:space="preserve">values </w:t>
      </w:r>
      <w:r w:rsidR="00B53831" w:rsidRPr="00B53831">
        <w:t>of key waste</w:t>
      </w:r>
      <w:r w:rsidR="00B23386">
        <w:t>-derived material</w:t>
      </w:r>
      <w:r w:rsidR="00B53831" w:rsidRPr="00B53831">
        <w:t xml:space="preserve"> exports </w:t>
      </w:r>
      <w:r w:rsidR="007616D6">
        <w:t>from July 2017 to June 2020</w:t>
      </w:r>
      <w:r w:rsidR="00312216">
        <w:t xml:space="preserve">. </w:t>
      </w:r>
      <w:r w:rsidR="00AF2D03">
        <w:t xml:space="preserve">Average metals values have oscillated </w:t>
      </w:r>
      <w:r w:rsidR="00BE68D2">
        <w:t>between $588 and $998/t but</w:t>
      </w:r>
      <w:r w:rsidR="00AF2D03">
        <w:t xml:space="preserve"> have been at the low end in the last three months. Average p</w:t>
      </w:r>
      <w:r w:rsidR="00312216">
        <w:t>aper and cardboard</w:t>
      </w:r>
      <w:r w:rsidR="00AF2D03">
        <w:t xml:space="preserve"> values were</w:t>
      </w:r>
      <w:r w:rsidR="007616D6">
        <w:t xml:space="preserve"> relatively consistent. The </w:t>
      </w:r>
      <w:r w:rsidR="00AF2D03">
        <w:t xml:space="preserve">reported value </w:t>
      </w:r>
      <w:r w:rsidR="007616D6">
        <w:t xml:space="preserve">of plastics </w:t>
      </w:r>
      <w:r w:rsidR="00AF2D03">
        <w:t>has largely remained in the $200-$300/t range</w:t>
      </w:r>
      <w:r w:rsidR="007616D6">
        <w:t xml:space="preserve">. </w:t>
      </w:r>
      <w:r w:rsidR="00AF2D03">
        <w:t xml:space="preserve">Reported values of end-of-life tyres </w:t>
      </w:r>
      <w:r w:rsidR="007616D6">
        <w:t>have been volatile but appear to be rising</w:t>
      </w:r>
      <w:r w:rsidR="00AF2D03">
        <w:t xml:space="preserve">, </w:t>
      </w:r>
      <w:r w:rsidR="00BE68D2">
        <w:t>likely to be</w:t>
      </w:r>
      <w:r w:rsidR="00AF2D03">
        <w:t xml:space="preserve"> associated with the Indian restrictions on low value whole-tyre product</w:t>
      </w:r>
      <w:r w:rsidR="004D234B">
        <w:t>.</w:t>
      </w:r>
      <w:r w:rsidR="007616D6">
        <w:t xml:space="preserve"> The </w:t>
      </w:r>
      <w:r w:rsidR="00AF2D03">
        <w:t>reported</w:t>
      </w:r>
      <w:r w:rsidR="007616D6">
        <w:t xml:space="preserve"> </w:t>
      </w:r>
      <w:r w:rsidR="00DB6FAC">
        <w:t xml:space="preserve">value </w:t>
      </w:r>
      <w:r w:rsidR="007616D6">
        <w:t xml:space="preserve">of </w:t>
      </w:r>
      <w:r w:rsidR="00AF2D03">
        <w:t xml:space="preserve">scrap </w:t>
      </w:r>
      <w:r w:rsidR="007616D6">
        <w:t xml:space="preserve">glass </w:t>
      </w:r>
      <w:r w:rsidR="00AF2D03">
        <w:t>has been</w:t>
      </w:r>
      <w:r w:rsidR="007616D6">
        <w:t xml:space="preserve"> </w:t>
      </w:r>
      <w:r w:rsidR="00AF2D03">
        <w:t xml:space="preserve">mostly </w:t>
      </w:r>
      <w:r w:rsidR="007616D6">
        <w:t>consistent</w:t>
      </w:r>
      <w:r w:rsidR="00AF2D03">
        <w:t xml:space="preserve"> and low. The steep </w:t>
      </w:r>
      <w:r w:rsidR="007616D6">
        <w:t xml:space="preserve">spike </w:t>
      </w:r>
      <w:r w:rsidR="00AF2D03">
        <w:t xml:space="preserve">in June 2020 is not significant given </w:t>
      </w:r>
      <w:r w:rsidR="00362AAD">
        <w:t>it applies to only eight tonnes exported</w:t>
      </w:r>
      <w:r w:rsidR="007616D6">
        <w:t xml:space="preserve"> </w:t>
      </w:r>
      <w:r w:rsidR="00AF2D03">
        <w:t xml:space="preserve">in </w:t>
      </w:r>
      <w:r w:rsidR="007616D6">
        <w:t>th</w:t>
      </w:r>
      <w:r w:rsidR="00AF2D03">
        <w:t>at</w:t>
      </w:r>
      <w:r w:rsidR="007616D6">
        <w:t xml:space="preserve"> month</w:t>
      </w:r>
      <w:r w:rsidR="002645CA">
        <w:t>.</w:t>
      </w:r>
      <w:r w:rsidR="007616D6">
        <w:t xml:space="preserve"> </w:t>
      </w:r>
    </w:p>
    <w:p w14:paraId="68770FA9" w14:textId="32F09E9E" w:rsidR="003836B5" w:rsidRDefault="00846447" w:rsidP="00B53831">
      <w:pPr>
        <w:pStyle w:val="Caption"/>
      </w:pPr>
      <w:bookmarkStart w:id="17" w:name="_Ref17643541"/>
      <w:r w:rsidRPr="00F34298">
        <w:rPr>
          <w:rStyle w:val="BodyTextChar"/>
        </w:rPr>
        <w:br w:type="column"/>
      </w:r>
      <w:bookmarkStart w:id="18" w:name="_Ref17648827"/>
      <w:r w:rsidR="00B53831">
        <w:lastRenderedPageBreak/>
        <w:t xml:space="preserve">Figure </w:t>
      </w:r>
      <w:r w:rsidR="003E3241">
        <w:fldChar w:fldCharType="begin"/>
      </w:r>
      <w:r w:rsidR="003E3241">
        <w:instrText xml:space="preserve"> SEQ Figure \* ARABIC </w:instrText>
      </w:r>
      <w:r w:rsidR="003E3241">
        <w:fldChar w:fldCharType="separate"/>
      </w:r>
      <w:r w:rsidR="009223D9">
        <w:rPr>
          <w:noProof/>
        </w:rPr>
        <w:t>10</w:t>
      </w:r>
      <w:r w:rsidR="003E3241">
        <w:rPr>
          <w:noProof/>
        </w:rPr>
        <w:fldChar w:fldCharType="end"/>
      </w:r>
      <w:bookmarkEnd w:id="16"/>
      <w:bookmarkEnd w:id="17"/>
      <w:bookmarkEnd w:id="18"/>
      <w:r w:rsidR="00B53831">
        <w:tab/>
        <w:t xml:space="preserve">Comparison of </w:t>
      </w:r>
      <w:r w:rsidR="00AF2D03">
        <w:t xml:space="preserve">average </w:t>
      </w:r>
      <w:r w:rsidR="00B53831">
        <w:t>unit prices by material, July</w:t>
      </w:r>
      <w:r w:rsidR="00CE18DB">
        <w:t xml:space="preserve"> 2019</w:t>
      </w:r>
      <w:r w:rsidR="00B53831">
        <w:t xml:space="preserve"> </w:t>
      </w:r>
      <w:r w:rsidR="009E7525">
        <w:t>-</w:t>
      </w:r>
      <w:r w:rsidR="00B53831">
        <w:t xml:space="preserve">June </w:t>
      </w:r>
      <w:r w:rsidR="009E7525">
        <w:t>20</w:t>
      </w:r>
      <w:r w:rsidR="00CE18DB">
        <w:t>20</w:t>
      </w:r>
      <w:r w:rsidR="00C96013">
        <w:t xml:space="preserve"> ($/tonne)</w:t>
      </w:r>
    </w:p>
    <w:p w14:paraId="3AA0A973" w14:textId="01822716" w:rsidR="003836B5" w:rsidRDefault="00BE68D2" w:rsidP="007616D6">
      <w:pPr>
        <w:pStyle w:val="BodyText"/>
      </w:pPr>
      <w:r>
        <w:rPr>
          <w:noProof/>
        </w:rPr>
        <w:drawing>
          <wp:inline distT="0" distB="0" distL="0" distR="0" wp14:anchorId="356E160C" wp14:editId="503A778A">
            <wp:extent cx="5683389" cy="2339841"/>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4156"/>
                    <a:stretch/>
                  </pic:blipFill>
                  <pic:spPr bwMode="auto">
                    <a:xfrm>
                      <a:off x="0" y="0"/>
                      <a:ext cx="5711649" cy="2351475"/>
                    </a:xfrm>
                    <a:prstGeom prst="rect">
                      <a:avLst/>
                    </a:prstGeom>
                    <a:noFill/>
                    <a:ln>
                      <a:noFill/>
                    </a:ln>
                    <a:extLst>
                      <a:ext uri="{53640926-AAD7-44D8-BBD7-CCE9431645EC}">
                        <a14:shadowObscured xmlns:a14="http://schemas.microsoft.com/office/drawing/2010/main"/>
                      </a:ext>
                    </a:extLst>
                  </pic:spPr>
                </pic:pic>
              </a:graphicData>
            </a:graphic>
          </wp:inline>
        </w:drawing>
      </w:r>
    </w:p>
    <w:p w14:paraId="1092F0C9" w14:textId="77777777" w:rsidR="00E16399" w:rsidRDefault="00E16399" w:rsidP="007616D6">
      <w:pPr>
        <w:pStyle w:val="BodyText"/>
      </w:pPr>
    </w:p>
    <w:p w14:paraId="32A69206" w14:textId="25BA7A66" w:rsidR="00B06277" w:rsidRDefault="00B06277" w:rsidP="003364F6">
      <w:pPr>
        <w:pStyle w:val="Heading1"/>
      </w:pPr>
      <w:r>
        <w:t>June 20</w:t>
      </w:r>
      <w:r w:rsidR="00E13219">
        <w:t>20</w:t>
      </w:r>
      <w:r>
        <w:t xml:space="preserve"> in focus</w:t>
      </w:r>
    </w:p>
    <w:p w14:paraId="5EEBA1A4" w14:textId="4CD7A508" w:rsidR="0035086C" w:rsidRDefault="0035086C" w:rsidP="0035086C">
      <w:pPr>
        <w:pStyle w:val="BodyText"/>
      </w:pPr>
      <w:r>
        <w:t>In June</w:t>
      </w:r>
      <w:r w:rsidR="00362AAD">
        <w:t xml:space="preserve"> 2020</w:t>
      </w:r>
      <w:r>
        <w:t xml:space="preserve">, Australia exported about </w:t>
      </w:r>
      <w:r w:rsidR="00E13219">
        <w:t>354</w:t>
      </w:r>
      <w:r w:rsidR="009A65C5">
        <w:t xml:space="preserve"> kt</w:t>
      </w:r>
      <w:r>
        <w:t xml:space="preserve"> of waste</w:t>
      </w:r>
      <w:r w:rsidR="00B23386">
        <w:t>-derived materials</w:t>
      </w:r>
      <w:r>
        <w:t xml:space="preserve"> with a </w:t>
      </w:r>
      <w:r w:rsidR="00B23386">
        <w:t xml:space="preserve">reported </w:t>
      </w:r>
      <w:r>
        <w:t>value of $</w:t>
      </w:r>
      <w:r w:rsidR="00E13219">
        <w:t>234</w:t>
      </w:r>
      <w:r w:rsidR="00D84D73">
        <w:t> </w:t>
      </w:r>
      <w:r>
        <w:t xml:space="preserve">million. </w:t>
      </w:r>
      <w:r w:rsidR="00B06277">
        <w:t>Compared with May</w:t>
      </w:r>
      <w:r w:rsidR="00362AAD">
        <w:t xml:space="preserve"> 2020</w:t>
      </w:r>
      <w:r w:rsidR="00B06277">
        <w:t>, t</w:t>
      </w:r>
      <w:r>
        <w:t xml:space="preserve">his </w:t>
      </w:r>
      <w:r w:rsidR="00B06277">
        <w:t xml:space="preserve">is </w:t>
      </w:r>
      <w:r>
        <w:t>a</w:t>
      </w:r>
      <w:r w:rsidR="00B23386">
        <w:t xml:space="preserve"> </w:t>
      </w:r>
      <w:r w:rsidR="00E13219">
        <w:t>20</w:t>
      </w:r>
      <w:r w:rsidR="00B23386">
        <w:t xml:space="preserve">% </w:t>
      </w:r>
      <w:r>
        <w:t xml:space="preserve">increase in quantity </w:t>
      </w:r>
      <w:r w:rsidR="00362AAD">
        <w:t xml:space="preserve">(60 kt) </w:t>
      </w:r>
      <w:r>
        <w:t xml:space="preserve">and </w:t>
      </w:r>
      <w:r w:rsidR="00B06277">
        <w:t xml:space="preserve">a </w:t>
      </w:r>
      <w:r>
        <w:t>2</w:t>
      </w:r>
      <w:r w:rsidR="00E13219">
        <w:t>3</w:t>
      </w:r>
      <w:r>
        <w:t xml:space="preserve">% </w:t>
      </w:r>
      <w:r w:rsidR="00B06277">
        <w:t>increase in the value</w:t>
      </w:r>
      <w:r w:rsidR="00362AAD">
        <w:t xml:space="preserve"> ($44 million)</w:t>
      </w:r>
      <w:r>
        <w:t>.</w:t>
      </w:r>
      <w:r w:rsidR="00B06277">
        <w:t xml:space="preserve"> </w:t>
      </w:r>
      <w:r w:rsidR="00E13219">
        <w:t>Indonesia</w:t>
      </w:r>
      <w:r>
        <w:t xml:space="preserve"> was the top receiver of waste</w:t>
      </w:r>
      <w:r w:rsidR="00B23386">
        <w:t>-derived</w:t>
      </w:r>
      <w:r>
        <w:t xml:space="preserve"> exports for the month, </w:t>
      </w:r>
      <w:r w:rsidRPr="00DC187F">
        <w:t xml:space="preserve">receiving </w:t>
      </w:r>
      <w:r w:rsidR="00DC187F" w:rsidRPr="00DC187F">
        <w:t xml:space="preserve">a mix of paper </w:t>
      </w:r>
      <w:r w:rsidR="00C07895">
        <w:t>and</w:t>
      </w:r>
      <w:r w:rsidR="00DC187F" w:rsidRPr="00DC187F">
        <w:t xml:space="preserve"> cardboard (54%</w:t>
      </w:r>
      <w:r w:rsidR="00C95AF1">
        <w:t>, 34 kt</w:t>
      </w:r>
      <w:r w:rsidR="00DC187F" w:rsidRPr="00DC187F">
        <w:t>) and metals (41%</w:t>
      </w:r>
      <w:r w:rsidR="00C95AF1">
        <w:t>, 26 kt</w:t>
      </w:r>
      <w:r w:rsidR="00DC187F" w:rsidRPr="00DC187F">
        <w:t>)</w:t>
      </w:r>
      <w:r w:rsidRPr="00DC187F">
        <w:t>.</w:t>
      </w:r>
      <w:r>
        <w:t xml:space="preserve"> </w:t>
      </w:r>
      <w:r w:rsidR="00DC187F">
        <w:t>India ranked second highest</w:t>
      </w:r>
      <w:r w:rsidR="00C95AF1">
        <w:t>,</w:t>
      </w:r>
      <w:r w:rsidR="00DC187F">
        <w:t xml:space="preserve"> followed by </w:t>
      </w:r>
      <w:r>
        <w:t>Vietnam.</w:t>
      </w:r>
      <w:r w:rsidR="00B06277">
        <w:t xml:space="preserve"> W</w:t>
      </w:r>
      <w:r>
        <w:t>aste exports</w:t>
      </w:r>
      <w:r w:rsidR="00DC187F">
        <w:t xml:space="preserve"> for glass</w:t>
      </w:r>
      <w:r>
        <w:t xml:space="preserve"> </w:t>
      </w:r>
      <w:r w:rsidR="009A65C5">
        <w:t>fell</w:t>
      </w:r>
      <w:r>
        <w:t xml:space="preserve"> </w:t>
      </w:r>
      <w:r w:rsidR="00DC187F">
        <w:t xml:space="preserve">to just </w:t>
      </w:r>
      <w:r w:rsidR="009A65C5">
        <w:t>eight</w:t>
      </w:r>
      <w:r w:rsidR="00DC187F">
        <w:t> tonnes</w:t>
      </w:r>
      <w:r w:rsidR="009A65C5">
        <w:t>, suggesting</w:t>
      </w:r>
      <w:r w:rsidR="00DC187F">
        <w:t xml:space="preserve"> the impending export ban is starting to have an impact. Tyres and materials in the </w:t>
      </w:r>
      <w:r w:rsidR="009A65C5">
        <w:t>‘</w:t>
      </w:r>
      <w:r w:rsidR="00DC187F">
        <w:t>other</w:t>
      </w:r>
      <w:r w:rsidR="009A65C5">
        <w:t>’</w:t>
      </w:r>
      <w:r w:rsidR="00DC187F">
        <w:t xml:space="preserve"> waste category also </w:t>
      </w:r>
      <w:r w:rsidR="009A65C5">
        <w:t xml:space="preserve">declined </w:t>
      </w:r>
      <w:r w:rsidR="00DC187F">
        <w:t>slightly</w:t>
      </w:r>
      <w:r w:rsidR="00B06277">
        <w:t xml:space="preserve">. </w:t>
      </w:r>
      <w:r w:rsidR="00C07895">
        <w:t>Exports of a</w:t>
      </w:r>
      <w:r w:rsidR="00DC187F">
        <w:t xml:space="preserve">ll other materials increased. </w:t>
      </w:r>
      <w:r w:rsidR="00B06277">
        <w:t>The</w:t>
      </w:r>
      <w:r>
        <w:t xml:space="preserve"> largest </w:t>
      </w:r>
      <w:r w:rsidR="00DC187F">
        <w:t xml:space="preserve">tonnage </w:t>
      </w:r>
      <w:r>
        <w:t>increase</w:t>
      </w:r>
      <w:r w:rsidR="00B06277">
        <w:t xml:space="preserve"> was in scrap</w:t>
      </w:r>
      <w:r>
        <w:t xml:space="preserve"> metal</w:t>
      </w:r>
      <w:r w:rsidR="00B06277">
        <w:t>s</w:t>
      </w:r>
      <w:r w:rsidR="00C07895">
        <w:t>,</w:t>
      </w:r>
      <w:r>
        <w:t xml:space="preserve"> </w:t>
      </w:r>
      <w:r w:rsidR="00DC187F">
        <w:t>from 174</w:t>
      </w:r>
      <w:r w:rsidR="009A65C5">
        <w:t xml:space="preserve"> to </w:t>
      </w:r>
      <w:r w:rsidR="00DC187F">
        <w:t>213</w:t>
      </w:r>
      <w:r w:rsidR="009A65C5">
        <w:t xml:space="preserve"> kt</w:t>
      </w:r>
      <w:r>
        <w:t xml:space="preserve">. </w:t>
      </w:r>
      <w:r w:rsidR="004900CC">
        <w:t>The largest percentage increases were p</w:t>
      </w:r>
      <w:r>
        <w:t>lastics</w:t>
      </w:r>
      <w:r w:rsidR="004900CC">
        <w:t xml:space="preserve"> (47%) and paper </w:t>
      </w:r>
      <w:r w:rsidR="009A65C5">
        <w:t>and</w:t>
      </w:r>
      <w:r w:rsidR="004900CC">
        <w:t xml:space="preserve"> cardboard (36%).</w:t>
      </w:r>
    </w:p>
    <w:p w14:paraId="4D8E71F4" w14:textId="77777777" w:rsidR="009165A1" w:rsidRDefault="009165A1" w:rsidP="005D1801">
      <w:pPr>
        <w:pStyle w:val="BodyText"/>
      </w:pPr>
    </w:p>
    <w:p w14:paraId="7975AE74" w14:textId="77777777" w:rsidR="007A7E21" w:rsidRDefault="007A7E21" w:rsidP="000B1D5B">
      <w:pPr>
        <w:pStyle w:val="Heading1"/>
      </w:pPr>
      <w:r>
        <w:t>Context – Australian waste exports compared with overall waste flows</w:t>
      </w:r>
    </w:p>
    <w:p w14:paraId="32B2A42F" w14:textId="003C2AA0" w:rsidR="00A1119F" w:rsidRPr="004329A2" w:rsidRDefault="007A7E21" w:rsidP="007A7E21">
      <w:pPr>
        <w:pStyle w:val="BodyText"/>
      </w:pPr>
      <w:r w:rsidRPr="00972579">
        <w:t xml:space="preserve">The </w:t>
      </w:r>
      <w:r w:rsidR="009A65C5" w:rsidRPr="000B1D5B">
        <w:rPr>
          <w:i/>
          <w:iCs/>
        </w:rPr>
        <w:t>National Waste Report 2020</w:t>
      </w:r>
      <w:r w:rsidR="009A65C5">
        <w:t xml:space="preserve"> </w:t>
      </w:r>
      <w:r w:rsidR="000B1D5B">
        <w:t xml:space="preserve">(unpublished at the time of writing) </w:t>
      </w:r>
      <w:r w:rsidRPr="00972579">
        <w:t>ha</w:t>
      </w:r>
      <w:r w:rsidR="009A65C5">
        <w:t>s</w:t>
      </w:r>
      <w:r w:rsidRPr="00972579">
        <w:t xml:space="preserve"> Australia generating </w:t>
      </w:r>
      <w:r w:rsidR="00173C4D" w:rsidRPr="00972579">
        <w:t>74</w:t>
      </w:r>
      <w:r w:rsidR="00D84D73">
        <w:t> </w:t>
      </w:r>
      <w:r w:rsidRPr="00972579">
        <w:t>Mt of waste</w:t>
      </w:r>
      <w:r w:rsidR="009A65C5">
        <w:t xml:space="preserve"> in </w:t>
      </w:r>
      <w:r w:rsidR="009A65C5" w:rsidRPr="00972579">
        <w:t>2018-19</w:t>
      </w:r>
      <w:r w:rsidR="00DC0074">
        <w:t xml:space="preserve"> and recycling or recovering energy from </w:t>
      </w:r>
      <w:r w:rsidR="00972579" w:rsidRPr="00972579">
        <w:t>6</w:t>
      </w:r>
      <w:r w:rsidR="00EC4999">
        <w:t>0</w:t>
      </w:r>
      <w:r w:rsidR="009F5258" w:rsidRPr="00972579">
        <w:t>% (</w:t>
      </w:r>
      <w:r w:rsidR="00972579" w:rsidRPr="00972579">
        <w:t>43</w:t>
      </w:r>
      <w:r w:rsidR="00D84D73">
        <w:t> </w:t>
      </w:r>
      <w:r w:rsidRPr="00972579">
        <w:t>Mt</w:t>
      </w:r>
      <w:r w:rsidR="00DC0074">
        <w:t>)</w:t>
      </w:r>
      <w:r w:rsidRPr="00972579">
        <w:t xml:space="preserve">. </w:t>
      </w:r>
      <w:r w:rsidR="00EC4999">
        <w:t>The</w:t>
      </w:r>
      <w:r w:rsidRPr="00972579">
        <w:t xml:space="preserve"> </w:t>
      </w:r>
      <w:r w:rsidR="00A94175" w:rsidRPr="00972579">
        <w:t>20</w:t>
      </w:r>
      <w:r w:rsidR="00972579" w:rsidRPr="00972579">
        <w:t>19</w:t>
      </w:r>
      <w:r w:rsidR="009A65C5">
        <w:noBreakHyphen/>
      </w:r>
      <w:r w:rsidR="00972579" w:rsidRPr="00972579">
        <w:t>20</w:t>
      </w:r>
      <w:r w:rsidR="00EC4999">
        <w:t xml:space="preserve"> export total of </w:t>
      </w:r>
      <w:r w:rsidR="00A94175" w:rsidRPr="00972579">
        <w:t>4.</w:t>
      </w:r>
      <w:r w:rsidR="00972579" w:rsidRPr="00972579">
        <w:t>2</w:t>
      </w:r>
      <w:r w:rsidR="00D84D73">
        <w:t> </w:t>
      </w:r>
      <w:r w:rsidRPr="00972579">
        <w:t xml:space="preserve">Mt of </w:t>
      </w:r>
      <w:r w:rsidR="00932F89" w:rsidRPr="00972579">
        <w:t>waste</w:t>
      </w:r>
      <w:r w:rsidR="00B23386" w:rsidRPr="00972579">
        <w:t>-derived materials</w:t>
      </w:r>
      <w:r w:rsidR="008E7262" w:rsidRPr="004329A2">
        <w:t xml:space="preserve"> </w:t>
      </w:r>
      <w:r w:rsidR="00EC4999">
        <w:t xml:space="preserve">therefore </w:t>
      </w:r>
      <w:r w:rsidR="008E7262" w:rsidRPr="004329A2">
        <w:t>represent</w:t>
      </w:r>
      <w:r w:rsidR="00EC4999">
        <w:t>s</w:t>
      </w:r>
      <w:r w:rsidR="008E7262" w:rsidRPr="004329A2">
        <w:t xml:space="preserve"> </w:t>
      </w:r>
      <w:r w:rsidR="001D0320" w:rsidRPr="004329A2">
        <w:t>about</w:t>
      </w:r>
      <w:r w:rsidR="003E25A3" w:rsidRPr="004329A2">
        <w:t xml:space="preserve"> </w:t>
      </w:r>
      <w:r w:rsidR="00D56ABC" w:rsidRPr="004329A2">
        <w:t>1</w:t>
      </w:r>
      <w:r w:rsidR="004301B5" w:rsidRPr="004329A2">
        <w:t>0</w:t>
      </w:r>
      <w:r w:rsidR="003E25A3" w:rsidRPr="004329A2">
        <w:t xml:space="preserve">% of </w:t>
      </w:r>
      <w:r w:rsidR="001D0320" w:rsidRPr="004329A2">
        <w:t xml:space="preserve">national </w:t>
      </w:r>
      <w:r w:rsidR="00DC0074">
        <w:t>recovery</w:t>
      </w:r>
      <w:r w:rsidR="003E25A3" w:rsidRPr="004329A2">
        <w:t xml:space="preserve"> and </w:t>
      </w:r>
      <w:r w:rsidR="004329A2" w:rsidRPr="004329A2">
        <w:t>6</w:t>
      </w:r>
      <w:r w:rsidR="003E25A3" w:rsidRPr="004329A2">
        <w:t xml:space="preserve">% of </w:t>
      </w:r>
      <w:r w:rsidR="001D0320" w:rsidRPr="004329A2">
        <w:t>national</w:t>
      </w:r>
      <w:r w:rsidR="003E25A3" w:rsidRPr="004329A2">
        <w:t xml:space="preserve"> waste generation</w:t>
      </w:r>
      <w:r w:rsidRPr="004329A2">
        <w:t xml:space="preserve">. </w:t>
      </w:r>
      <w:r w:rsidR="003E25A3" w:rsidRPr="004329A2">
        <w:fldChar w:fldCharType="begin"/>
      </w:r>
      <w:r w:rsidR="003E25A3" w:rsidRPr="004329A2">
        <w:instrText xml:space="preserve"> REF _Ref524615648 \h </w:instrText>
      </w:r>
      <w:r w:rsidR="00C92126" w:rsidRPr="004329A2">
        <w:instrText xml:space="preserve"> \* MERGEFORMAT </w:instrText>
      </w:r>
      <w:r w:rsidR="003E25A3" w:rsidRPr="004329A2">
        <w:fldChar w:fldCharType="separate"/>
      </w:r>
      <w:r w:rsidR="009223D9">
        <w:t xml:space="preserve">Table </w:t>
      </w:r>
      <w:r w:rsidR="009223D9">
        <w:rPr>
          <w:noProof/>
        </w:rPr>
        <w:t>1</w:t>
      </w:r>
      <w:r w:rsidR="003E25A3" w:rsidRPr="004329A2">
        <w:fldChar w:fldCharType="end"/>
      </w:r>
      <w:r w:rsidR="00197139" w:rsidRPr="004329A2">
        <w:t xml:space="preserve"> </w:t>
      </w:r>
      <w:r w:rsidRPr="004329A2">
        <w:t>compares</w:t>
      </w:r>
      <w:r w:rsidR="00DC0074">
        <w:t xml:space="preserve"> recovered</w:t>
      </w:r>
      <w:r w:rsidRPr="004329A2">
        <w:t xml:space="preserve"> </w:t>
      </w:r>
      <w:r w:rsidR="00825A4A" w:rsidRPr="004329A2">
        <w:t>quantities</w:t>
      </w:r>
      <w:r w:rsidR="00972579" w:rsidRPr="004329A2">
        <w:t xml:space="preserve"> </w:t>
      </w:r>
      <w:r w:rsidR="00B61EAE" w:rsidRPr="004329A2">
        <w:t>with</w:t>
      </w:r>
      <w:r w:rsidR="00DC0074">
        <w:t xml:space="preserve"> waste</w:t>
      </w:r>
      <w:r w:rsidR="00B61EAE" w:rsidRPr="004329A2">
        <w:t xml:space="preserve"> </w:t>
      </w:r>
      <w:r w:rsidRPr="004329A2">
        <w:t>exports, noting that nearly all exports are</w:t>
      </w:r>
      <w:r w:rsidR="00E613FF" w:rsidRPr="004329A2">
        <w:t xml:space="preserve"> </w:t>
      </w:r>
      <w:r w:rsidR="005F3DA4">
        <w:t>intended</w:t>
      </w:r>
      <w:r w:rsidRPr="004329A2">
        <w:t xml:space="preserve"> for recovery. </w:t>
      </w:r>
      <w:r w:rsidR="005130B0" w:rsidRPr="004329A2">
        <w:t xml:space="preserve">The hazardous and ‘other’ categories are combined because the proportions </w:t>
      </w:r>
      <w:r w:rsidR="00634366" w:rsidRPr="004329A2">
        <w:t>of both are</w:t>
      </w:r>
      <w:r w:rsidR="005130B0" w:rsidRPr="004329A2">
        <w:t xml:space="preserve"> low. </w:t>
      </w:r>
      <w:r w:rsidR="00DC0074">
        <w:t>Values are rounded to no more than three significant figures</w:t>
      </w:r>
    </w:p>
    <w:p w14:paraId="0A516549" w14:textId="77777777" w:rsidR="00BE591E" w:rsidRPr="00173C4D" w:rsidRDefault="00BE591E" w:rsidP="007A7E21">
      <w:pPr>
        <w:pStyle w:val="BodyText"/>
        <w:rPr>
          <w:highlight w:val="yellow"/>
        </w:rPr>
      </w:pPr>
    </w:p>
    <w:p w14:paraId="6FA75C8F" w14:textId="044F40E0" w:rsidR="00EC4999" w:rsidRDefault="00BE591E" w:rsidP="008C6031">
      <w:pPr>
        <w:pStyle w:val="BodyText"/>
      </w:pPr>
      <w:r w:rsidRPr="00612E9F">
        <w:t xml:space="preserve">The table suggests that </w:t>
      </w:r>
      <w:r w:rsidR="00233281" w:rsidRPr="00612E9F">
        <w:t>201</w:t>
      </w:r>
      <w:r w:rsidR="00173C4D" w:rsidRPr="00612E9F">
        <w:t>9</w:t>
      </w:r>
      <w:r w:rsidR="00233281" w:rsidRPr="00612E9F">
        <w:t>-</w:t>
      </w:r>
      <w:r w:rsidR="00173C4D" w:rsidRPr="00612E9F">
        <w:t>20</w:t>
      </w:r>
      <w:r w:rsidR="00233281" w:rsidRPr="00612E9F">
        <w:t xml:space="preserve"> exports </w:t>
      </w:r>
      <w:r w:rsidR="002C363A">
        <w:t>accounted for half of</w:t>
      </w:r>
      <w:r w:rsidRPr="00612E9F">
        <w:t xml:space="preserve"> recovered metals</w:t>
      </w:r>
      <w:r w:rsidR="00233281" w:rsidRPr="00612E9F">
        <w:t xml:space="preserve"> and</w:t>
      </w:r>
      <w:r w:rsidR="00E16399">
        <w:t xml:space="preserve"> about</w:t>
      </w:r>
      <w:r w:rsidRPr="00612E9F">
        <w:t xml:space="preserve"> </w:t>
      </w:r>
      <w:r w:rsidR="00612E9F" w:rsidRPr="00612E9F">
        <w:t xml:space="preserve">a third of </w:t>
      </w:r>
      <w:r w:rsidRPr="00612E9F">
        <w:t>plastics and</w:t>
      </w:r>
      <w:r w:rsidR="00233281" w:rsidRPr="00612E9F">
        <w:t xml:space="preserve"> </w:t>
      </w:r>
      <w:r w:rsidRPr="00612E9F">
        <w:t>paper and cardboard.</w:t>
      </w:r>
      <w:r w:rsidR="008C6031" w:rsidRPr="00612E9F">
        <w:t xml:space="preserve"> Nearly all other recovered materials were </w:t>
      </w:r>
      <w:r w:rsidR="00477F9B">
        <w:t>recovered</w:t>
      </w:r>
      <w:r w:rsidR="008C6031" w:rsidRPr="00612E9F">
        <w:t xml:space="preserve"> in Australia. These encompass a wide range of </w:t>
      </w:r>
      <w:r w:rsidR="00612E9F" w:rsidRPr="00612E9F">
        <w:t>materials,</w:t>
      </w:r>
      <w:r w:rsidR="008C6031" w:rsidRPr="00612E9F">
        <w:t xml:space="preserve"> but </w:t>
      </w:r>
      <w:r w:rsidR="002C363A">
        <w:t>most of</w:t>
      </w:r>
      <w:r w:rsidR="008C6031" w:rsidRPr="00612E9F">
        <w:t xml:space="preserve"> the tonnes were </w:t>
      </w:r>
      <w:r w:rsidR="002C363A">
        <w:t>masonry</w:t>
      </w:r>
      <w:r w:rsidR="008C6031" w:rsidRPr="00612E9F">
        <w:t xml:space="preserve"> materials, organic wastes and fly ash from coal-fired power stations.</w:t>
      </w:r>
      <w:r w:rsidR="00C95AF1">
        <w:t xml:space="preserve"> </w:t>
      </w:r>
    </w:p>
    <w:p w14:paraId="70FF531E" w14:textId="2C2DC90C" w:rsidR="007A7E21" w:rsidRPr="009806B1" w:rsidRDefault="006A14D1" w:rsidP="006A14D1">
      <w:pPr>
        <w:pStyle w:val="Caption"/>
        <w:rPr>
          <w:szCs w:val="22"/>
        </w:rPr>
      </w:pPr>
      <w:bookmarkStart w:id="19" w:name="_Ref524615648"/>
      <w:r>
        <w:t xml:space="preserve">Table </w:t>
      </w:r>
      <w:r w:rsidR="00871CD9">
        <w:rPr>
          <w:noProof/>
        </w:rPr>
        <w:fldChar w:fldCharType="begin"/>
      </w:r>
      <w:r w:rsidR="00871CD9">
        <w:rPr>
          <w:noProof/>
        </w:rPr>
        <w:instrText xml:space="preserve"> SEQ Table \* ARABIC </w:instrText>
      </w:r>
      <w:r w:rsidR="00871CD9">
        <w:rPr>
          <w:noProof/>
        </w:rPr>
        <w:fldChar w:fldCharType="separate"/>
      </w:r>
      <w:r w:rsidR="009223D9">
        <w:rPr>
          <w:noProof/>
        </w:rPr>
        <w:t>1</w:t>
      </w:r>
      <w:r w:rsidR="00871CD9">
        <w:rPr>
          <w:noProof/>
        </w:rPr>
        <w:fldChar w:fldCharType="end"/>
      </w:r>
      <w:bookmarkEnd w:id="19"/>
      <w:r w:rsidR="007A7E21">
        <w:tab/>
      </w:r>
      <w:r w:rsidR="007A7E21">
        <w:rPr>
          <w:szCs w:val="22"/>
        </w:rPr>
        <w:t>D</w:t>
      </w:r>
      <w:r w:rsidR="007A7E21" w:rsidRPr="009806B1">
        <w:rPr>
          <w:szCs w:val="22"/>
        </w:rPr>
        <w:t>ata</w:t>
      </w:r>
      <w:r w:rsidR="007A7E21">
        <w:rPr>
          <w:szCs w:val="22"/>
        </w:rPr>
        <w:t xml:space="preserve"> comparing</w:t>
      </w:r>
      <w:r w:rsidR="007A7E21" w:rsidRPr="009806B1">
        <w:rPr>
          <w:szCs w:val="22"/>
        </w:rPr>
        <w:t xml:space="preserve"> Australian</w:t>
      </w:r>
      <w:r w:rsidR="007A7E21">
        <w:rPr>
          <w:szCs w:val="22"/>
        </w:rPr>
        <w:t xml:space="preserve"> </w:t>
      </w:r>
      <w:r w:rsidR="007A7E21" w:rsidRPr="009806B1">
        <w:rPr>
          <w:szCs w:val="22"/>
        </w:rPr>
        <w:t xml:space="preserve">exports </w:t>
      </w:r>
      <w:r w:rsidR="007A7E21">
        <w:rPr>
          <w:szCs w:val="22"/>
        </w:rPr>
        <w:t xml:space="preserve">and overall </w:t>
      </w:r>
      <w:r w:rsidR="00477F9B">
        <w:rPr>
          <w:szCs w:val="22"/>
        </w:rPr>
        <w:t>recovery</w:t>
      </w:r>
      <w:r w:rsidR="007A7E21">
        <w:rPr>
          <w:szCs w:val="22"/>
        </w:rPr>
        <w:t xml:space="preserve"> of wastes</w:t>
      </w:r>
      <w:r w:rsidR="007A7E21" w:rsidRPr="009806B1">
        <w:rPr>
          <w:szCs w:val="22"/>
        </w:rPr>
        <w:tab/>
      </w:r>
    </w:p>
    <w:tbl>
      <w:tblPr>
        <w:tblStyle w:val="BE-table"/>
        <w:tblW w:w="0" w:type="auto"/>
        <w:tblLayout w:type="fixed"/>
        <w:tblLook w:val="04A0" w:firstRow="1" w:lastRow="0" w:firstColumn="1" w:lastColumn="0" w:noHBand="0" w:noVBand="1"/>
      </w:tblPr>
      <w:tblGrid>
        <w:gridCol w:w="2122"/>
        <w:gridCol w:w="2126"/>
        <w:gridCol w:w="1559"/>
        <w:gridCol w:w="1418"/>
        <w:gridCol w:w="2268"/>
      </w:tblGrid>
      <w:tr w:rsidR="000B1D5B" w14:paraId="4664B976" w14:textId="1D246F66" w:rsidTr="002E7692">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122" w:type="dxa"/>
            <w:vMerge w:val="restart"/>
            <w:tcBorders>
              <w:right w:val="single" w:sz="4" w:space="0" w:color="FFFFFF" w:themeColor="background1"/>
            </w:tcBorders>
            <w:shd w:val="clear" w:color="auto" w:fill="4B4BB3"/>
          </w:tcPr>
          <w:p w14:paraId="790AC875" w14:textId="12861162" w:rsidR="000B1D5B" w:rsidRPr="000B1D5B" w:rsidRDefault="000B1D5B" w:rsidP="000B1D5B">
            <w:pPr>
              <w:pStyle w:val="BodyText"/>
              <w:spacing w:beforeLines="0" w:before="0" w:afterLines="0" w:after="0"/>
              <w:rPr>
                <w:bCs/>
              </w:rPr>
            </w:pPr>
            <w:r w:rsidRPr="000B1D5B">
              <w:rPr>
                <w:bCs/>
              </w:rPr>
              <w:t>Waste material type</w:t>
            </w:r>
          </w:p>
        </w:tc>
        <w:tc>
          <w:tcPr>
            <w:tcW w:w="2126" w:type="dxa"/>
            <w:tcBorders>
              <w:top w:val="nil"/>
              <w:left w:val="single" w:sz="4" w:space="0" w:color="FFFFFF" w:themeColor="background1"/>
              <w:bottom w:val="nil"/>
              <w:right w:val="single" w:sz="4" w:space="0" w:color="FFFFFF" w:themeColor="background1"/>
            </w:tcBorders>
            <w:shd w:val="clear" w:color="auto" w:fill="4B4BB3"/>
          </w:tcPr>
          <w:p w14:paraId="2DB92458" w14:textId="67A0CE64" w:rsidR="000B1D5B" w:rsidRPr="00DC2A8A" w:rsidRDefault="00477F9B" w:rsidP="000B1D5B">
            <w:pPr>
              <w:pStyle w:val="BodyText"/>
              <w:spacing w:beforeLines="0" w:before="0" w:afterLines="0" w:after="0"/>
              <w:jc w:val="center"/>
              <w:cnfStyle w:val="100000000000" w:firstRow="1" w:lastRow="0" w:firstColumn="0" w:lastColumn="0" w:oddVBand="0" w:evenVBand="0" w:oddHBand="0" w:evenHBand="0" w:firstRowFirstColumn="0" w:firstRowLastColumn="0" w:lastRowFirstColumn="0" w:lastRowLastColumn="0"/>
              <w:rPr>
                <w:vertAlign w:val="superscript"/>
              </w:rPr>
            </w:pPr>
            <w:r>
              <w:t>Recovery</w:t>
            </w:r>
            <w:r w:rsidR="000B1D5B">
              <w:t xml:space="preserve"> in 2018-19</w:t>
            </w:r>
            <w:r w:rsidR="000B1D5B">
              <w:rPr>
                <w:vertAlign w:val="superscript"/>
              </w:rPr>
              <w:t>1</w:t>
            </w:r>
          </w:p>
        </w:tc>
        <w:tc>
          <w:tcPr>
            <w:tcW w:w="5245" w:type="dxa"/>
            <w:gridSpan w:val="3"/>
            <w:tcBorders>
              <w:top w:val="nil"/>
              <w:left w:val="single" w:sz="4" w:space="0" w:color="FFFFFF" w:themeColor="background1"/>
              <w:bottom w:val="nil"/>
              <w:right w:val="single" w:sz="4" w:space="0" w:color="FFFFFF" w:themeColor="background1"/>
            </w:tcBorders>
            <w:shd w:val="clear" w:color="auto" w:fill="4B4BB3"/>
          </w:tcPr>
          <w:p w14:paraId="7C314439" w14:textId="5207CF4F" w:rsidR="000B1D5B" w:rsidRDefault="000B1D5B" w:rsidP="000B1D5B">
            <w:pPr>
              <w:pStyle w:val="BodyText"/>
              <w:spacing w:beforeLines="0" w:before="0" w:afterLines="0" w:after="0"/>
              <w:jc w:val="center"/>
              <w:cnfStyle w:val="100000000000" w:firstRow="1" w:lastRow="0" w:firstColumn="0" w:lastColumn="0" w:oddVBand="0" w:evenVBand="0" w:oddHBand="0" w:evenHBand="0" w:firstRowFirstColumn="0" w:firstRowLastColumn="0" w:lastRowFirstColumn="0" w:lastRowLastColumn="0"/>
            </w:pPr>
            <w:r>
              <w:t>Exported in 2019-20</w:t>
            </w:r>
          </w:p>
        </w:tc>
      </w:tr>
      <w:tr w:rsidR="000B1D5B" w:rsidRPr="003E25A3" w14:paraId="50C03AA0" w14:textId="34EE5E52" w:rsidTr="002E7692">
        <w:tc>
          <w:tcPr>
            <w:cnfStyle w:val="001000000000" w:firstRow="0" w:lastRow="0" w:firstColumn="1" w:lastColumn="0" w:oddVBand="0" w:evenVBand="0" w:oddHBand="0" w:evenHBand="0" w:firstRowFirstColumn="0" w:firstRowLastColumn="0" w:lastRowFirstColumn="0" w:lastRowLastColumn="0"/>
            <w:tcW w:w="2122" w:type="dxa"/>
            <w:vMerge/>
            <w:tcBorders>
              <w:right w:val="single" w:sz="4" w:space="0" w:color="FFFFFF" w:themeColor="background1"/>
            </w:tcBorders>
            <w:shd w:val="clear" w:color="auto" w:fill="4B4BB3"/>
          </w:tcPr>
          <w:p w14:paraId="19103866" w14:textId="1F1F6583" w:rsidR="000B1D5B" w:rsidRPr="003E25A3" w:rsidRDefault="000B1D5B" w:rsidP="000B1D5B">
            <w:pPr>
              <w:pStyle w:val="BodyText"/>
              <w:spacing w:before="0" w:after="0"/>
              <w:rPr>
                <w:b/>
                <w:color w:val="FFFFFF" w:themeColor="background1"/>
              </w:rPr>
            </w:pPr>
          </w:p>
        </w:tc>
        <w:tc>
          <w:tcPr>
            <w:tcW w:w="2126" w:type="dxa"/>
            <w:tcBorders>
              <w:top w:val="nil"/>
              <w:left w:val="single" w:sz="4" w:space="0" w:color="FFFFFF" w:themeColor="background1"/>
              <w:bottom w:val="nil"/>
              <w:right w:val="single" w:sz="4" w:space="0" w:color="FFFFFF" w:themeColor="background1"/>
            </w:tcBorders>
            <w:shd w:val="clear" w:color="auto" w:fill="4B4BB3"/>
          </w:tcPr>
          <w:p w14:paraId="1E50695D" w14:textId="34011723" w:rsidR="000B1D5B" w:rsidRPr="003E25A3" w:rsidRDefault="00BE38E3" w:rsidP="00BE38E3">
            <w:pPr>
              <w:pStyle w:val="BodyText"/>
              <w:tabs>
                <w:tab w:val="right" w:pos="1452"/>
              </w:tabs>
              <w:spacing w:before="0" w:after="0"/>
              <w:cnfStyle w:val="000000000000" w:firstRow="0" w:lastRow="0" w:firstColumn="0" w:lastColumn="0" w:oddVBand="0" w:evenVBand="0" w:oddHBand="0" w:evenHBand="0" w:firstRowFirstColumn="0" w:firstRowLastColumn="0" w:lastRowFirstColumn="0" w:lastRowLastColumn="0"/>
              <w:rPr>
                <w:b/>
                <w:i/>
                <w:color w:val="FFFFFF" w:themeColor="background1"/>
              </w:rPr>
            </w:pPr>
            <w:r>
              <w:rPr>
                <w:b/>
                <w:i/>
                <w:color w:val="FFFFFF" w:themeColor="background1"/>
              </w:rPr>
              <w:tab/>
            </w:r>
            <w:r w:rsidR="000B1D5B" w:rsidRPr="003E25A3">
              <w:rPr>
                <w:b/>
                <w:i/>
                <w:color w:val="FFFFFF" w:themeColor="background1"/>
              </w:rPr>
              <w:t>(</w:t>
            </w:r>
            <w:r w:rsidR="000B1D5B">
              <w:rPr>
                <w:b/>
                <w:i/>
                <w:color w:val="FFFFFF" w:themeColor="background1"/>
              </w:rPr>
              <w:t>kt</w:t>
            </w:r>
            <w:r w:rsidR="000B1D5B" w:rsidRPr="003E25A3">
              <w:rPr>
                <w:b/>
                <w:i/>
                <w:color w:val="FFFFFF" w:themeColor="background1"/>
              </w:rPr>
              <w:t>)</w:t>
            </w:r>
          </w:p>
        </w:tc>
        <w:tc>
          <w:tcPr>
            <w:tcW w:w="1559" w:type="dxa"/>
            <w:tcBorders>
              <w:top w:val="nil"/>
              <w:left w:val="single" w:sz="4" w:space="0" w:color="FFFFFF" w:themeColor="background1"/>
              <w:bottom w:val="nil"/>
              <w:right w:val="nil"/>
            </w:tcBorders>
            <w:shd w:val="clear" w:color="auto" w:fill="4B4BB3"/>
          </w:tcPr>
          <w:p w14:paraId="0DE6D321" w14:textId="6B8F5995" w:rsidR="000B1D5B" w:rsidRPr="003E25A3" w:rsidRDefault="00BE38E3" w:rsidP="00BE38E3">
            <w:pPr>
              <w:tabs>
                <w:tab w:val="right" w:pos="1023"/>
              </w:tabs>
              <w:spacing w:before="0" w:after="0"/>
              <w:cnfStyle w:val="000000000000" w:firstRow="0" w:lastRow="0" w:firstColumn="0" w:lastColumn="0" w:oddVBand="0" w:evenVBand="0" w:oddHBand="0" w:evenHBand="0" w:firstRowFirstColumn="0" w:firstRowLastColumn="0" w:lastRowFirstColumn="0" w:lastRowLastColumn="0"/>
              <w:rPr>
                <w:color w:val="FFFFFF" w:themeColor="background1"/>
              </w:rPr>
            </w:pPr>
            <w:r>
              <w:rPr>
                <w:b/>
                <w:i/>
                <w:color w:val="FFFFFF" w:themeColor="background1"/>
              </w:rPr>
              <w:tab/>
            </w:r>
            <w:r w:rsidR="000B1D5B" w:rsidRPr="003E25A3">
              <w:rPr>
                <w:b/>
                <w:i/>
                <w:color w:val="FFFFFF" w:themeColor="background1"/>
              </w:rPr>
              <w:t>(</w:t>
            </w:r>
            <w:r w:rsidR="000B1D5B">
              <w:rPr>
                <w:b/>
                <w:i/>
                <w:color w:val="FFFFFF" w:themeColor="background1"/>
              </w:rPr>
              <w:t>kt</w:t>
            </w:r>
            <w:r w:rsidR="000B1D5B" w:rsidRPr="003E25A3">
              <w:rPr>
                <w:b/>
                <w:i/>
                <w:color w:val="FFFFFF" w:themeColor="background1"/>
              </w:rPr>
              <w:t>)</w:t>
            </w:r>
          </w:p>
        </w:tc>
        <w:tc>
          <w:tcPr>
            <w:tcW w:w="1418" w:type="dxa"/>
            <w:tcBorders>
              <w:top w:val="nil"/>
              <w:left w:val="nil"/>
              <w:bottom w:val="nil"/>
              <w:right w:val="nil"/>
            </w:tcBorders>
            <w:shd w:val="clear" w:color="auto" w:fill="4B4BB3"/>
          </w:tcPr>
          <w:p w14:paraId="4DF8C6FC" w14:textId="74874301" w:rsidR="000B1D5B" w:rsidRPr="003E25A3" w:rsidRDefault="000B1D5B" w:rsidP="000B1D5B">
            <w:pPr>
              <w:spacing w:before="0" w:after="0"/>
              <w:jc w:val="center"/>
              <w:cnfStyle w:val="000000000000" w:firstRow="0" w:lastRow="0" w:firstColumn="0" w:lastColumn="0" w:oddVBand="0" w:evenVBand="0" w:oddHBand="0" w:evenHBand="0" w:firstRowFirstColumn="0" w:firstRowLastColumn="0" w:lastRowFirstColumn="0" w:lastRowLastColumn="0"/>
              <w:rPr>
                <w:b/>
                <w:i/>
                <w:color w:val="FFFFFF" w:themeColor="background1"/>
              </w:rPr>
            </w:pPr>
            <w:r>
              <w:rPr>
                <w:b/>
                <w:i/>
                <w:color w:val="FFFFFF" w:themeColor="background1"/>
              </w:rPr>
              <w:t>($m value)</w:t>
            </w:r>
          </w:p>
        </w:tc>
        <w:tc>
          <w:tcPr>
            <w:tcW w:w="2268" w:type="dxa"/>
            <w:tcBorders>
              <w:top w:val="nil"/>
              <w:left w:val="nil"/>
              <w:bottom w:val="nil"/>
              <w:right w:val="single" w:sz="4" w:space="0" w:color="FFFFFF" w:themeColor="background1"/>
            </w:tcBorders>
            <w:shd w:val="clear" w:color="auto" w:fill="4B4BB3"/>
          </w:tcPr>
          <w:p w14:paraId="4404EF83" w14:textId="0CFB81E8" w:rsidR="000B1D5B" w:rsidRPr="003E25A3" w:rsidRDefault="000B1D5B" w:rsidP="000B1D5B">
            <w:pPr>
              <w:spacing w:before="0" w:after="0"/>
              <w:jc w:val="center"/>
              <w:cnfStyle w:val="000000000000" w:firstRow="0" w:lastRow="0" w:firstColumn="0" w:lastColumn="0" w:oddVBand="0" w:evenVBand="0" w:oddHBand="0" w:evenHBand="0" w:firstRowFirstColumn="0" w:firstRowLastColumn="0" w:lastRowFirstColumn="0" w:lastRowLastColumn="0"/>
              <w:rPr>
                <w:b/>
                <w:i/>
                <w:color w:val="FFFFFF" w:themeColor="background1"/>
              </w:rPr>
            </w:pPr>
            <w:r>
              <w:rPr>
                <w:b/>
                <w:i/>
                <w:color w:val="FFFFFF" w:themeColor="background1"/>
              </w:rPr>
              <w:t>(% of 2018</w:t>
            </w:r>
            <w:r>
              <w:rPr>
                <w:b/>
                <w:i/>
                <w:color w:val="FFFFFF" w:themeColor="background1"/>
              </w:rPr>
              <w:noBreakHyphen/>
              <w:t xml:space="preserve">19 </w:t>
            </w:r>
            <w:r w:rsidR="005E31FF">
              <w:rPr>
                <w:b/>
                <w:i/>
                <w:color w:val="FFFFFF" w:themeColor="background1"/>
              </w:rPr>
              <w:t>recovery</w:t>
            </w:r>
            <w:r>
              <w:rPr>
                <w:b/>
                <w:i/>
                <w:color w:val="FFFFFF" w:themeColor="background1"/>
              </w:rPr>
              <w:t>)</w:t>
            </w:r>
          </w:p>
        </w:tc>
      </w:tr>
      <w:tr w:rsidR="000B1D5B" w14:paraId="2CC75B76" w14:textId="5865D56C" w:rsidTr="004036E4">
        <w:tc>
          <w:tcPr>
            <w:cnfStyle w:val="001000000000" w:firstRow="0" w:lastRow="0" w:firstColumn="1" w:lastColumn="0" w:oddVBand="0" w:evenVBand="0" w:oddHBand="0" w:evenHBand="0" w:firstRowFirstColumn="0" w:firstRowLastColumn="0" w:lastRowFirstColumn="0" w:lastRowLastColumn="0"/>
            <w:tcW w:w="2122" w:type="dxa"/>
          </w:tcPr>
          <w:p w14:paraId="212BB5FE" w14:textId="4C46EEE0" w:rsidR="000B1D5B" w:rsidRDefault="000B1D5B" w:rsidP="000B1D5B">
            <w:pPr>
              <w:spacing w:before="0" w:after="0"/>
            </w:pPr>
            <w:r>
              <w:t>Metals</w:t>
            </w:r>
          </w:p>
        </w:tc>
        <w:tc>
          <w:tcPr>
            <w:tcW w:w="2126" w:type="dxa"/>
            <w:tcBorders>
              <w:top w:val="nil"/>
            </w:tcBorders>
          </w:tcPr>
          <w:p w14:paraId="24F187C0" w14:textId="3F44B302" w:rsidR="000B1D5B" w:rsidRPr="00AC6F91" w:rsidRDefault="000B1D5B" w:rsidP="00221CBF">
            <w:pPr>
              <w:tabs>
                <w:tab w:val="right" w:pos="885"/>
              </w:tabs>
              <w:spacing w:before="0" w:after="0"/>
              <w:ind w:right="454"/>
              <w:jc w:val="right"/>
              <w:cnfStyle w:val="000000000000" w:firstRow="0" w:lastRow="0" w:firstColumn="0" w:lastColumn="0" w:oddVBand="0" w:evenVBand="0" w:oddHBand="0" w:evenHBand="0" w:firstRowFirstColumn="0" w:firstRowLastColumn="0" w:lastRowFirstColumn="0" w:lastRowLastColumn="0"/>
            </w:pPr>
            <w:r w:rsidRPr="00AC6F91">
              <w:tab/>
            </w:r>
            <w:r>
              <w:t>5,040</w:t>
            </w:r>
          </w:p>
        </w:tc>
        <w:tc>
          <w:tcPr>
            <w:tcW w:w="1559" w:type="dxa"/>
            <w:tcBorders>
              <w:top w:val="nil"/>
            </w:tcBorders>
          </w:tcPr>
          <w:p w14:paraId="60F1863F" w14:textId="437D8029" w:rsidR="000B1D5B" w:rsidRPr="00972579" w:rsidRDefault="000B1D5B" w:rsidP="00221CBF">
            <w:pPr>
              <w:tabs>
                <w:tab w:val="right" w:pos="1174"/>
                <w:tab w:val="right" w:pos="2025"/>
              </w:tabs>
              <w:spacing w:before="0" w:after="0"/>
              <w:ind w:right="313"/>
              <w:jc w:val="right"/>
              <w:cnfStyle w:val="000000000000" w:firstRow="0" w:lastRow="0" w:firstColumn="0" w:lastColumn="0" w:oddVBand="0" w:evenVBand="0" w:oddHBand="0" w:evenHBand="0" w:firstRowFirstColumn="0" w:firstRowLastColumn="0" w:lastRowFirstColumn="0" w:lastRowLastColumn="0"/>
            </w:pPr>
            <w:r w:rsidRPr="00972579">
              <w:t>2,544</w:t>
            </w:r>
          </w:p>
        </w:tc>
        <w:tc>
          <w:tcPr>
            <w:tcW w:w="1418" w:type="dxa"/>
            <w:tcBorders>
              <w:top w:val="nil"/>
            </w:tcBorders>
            <w:shd w:val="clear" w:color="auto" w:fill="auto"/>
          </w:tcPr>
          <w:p w14:paraId="1F73026E" w14:textId="230C95B3" w:rsidR="000B1D5B" w:rsidRPr="00972579" w:rsidRDefault="000B1D5B" w:rsidP="004036E4">
            <w:pPr>
              <w:tabs>
                <w:tab w:val="right" w:pos="1159"/>
              </w:tabs>
              <w:spacing w:before="0" w:after="0"/>
              <w:ind w:right="323"/>
              <w:jc w:val="right"/>
              <w:cnfStyle w:val="000000000000" w:firstRow="0" w:lastRow="0" w:firstColumn="0" w:lastColumn="0" w:oddVBand="0" w:evenVBand="0" w:oddHBand="0" w:evenHBand="0" w:firstRowFirstColumn="0" w:firstRowLastColumn="0" w:lastRowFirstColumn="0" w:lastRowLastColumn="0"/>
            </w:pPr>
            <w:r w:rsidRPr="00972579">
              <w:t>$1,9</w:t>
            </w:r>
            <w:r>
              <w:t>50</w:t>
            </w:r>
          </w:p>
        </w:tc>
        <w:tc>
          <w:tcPr>
            <w:tcW w:w="2268" w:type="dxa"/>
            <w:tcBorders>
              <w:top w:val="nil"/>
            </w:tcBorders>
          </w:tcPr>
          <w:p w14:paraId="228AA5A6" w14:textId="05E2EA24" w:rsidR="000B1D5B" w:rsidRPr="00173C4D" w:rsidRDefault="000B1D5B" w:rsidP="00221CBF">
            <w:pPr>
              <w:tabs>
                <w:tab w:val="right" w:pos="1159"/>
              </w:tabs>
              <w:spacing w:before="0" w:after="0"/>
              <w:ind w:right="744"/>
              <w:jc w:val="right"/>
              <w:cnfStyle w:val="000000000000" w:firstRow="0" w:lastRow="0" w:firstColumn="0" w:lastColumn="0" w:oddVBand="0" w:evenVBand="0" w:oddHBand="0" w:evenHBand="0" w:firstRowFirstColumn="0" w:firstRowLastColumn="0" w:lastRowFirstColumn="0" w:lastRowLastColumn="0"/>
              <w:rPr>
                <w:highlight w:val="yellow"/>
              </w:rPr>
            </w:pPr>
            <w:r w:rsidRPr="00612E9F">
              <w:t>51%</w:t>
            </w:r>
          </w:p>
        </w:tc>
      </w:tr>
      <w:tr w:rsidR="000B1D5B" w14:paraId="03C1FCDF" w14:textId="45DF244C" w:rsidTr="004036E4">
        <w:tc>
          <w:tcPr>
            <w:cnfStyle w:val="001000000000" w:firstRow="0" w:lastRow="0" w:firstColumn="1" w:lastColumn="0" w:oddVBand="0" w:evenVBand="0" w:oddHBand="0" w:evenHBand="0" w:firstRowFirstColumn="0" w:firstRowLastColumn="0" w:lastRowFirstColumn="0" w:lastRowLastColumn="0"/>
            <w:tcW w:w="2122" w:type="dxa"/>
          </w:tcPr>
          <w:p w14:paraId="770C9634" w14:textId="583EBAC3" w:rsidR="000B1D5B" w:rsidRDefault="000B1D5B" w:rsidP="000B1D5B">
            <w:pPr>
              <w:spacing w:before="0" w:after="0"/>
            </w:pPr>
            <w:r>
              <w:t xml:space="preserve">Paper </w:t>
            </w:r>
            <w:r w:rsidR="00C07895">
              <w:t>and</w:t>
            </w:r>
            <w:r>
              <w:t xml:space="preserve"> cardboard</w:t>
            </w:r>
          </w:p>
        </w:tc>
        <w:tc>
          <w:tcPr>
            <w:tcW w:w="2126" w:type="dxa"/>
          </w:tcPr>
          <w:p w14:paraId="38EB4F03" w14:textId="75EC6842" w:rsidR="000B1D5B" w:rsidRPr="00AC6F91" w:rsidRDefault="000B1D5B" w:rsidP="00221CBF">
            <w:pPr>
              <w:tabs>
                <w:tab w:val="right" w:pos="885"/>
              </w:tabs>
              <w:spacing w:before="0" w:after="0"/>
              <w:ind w:right="454"/>
              <w:jc w:val="right"/>
              <w:cnfStyle w:val="000000000000" w:firstRow="0" w:lastRow="0" w:firstColumn="0" w:lastColumn="0" w:oddVBand="0" w:evenVBand="0" w:oddHBand="0" w:evenHBand="0" w:firstRowFirstColumn="0" w:firstRowLastColumn="0" w:lastRowFirstColumn="0" w:lastRowLastColumn="0"/>
            </w:pPr>
            <w:r w:rsidRPr="00AC6F91">
              <w:tab/>
              <w:t>3,5</w:t>
            </w:r>
            <w:r>
              <w:t>30</w:t>
            </w:r>
          </w:p>
        </w:tc>
        <w:tc>
          <w:tcPr>
            <w:tcW w:w="1559" w:type="dxa"/>
          </w:tcPr>
          <w:p w14:paraId="36430553" w14:textId="7BAFB3DF" w:rsidR="000B1D5B" w:rsidRPr="00173C4D" w:rsidRDefault="000B1D5B" w:rsidP="00221CBF">
            <w:pPr>
              <w:tabs>
                <w:tab w:val="right" w:pos="1174"/>
                <w:tab w:val="right" w:pos="2025"/>
              </w:tabs>
              <w:spacing w:before="0" w:after="0"/>
              <w:ind w:right="313"/>
              <w:jc w:val="right"/>
              <w:cnfStyle w:val="000000000000" w:firstRow="0" w:lastRow="0" w:firstColumn="0" w:lastColumn="0" w:oddVBand="0" w:evenVBand="0" w:oddHBand="0" w:evenHBand="0" w:firstRowFirstColumn="0" w:firstRowLastColumn="0" w:lastRowFirstColumn="0" w:lastRowLastColumn="0"/>
              <w:rPr>
                <w:highlight w:val="yellow"/>
              </w:rPr>
            </w:pPr>
            <w:r w:rsidRPr="00972579">
              <w:t xml:space="preserve">1,066 </w:t>
            </w:r>
          </w:p>
        </w:tc>
        <w:tc>
          <w:tcPr>
            <w:tcW w:w="1418" w:type="dxa"/>
            <w:shd w:val="clear" w:color="auto" w:fill="auto"/>
          </w:tcPr>
          <w:p w14:paraId="60F4054F" w14:textId="34D7B42B" w:rsidR="000B1D5B" w:rsidRPr="00972579" w:rsidRDefault="000B1D5B" w:rsidP="004036E4">
            <w:pPr>
              <w:tabs>
                <w:tab w:val="right" w:pos="1159"/>
              </w:tabs>
              <w:spacing w:before="0" w:after="0"/>
              <w:ind w:right="323"/>
              <w:jc w:val="right"/>
              <w:cnfStyle w:val="000000000000" w:firstRow="0" w:lastRow="0" w:firstColumn="0" w:lastColumn="0" w:oddVBand="0" w:evenVBand="0" w:oddHBand="0" w:evenHBand="0" w:firstRowFirstColumn="0" w:firstRowLastColumn="0" w:lastRowFirstColumn="0" w:lastRowLastColumn="0"/>
            </w:pPr>
            <w:r w:rsidRPr="00972579">
              <w:t>$173</w:t>
            </w:r>
          </w:p>
        </w:tc>
        <w:tc>
          <w:tcPr>
            <w:tcW w:w="2268" w:type="dxa"/>
          </w:tcPr>
          <w:p w14:paraId="22B14E6C" w14:textId="5C6A08AB" w:rsidR="000B1D5B" w:rsidRPr="00173C4D" w:rsidRDefault="000B1D5B" w:rsidP="00221CBF">
            <w:pPr>
              <w:tabs>
                <w:tab w:val="right" w:pos="1159"/>
              </w:tabs>
              <w:spacing w:before="0" w:after="0"/>
              <w:ind w:right="744"/>
              <w:jc w:val="right"/>
              <w:cnfStyle w:val="000000000000" w:firstRow="0" w:lastRow="0" w:firstColumn="0" w:lastColumn="0" w:oddVBand="0" w:evenVBand="0" w:oddHBand="0" w:evenHBand="0" w:firstRowFirstColumn="0" w:firstRowLastColumn="0" w:lastRowFirstColumn="0" w:lastRowLastColumn="0"/>
              <w:rPr>
                <w:highlight w:val="yellow"/>
              </w:rPr>
            </w:pPr>
            <w:r w:rsidRPr="00612E9F">
              <w:t>30%</w:t>
            </w:r>
          </w:p>
        </w:tc>
      </w:tr>
      <w:tr w:rsidR="000B1D5B" w14:paraId="2BD24065" w14:textId="026832F4" w:rsidTr="004036E4">
        <w:tc>
          <w:tcPr>
            <w:cnfStyle w:val="001000000000" w:firstRow="0" w:lastRow="0" w:firstColumn="1" w:lastColumn="0" w:oddVBand="0" w:evenVBand="0" w:oddHBand="0" w:evenHBand="0" w:firstRowFirstColumn="0" w:firstRowLastColumn="0" w:lastRowFirstColumn="0" w:lastRowLastColumn="0"/>
            <w:tcW w:w="2122" w:type="dxa"/>
          </w:tcPr>
          <w:p w14:paraId="440EB9D9" w14:textId="323ACCA7" w:rsidR="000B1D5B" w:rsidRDefault="000B1D5B" w:rsidP="000B1D5B">
            <w:pPr>
              <w:spacing w:before="0" w:after="0"/>
            </w:pPr>
            <w:r>
              <w:t>Plastics</w:t>
            </w:r>
          </w:p>
        </w:tc>
        <w:tc>
          <w:tcPr>
            <w:tcW w:w="2126" w:type="dxa"/>
          </w:tcPr>
          <w:p w14:paraId="03FC9493" w14:textId="5C8D0E53" w:rsidR="000B1D5B" w:rsidRPr="00AC6F91" w:rsidRDefault="000B1D5B" w:rsidP="00221CBF">
            <w:pPr>
              <w:tabs>
                <w:tab w:val="right" w:pos="885"/>
              </w:tabs>
              <w:spacing w:before="0" w:after="0"/>
              <w:ind w:right="454"/>
              <w:jc w:val="right"/>
              <w:cnfStyle w:val="000000000000" w:firstRow="0" w:lastRow="0" w:firstColumn="0" w:lastColumn="0" w:oddVBand="0" w:evenVBand="0" w:oddHBand="0" w:evenHBand="0" w:firstRowFirstColumn="0" w:firstRowLastColumn="0" w:lastRowFirstColumn="0" w:lastRowLastColumn="0"/>
            </w:pPr>
            <w:r w:rsidRPr="00AC6F91">
              <w:tab/>
              <w:t>3</w:t>
            </w:r>
            <w:r w:rsidR="00477F9B">
              <w:t>93</w:t>
            </w:r>
          </w:p>
        </w:tc>
        <w:tc>
          <w:tcPr>
            <w:tcW w:w="1559" w:type="dxa"/>
          </w:tcPr>
          <w:p w14:paraId="0BDC7D9C" w14:textId="0C7E3017" w:rsidR="000B1D5B" w:rsidRPr="00173C4D" w:rsidRDefault="000B1D5B" w:rsidP="00221CBF">
            <w:pPr>
              <w:tabs>
                <w:tab w:val="right" w:pos="1174"/>
                <w:tab w:val="right" w:pos="2025"/>
              </w:tabs>
              <w:spacing w:before="0" w:after="0"/>
              <w:ind w:right="313"/>
              <w:jc w:val="right"/>
              <w:cnfStyle w:val="000000000000" w:firstRow="0" w:lastRow="0" w:firstColumn="0" w:lastColumn="0" w:oddVBand="0" w:evenVBand="0" w:oddHBand="0" w:evenHBand="0" w:firstRowFirstColumn="0" w:firstRowLastColumn="0" w:lastRowFirstColumn="0" w:lastRowLastColumn="0"/>
              <w:rPr>
                <w:highlight w:val="yellow"/>
              </w:rPr>
            </w:pPr>
            <w:r w:rsidRPr="00972579">
              <w:t>113</w:t>
            </w:r>
          </w:p>
        </w:tc>
        <w:tc>
          <w:tcPr>
            <w:tcW w:w="1418" w:type="dxa"/>
            <w:shd w:val="clear" w:color="auto" w:fill="auto"/>
          </w:tcPr>
          <w:p w14:paraId="1F1AE176" w14:textId="52279BAE" w:rsidR="000B1D5B" w:rsidRPr="00972579" w:rsidRDefault="000B1D5B" w:rsidP="004036E4">
            <w:pPr>
              <w:tabs>
                <w:tab w:val="right" w:pos="1159"/>
              </w:tabs>
              <w:spacing w:before="0" w:after="0"/>
              <w:ind w:right="179"/>
              <w:jc w:val="right"/>
              <w:cnfStyle w:val="000000000000" w:firstRow="0" w:lastRow="0" w:firstColumn="0" w:lastColumn="0" w:oddVBand="0" w:evenVBand="0" w:oddHBand="0" w:evenHBand="0" w:firstRowFirstColumn="0" w:firstRowLastColumn="0" w:lastRowFirstColumn="0" w:lastRowLastColumn="0"/>
            </w:pPr>
            <w:r w:rsidRPr="00972579">
              <w:t>$31</w:t>
            </w:r>
            <w:r>
              <w:t>.3</w:t>
            </w:r>
          </w:p>
        </w:tc>
        <w:tc>
          <w:tcPr>
            <w:tcW w:w="2268" w:type="dxa"/>
          </w:tcPr>
          <w:p w14:paraId="18739C73" w14:textId="66291709" w:rsidR="000B1D5B" w:rsidRPr="00173C4D" w:rsidRDefault="005E31FF" w:rsidP="00221CBF">
            <w:pPr>
              <w:tabs>
                <w:tab w:val="right" w:pos="1159"/>
              </w:tabs>
              <w:spacing w:before="0" w:after="0"/>
              <w:ind w:right="744"/>
              <w:jc w:val="right"/>
              <w:cnfStyle w:val="000000000000" w:firstRow="0" w:lastRow="0" w:firstColumn="0" w:lastColumn="0" w:oddVBand="0" w:evenVBand="0" w:oddHBand="0" w:evenHBand="0" w:firstRowFirstColumn="0" w:firstRowLastColumn="0" w:lastRowFirstColumn="0" w:lastRowLastColumn="0"/>
              <w:rPr>
                <w:highlight w:val="yellow"/>
              </w:rPr>
            </w:pPr>
            <w:r>
              <w:t>29</w:t>
            </w:r>
            <w:r w:rsidR="000B1D5B" w:rsidRPr="00612E9F">
              <w:t>%</w:t>
            </w:r>
          </w:p>
        </w:tc>
      </w:tr>
      <w:tr w:rsidR="000B1D5B" w14:paraId="3B9CA5E0" w14:textId="77777777" w:rsidTr="004036E4">
        <w:tc>
          <w:tcPr>
            <w:cnfStyle w:val="001000000000" w:firstRow="0" w:lastRow="0" w:firstColumn="1" w:lastColumn="0" w:oddVBand="0" w:evenVBand="0" w:oddHBand="0" w:evenHBand="0" w:firstRowFirstColumn="0" w:firstRowLastColumn="0" w:lastRowFirstColumn="0" w:lastRowLastColumn="0"/>
            <w:tcW w:w="2122" w:type="dxa"/>
          </w:tcPr>
          <w:p w14:paraId="654AA3CE" w14:textId="020908B0" w:rsidR="000B1D5B" w:rsidRDefault="000B1D5B" w:rsidP="000B1D5B">
            <w:pPr>
              <w:spacing w:before="0" w:after="0"/>
            </w:pPr>
            <w:r>
              <w:t>Glass</w:t>
            </w:r>
          </w:p>
        </w:tc>
        <w:tc>
          <w:tcPr>
            <w:tcW w:w="2126" w:type="dxa"/>
          </w:tcPr>
          <w:p w14:paraId="7B7AF6A4" w14:textId="1512E90F" w:rsidR="000B1D5B" w:rsidRPr="00AC6F91" w:rsidRDefault="000B1D5B" w:rsidP="00221CBF">
            <w:pPr>
              <w:tabs>
                <w:tab w:val="right" w:pos="885"/>
              </w:tabs>
              <w:spacing w:before="0" w:after="0"/>
              <w:ind w:right="454"/>
              <w:jc w:val="right"/>
              <w:cnfStyle w:val="000000000000" w:firstRow="0" w:lastRow="0" w:firstColumn="0" w:lastColumn="0" w:oddVBand="0" w:evenVBand="0" w:oddHBand="0" w:evenHBand="0" w:firstRowFirstColumn="0" w:firstRowLastColumn="0" w:lastRowFirstColumn="0" w:lastRowLastColumn="0"/>
            </w:pPr>
            <w:r>
              <w:t>688</w:t>
            </w:r>
          </w:p>
        </w:tc>
        <w:tc>
          <w:tcPr>
            <w:tcW w:w="1559" w:type="dxa"/>
          </w:tcPr>
          <w:p w14:paraId="3754E57E" w14:textId="22D8607C" w:rsidR="000B1D5B" w:rsidRPr="00972579" w:rsidRDefault="000B1D5B" w:rsidP="00221CBF">
            <w:pPr>
              <w:tabs>
                <w:tab w:val="right" w:pos="1174"/>
                <w:tab w:val="right" w:pos="2025"/>
              </w:tabs>
              <w:spacing w:before="0" w:after="0"/>
              <w:ind w:right="313"/>
              <w:jc w:val="right"/>
              <w:cnfStyle w:val="000000000000" w:firstRow="0" w:lastRow="0" w:firstColumn="0" w:lastColumn="0" w:oddVBand="0" w:evenVBand="0" w:oddHBand="0" w:evenHBand="0" w:firstRowFirstColumn="0" w:firstRowLastColumn="0" w:lastRowFirstColumn="0" w:lastRowLastColumn="0"/>
            </w:pPr>
            <w:r>
              <w:t>26</w:t>
            </w:r>
          </w:p>
        </w:tc>
        <w:tc>
          <w:tcPr>
            <w:tcW w:w="1418" w:type="dxa"/>
            <w:shd w:val="clear" w:color="auto" w:fill="auto"/>
          </w:tcPr>
          <w:p w14:paraId="4EF4EC9D" w14:textId="548C35AE" w:rsidR="000B1D5B" w:rsidRPr="00972579" w:rsidRDefault="000B1D5B" w:rsidP="004036E4">
            <w:pPr>
              <w:tabs>
                <w:tab w:val="right" w:pos="1159"/>
              </w:tabs>
              <w:spacing w:before="0" w:after="0"/>
              <w:ind w:right="179"/>
              <w:jc w:val="right"/>
              <w:cnfStyle w:val="000000000000" w:firstRow="0" w:lastRow="0" w:firstColumn="0" w:lastColumn="0" w:oddVBand="0" w:evenVBand="0" w:oddHBand="0" w:evenHBand="0" w:firstRowFirstColumn="0" w:firstRowLastColumn="0" w:lastRowFirstColumn="0" w:lastRowLastColumn="0"/>
            </w:pPr>
            <w:r>
              <w:t>$1.4</w:t>
            </w:r>
          </w:p>
        </w:tc>
        <w:tc>
          <w:tcPr>
            <w:tcW w:w="2268" w:type="dxa"/>
          </w:tcPr>
          <w:p w14:paraId="252614B5" w14:textId="70FDEE32" w:rsidR="000B1D5B" w:rsidRPr="00612E9F" w:rsidRDefault="000B1D5B" w:rsidP="00221CBF">
            <w:pPr>
              <w:tabs>
                <w:tab w:val="right" w:pos="1159"/>
              </w:tabs>
              <w:spacing w:before="0" w:after="0"/>
              <w:ind w:right="744"/>
              <w:jc w:val="right"/>
              <w:cnfStyle w:val="000000000000" w:firstRow="0" w:lastRow="0" w:firstColumn="0" w:lastColumn="0" w:oddVBand="0" w:evenVBand="0" w:oddHBand="0" w:evenHBand="0" w:firstRowFirstColumn="0" w:firstRowLastColumn="0" w:lastRowFirstColumn="0" w:lastRowLastColumn="0"/>
            </w:pPr>
            <w:r>
              <w:t>4%</w:t>
            </w:r>
          </w:p>
        </w:tc>
      </w:tr>
      <w:tr w:rsidR="000B1D5B" w14:paraId="68C396BC" w14:textId="77777777" w:rsidTr="004036E4">
        <w:tc>
          <w:tcPr>
            <w:cnfStyle w:val="001000000000" w:firstRow="0" w:lastRow="0" w:firstColumn="1" w:lastColumn="0" w:oddVBand="0" w:evenVBand="0" w:oddHBand="0" w:evenHBand="0" w:firstRowFirstColumn="0" w:firstRowLastColumn="0" w:lastRowFirstColumn="0" w:lastRowLastColumn="0"/>
            <w:tcW w:w="2122" w:type="dxa"/>
          </w:tcPr>
          <w:p w14:paraId="1D2F3885" w14:textId="22647384" w:rsidR="000B1D5B" w:rsidRDefault="000B1D5B" w:rsidP="000B1D5B">
            <w:pPr>
              <w:spacing w:before="0" w:after="0"/>
            </w:pPr>
            <w:r>
              <w:t>Tyres</w:t>
            </w:r>
          </w:p>
        </w:tc>
        <w:tc>
          <w:tcPr>
            <w:tcW w:w="2126" w:type="dxa"/>
          </w:tcPr>
          <w:p w14:paraId="3797F6B9" w14:textId="4548B7D4" w:rsidR="000B1D5B" w:rsidRPr="00AC6F91" w:rsidRDefault="00477F9B" w:rsidP="00221CBF">
            <w:pPr>
              <w:tabs>
                <w:tab w:val="right" w:pos="885"/>
              </w:tabs>
              <w:spacing w:before="0" w:after="0"/>
              <w:ind w:right="454"/>
              <w:jc w:val="right"/>
              <w:cnfStyle w:val="000000000000" w:firstRow="0" w:lastRow="0" w:firstColumn="0" w:lastColumn="0" w:oddVBand="0" w:evenVBand="0" w:oddHBand="0" w:evenHBand="0" w:firstRowFirstColumn="0" w:firstRowLastColumn="0" w:lastRowFirstColumn="0" w:lastRowLastColumn="0"/>
            </w:pPr>
            <w:r>
              <w:t>316</w:t>
            </w:r>
          </w:p>
        </w:tc>
        <w:tc>
          <w:tcPr>
            <w:tcW w:w="1559" w:type="dxa"/>
          </w:tcPr>
          <w:p w14:paraId="5BE0D7B8" w14:textId="58EDE071" w:rsidR="000B1D5B" w:rsidRPr="00972579" w:rsidRDefault="000B1D5B" w:rsidP="00221CBF">
            <w:pPr>
              <w:tabs>
                <w:tab w:val="right" w:pos="1174"/>
                <w:tab w:val="right" w:pos="2025"/>
              </w:tabs>
              <w:spacing w:before="0" w:after="0"/>
              <w:ind w:right="313"/>
              <w:jc w:val="right"/>
              <w:cnfStyle w:val="000000000000" w:firstRow="0" w:lastRow="0" w:firstColumn="0" w:lastColumn="0" w:oddVBand="0" w:evenVBand="0" w:oddHBand="0" w:evenHBand="0" w:firstRowFirstColumn="0" w:firstRowLastColumn="0" w:lastRowFirstColumn="0" w:lastRowLastColumn="0"/>
            </w:pPr>
            <w:r>
              <w:t>85</w:t>
            </w:r>
          </w:p>
        </w:tc>
        <w:tc>
          <w:tcPr>
            <w:tcW w:w="1418" w:type="dxa"/>
            <w:shd w:val="clear" w:color="auto" w:fill="auto"/>
          </w:tcPr>
          <w:p w14:paraId="5BC096BE" w14:textId="21F43B64" w:rsidR="000B1D5B" w:rsidRPr="00972579" w:rsidRDefault="000B1D5B" w:rsidP="004036E4">
            <w:pPr>
              <w:tabs>
                <w:tab w:val="right" w:pos="1159"/>
              </w:tabs>
              <w:spacing w:before="0" w:after="0"/>
              <w:ind w:right="179"/>
              <w:jc w:val="right"/>
              <w:cnfStyle w:val="000000000000" w:firstRow="0" w:lastRow="0" w:firstColumn="0" w:lastColumn="0" w:oddVBand="0" w:evenVBand="0" w:oddHBand="0" w:evenHBand="0" w:firstRowFirstColumn="0" w:firstRowLastColumn="0" w:lastRowFirstColumn="0" w:lastRowLastColumn="0"/>
            </w:pPr>
            <w:r>
              <w:t>$17.7</w:t>
            </w:r>
          </w:p>
        </w:tc>
        <w:tc>
          <w:tcPr>
            <w:tcW w:w="2268" w:type="dxa"/>
          </w:tcPr>
          <w:p w14:paraId="0663DC41" w14:textId="2CE827F0" w:rsidR="000B1D5B" w:rsidRPr="00612E9F" w:rsidRDefault="005E31FF" w:rsidP="00221CBF">
            <w:pPr>
              <w:tabs>
                <w:tab w:val="right" w:pos="1159"/>
              </w:tabs>
              <w:spacing w:before="0" w:after="0"/>
              <w:ind w:right="744"/>
              <w:jc w:val="right"/>
              <w:cnfStyle w:val="000000000000" w:firstRow="0" w:lastRow="0" w:firstColumn="0" w:lastColumn="0" w:oddVBand="0" w:evenVBand="0" w:oddHBand="0" w:evenHBand="0" w:firstRowFirstColumn="0" w:firstRowLastColumn="0" w:lastRowFirstColumn="0" w:lastRowLastColumn="0"/>
            </w:pPr>
            <w:r>
              <w:t>27</w:t>
            </w:r>
            <w:r w:rsidR="000B1D5B">
              <w:t>%</w:t>
            </w:r>
          </w:p>
        </w:tc>
      </w:tr>
      <w:tr w:rsidR="000B1D5B" w14:paraId="5BA6690A" w14:textId="6963D69B" w:rsidTr="004036E4">
        <w:tc>
          <w:tcPr>
            <w:cnfStyle w:val="001000000000" w:firstRow="0" w:lastRow="0" w:firstColumn="1" w:lastColumn="0" w:oddVBand="0" w:evenVBand="0" w:oddHBand="0" w:evenHBand="0" w:firstRowFirstColumn="0" w:firstRowLastColumn="0" w:lastRowFirstColumn="0" w:lastRowLastColumn="0"/>
            <w:tcW w:w="2122" w:type="dxa"/>
          </w:tcPr>
          <w:p w14:paraId="3BFD2A8C" w14:textId="14C9FC0F" w:rsidR="000B1D5B" w:rsidRDefault="000B1D5B" w:rsidP="000B1D5B">
            <w:pPr>
              <w:spacing w:before="0" w:after="0"/>
            </w:pPr>
            <w:r>
              <w:t>Other, incl. hazardous</w:t>
            </w:r>
          </w:p>
        </w:tc>
        <w:tc>
          <w:tcPr>
            <w:tcW w:w="2126" w:type="dxa"/>
          </w:tcPr>
          <w:p w14:paraId="7A561E1D" w14:textId="0FB651A1" w:rsidR="000B1D5B" w:rsidRPr="00173C4D" w:rsidRDefault="000B1D5B" w:rsidP="00221CBF">
            <w:pPr>
              <w:tabs>
                <w:tab w:val="right" w:pos="885"/>
              </w:tabs>
              <w:spacing w:before="0" w:after="0"/>
              <w:ind w:right="454"/>
              <w:jc w:val="right"/>
              <w:cnfStyle w:val="000000000000" w:firstRow="0" w:lastRow="0" w:firstColumn="0" w:lastColumn="0" w:oddVBand="0" w:evenVBand="0" w:oddHBand="0" w:evenHBand="0" w:firstRowFirstColumn="0" w:firstRowLastColumn="0" w:lastRowFirstColumn="0" w:lastRowLastColumn="0"/>
              <w:rPr>
                <w:highlight w:val="yellow"/>
              </w:rPr>
            </w:pPr>
            <w:r w:rsidRPr="00DC0D6D">
              <w:t>33,7</w:t>
            </w:r>
            <w:r>
              <w:t>0</w:t>
            </w:r>
            <w:r w:rsidRPr="00DC0D6D">
              <w:t>0</w:t>
            </w:r>
          </w:p>
        </w:tc>
        <w:tc>
          <w:tcPr>
            <w:tcW w:w="1559" w:type="dxa"/>
          </w:tcPr>
          <w:p w14:paraId="54CE35E5" w14:textId="58FF63C6" w:rsidR="000B1D5B" w:rsidRPr="00173C4D" w:rsidRDefault="000B1D5B" w:rsidP="00221CBF">
            <w:pPr>
              <w:tabs>
                <w:tab w:val="right" w:pos="1174"/>
                <w:tab w:val="right" w:pos="2025"/>
              </w:tabs>
              <w:spacing w:before="0" w:after="0"/>
              <w:ind w:right="313"/>
              <w:jc w:val="right"/>
              <w:cnfStyle w:val="000000000000" w:firstRow="0" w:lastRow="0" w:firstColumn="0" w:lastColumn="0" w:oddVBand="0" w:evenVBand="0" w:oddHBand="0" w:evenHBand="0" w:firstRowFirstColumn="0" w:firstRowLastColumn="0" w:lastRowFirstColumn="0" w:lastRowLastColumn="0"/>
              <w:rPr>
                <w:highlight w:val="yellow"/>
              </w:rPr>
            </w:pPr>
            <w:r>
              <w:t>383</w:t>
            </w:r>
          </w:p>
        </w:tc>
        <w:tc>
          <w:tcPr>
            <w:tcW w:w="1418" w:type="dxa"/>
            <w:shd w:val="clear" w:color="auto" w:fill="auto"/>
          </w:tcPr>
          <w:p w14:paraId="1FD24C00" w14:textId="31972360" w:rsidR="000B1D5B" w:rsidRPr="00972579" w:rsidRDefault="000B1D5B" w:rsidP="004036E4">
            <w:pPr>
              <w:tabs>
                <w:tab w:val="right" w:pos="1159"/>
              </w:tabs>
              <w:spacing w:before="0" w:after="0"/>
              <w:ind w:right="323"/>
              <w:jc w:val="right"/>
              <w:cnfStyle w:val="000000000000" w:firstRow="0" w:lastRow="0" w:firstColumn="0" w:lastColumn="0" w:oddVBand="0" w:evenVBand="0" w:oddHBand="0" w:evenHBand="0" w:firstRowFirstColumn="0" w:firstRowLastColumn="0" w:lastRowFirstColumn="0" w:lastRowLastColumn="0"/>
            </w:pPr>
            <w:r w:rsidRPr="00972579">
              <w:t>$7</w:t>
            </w:r>
            <w:r>
              <w:t>27</w:t>
            </w:r>
          </w:p>
        </w:tc>
        <w:tc>
          <w:tcPr>
            <w:tcW w:w="2268" w:type="dxa"/>
          </w:tcPr>
          <w:p w14:paraId="5958E7A7" w14:textId="2B8149B3" w:rsidR="000B1D5B" w:rsidRPr="00DC0D6D" w:rsidRDefault="000B1D5B" w:rsidP="00221CBF">
            <w:pPr>
              <w:tabs>
                <w:tab w:val="right" w:pos="1159"/>
              </w:tabs>
              <w:spacing w:before="0" w:after="0"/>
              <w:ind w:right="744"/>
              <w:jc w:val="right"/>
              <w:cnfStyle w:val="000000000000" w:firstRow="0" w:lastRow="0" w:firstColumn="0" w:lastColumn="0" w:oddVBand="0" w:evenVBand="0" w:oddHBand="0" w:evenHBand="0" w:firstRowFirstColumn="0" w:firstRowLastColumn="0" w:lastRowFirstColumn="0" w:lastRowLastColumn="0"/>
            </w:pPr>
            <w:r w:rsidRPr="00DC0D6D">
              <w:t>1%</w:t>
            </w:r>
          </w:p>
        </w:tc>
      </w:tr>
      <w:tr w:rsidR="000B1D5B" w14:paraId="7992B123" w14:textId="75C25135" w:rsidTr="000B1D5B">
        <w:tc>
          <w:tcPr>
            <w:cnfStyle w:val="001000000000" w:firstRow="0" w:lastRow="0" w:firstColumn="1" w:lastColumn="0" w:oddVBand="0" w:evenVBand="0" w:oddHBand="0" w:evenHBand="0" w:firstRowFirstColumn="0" w:firstRowLastColumn="0" w:lastRowFirstColumn="0" w:lastRowLastColumn="0"/>
            <w:tcW w:w="2122" w:type="dxa"/>
          </w:tcPr>
          <w:p w14:paraId="1A188F42" w14:textId="23D799AD" w:rsidR="000B1D5B" w:rsidRDefault="000B1D5B" w:rsidP="000B1D5B">
            <w:pPr>
              <w:spacing w:before="0" w:after="0"/>
            </w:pPr>
            <w:r>
              <w:rPr>
                <w:b/>
              </w:rPr>
              <w:t>All wastes</w:t>
            </w:r>
          </w:p>
        </w:tc>
        <w:tc>
          <w:tcPr>
            <w:tcW w:w="2126" w:type="dxa"/>
          </w:tcPr>
          <w:p w14:paraId="3B3C9CA9" w14:textId="2F06A6AD" w:rsidR="000B1D5B" w:rsidRPr="00173C4D" w:rsidRDefault="000B1D5B" w:rsidP="00221CBF">
            <w:pPr>
              <w:tabs>
                <w:tab w:val="right" w:pos="885"/>
              </w:tabs>
              <w:spacing w:before="0" w:after="0"/>
              <w:ind w:right="454"/>
              <w:jc w:val="right"/>
              <w:cnfStyle w:val="000000000000" w:firstRow="0" w:lastRow="0" w:firstColumn="0" w:lastColumn="0" w:oddVBand="0" w:evenVBand="0" w:oddHBand="0" w:evenHBand="0" w:firstRowFirstColumn="0" w:firstRowLastColumn="0" w:lastRowFirstColumn="0" w:lastRowLastColumn="0"/>
              <w:rPr>
                <w:highlight w:val="yellow"/>
              </w:rPr>
            </w:pPr>
            <w:r w:rsidRPr="00DC0D6D">
              <w:rPr>
                <w:b/>
              </w:rPr>
              <w:tab/>
              <w:t>43,</w:t>
            </w:r>
            <w:r>
              <w:rPr>
                <w:b/>
              </w:rPr>
              <w:t>50</w:t>
            </w:r>
            <w:r w:rsidRPr="00DC0D6D">
              <w:rPr>
                <w:b/>
              </w:rPr>
              <w:t>0</w:t>
            </w:r>
          </w:p>
        </w:tc>
        <w:tc>
          <w:tcPr>
            <w:tcW w:w="1559" w:type="dxa"/>
          </w:tcPr>
          <w:p w14:paraId="1F52D663" w14:textId="7EF3B9CE" w:rsidR="000B1D5B" w:rsidRPr="000B1D5B" w:rsidRDefault="000B1D5B" w:rsidP="00221CBF">
            <w:pPr>
              <w:tabs>
                <w:tab w:val="right" w:pos="1174"/>
                <w:tab w:val="right" w:pos="2025"/>
              </w:tabs>
              <w:spacing w:before="0" w:after="0"/>
              <w:ind w:right="313"/>
              <w:jc w:val="right"/>
              <w:cnfStyle w:val="000000000000" w:firstRow="0" w:lastRow="0" w:firstColumn="0" w:lastColumn="0" w:oddVBand="0" w:evenVBand="0" w:oddHBand="0" w:evenHBand="0" w:firstRowFirstColumn="0" w:firstRowLastColumn="0" w:lastRowFirstColumn="0" w:lastRowLastColumn="0"/>
              <w:rPr>
                <w:b/>
                <w:bCs/>
              </w:rPr>
            </w:pPr>
            <w:r w:rsidRPr="000B1D5B">
              <w:rPr>
                <w:b/>
                <w:bCs/>
              </w:rPr>
              <w:t>4,218</w:t>
            </w:r>
          </w:p>
        </w:tc>
        <w:tc>
          <w:tcPr>
            <w:tcW w:w="1418" w:type="dxa"/>
          </w:tcPr>
          <w:p w14:paraId="432BD121" w14:textId="0E34EE9F" w:rsidR="000B1D5B" w:rsidRPr="000B1D5B" w:rsidRDefault="000B1D5B" w:rsidP="004036E4">
            <w:pPr>
              <w:tabs>
                <w:tab w:val="right" w:pos="1159"/>
              </w:tabs>
              <w:spacing w:before="0" w:after="0"/>
              <w:ind w:right="323"/>
              <w:jc w:val="right"/>
              <w:cnfStyle w:val="000000000000" w:firstRow="0" w:lastRow="0" w:firstColumn="0" w:lastColumn="0" w:oddVBand="0" w:evenVBand="0" w:oddHBand="0" w:evenHBand="0" w:firstRowFirstColumn="0" w:firstRowLastColumn="0" w:lastRowFirstColumn="0" w:lastRowLastColumn="0"/>
              <w:rPr>
                <w:b/>
                <w:bCs/>
                <w:highlight w:val="yellow"/>
              </w:rPr>
            </w:pPr>
            <w:r w:rsidRPr="000B1D5B">
              <w:rPr>
                <w:b/>
                <w:bCs/>
              </w:rPr>
              <w:t>$2,900</w:t>
            </w:r>
          </w:p>
        </w:tc>
        <w:tc>
          <w:tcPr>
            <w:tcW w:w="2268" w:type="dxa"/>
          </w:tcPr>
          <w:p w14:paraId="3A91DF5B" w14:textId="106A9A3B" w:rsidR="000B1D5B" w:rsidRPr="000B1D5B" w:rsidRDefault="000B1D5B" w:rsidP="00221CBF">
            <w:pPr>
              <w:tabs>
                <w:tab w:val="right" w:pos="1159"/>
              </w:tabs>
              <w:spacing w:before="0" w:after="0"/>
              <w:ind w:right="744"/>
              <w:jc w:val="right"/>
              <w:cnfStyle w:val="000000000000" w:firstRow="0" w:lastRow="0" w:firstColumn="0" w:lastColumn="0" w:oddVBand="0" w:evenVBand="0" w:oddHBand="0" w:evenHBand="0" w:firstRowFirstColumn="0" w:firstRowLastColumn="0" w:lastRowFirstColumn="0" w:lastRowLastColumn="0"/>
              <w:rPr>
                <w:b/>
                <w:bCs/>
                <w:highlight w:val="yellow"/>
              </w:rPr>
            </w:pPr>
            <w:r w:rsidRPr="000B1D5B">
              <w:rPr>
                <w:b/>
                <w:bCs/>
              </w:rPr>
              <w:t>10%</w:t>
            </w:r>
          </w:p>
        </w:tc>
      </w:tr>
    </w:tbl>
    <w:p w14:paraId="60BFCD8A" w14:textId="1F86F689" w:rsidR="00DC0074" w:rsidRDefault="00DC2A8A" w:rsidP="00A04937">
      <w:pPr>
        <w:pStyle w:val="BodyText"/>
        <w:spacing w:before="80"/>
        <w:rPr>
          <w:i/>
          <w:sz w:val="20"/>
          <w:szCs w:val="20"/>
        </w:rPr>
      </w:pPr>
      <w:r>
        <w:rPr>
          <w:i/>
          <w:sz w:val="20"/>
          <w:szCs w:val="20"/>
        </w:rPr>
        <w:t>Note</w:t>
      </w:r>
      <w:r w:rsidR="00DC0074">
        <w:rPr>
          <w:i/>
          <w:sz w:val="20"/>
          <w:szCs w:val="20"/>
        </w:rPr>
        <w:t xml:space="preserve"> </w:t>
      </w:r>
      <w:r>
        <w:rPr>
          <w:i/>
          <w:sz w:val="20"/>
          <w:szCs w:val="20"/>
        </w:rPr>
        <w:t>1</w:t>
      </w:r>
      <w:r>
        <w:rPr>
          <w:i/>
          <w:sz w:val="20"/>
          <w:szCs w:val="20"/>
        </w:rPr>
        <w:tab/>
      </w:r>
      <w:r w:rsidRPr="00DB265F">
        <w:rPr>
          <w:i/>
          <w:sz w:val="20"/>
          <w:szCs w:val="20"/>
        </w:rPr>
        <w:t xml:space="preserve">Comprises </w:t>
      </w:r>
      <w:r>
        <w:rPr>
          <w:i/>
          <w:sz w:val="20"/>
          <w:szCs w:val="20"/>
        </w:rPr>
        <w:t>materials entering</w:t>
      </w:r>
      <w:r w:rsidRPr="00DB265F">
        <w:rPr>
          <w:i/>
          <w:sz w:val="20"/>
          <w:szCs w:val="20"/>
        </w:rPr>
        <w:t xml:space="preserve"> </w:t>
      </w:r>
      <w:r w:rsidR="00477F9B">
        <w:rPr>
          <w:i/>
          <w:sz w:val="20"/>
          <w:szCs w:val="20"/>
        </w:rPr>
        <w:t>recovery</w:t>
      </w:r>
      <w:r w:rsidRPr="00DB265F">
        <w:rPr>
          <w:i/>
          <w:sz w:val="20"/>
          <w:szCs w:val="20"/>
        </w:rPr>
        <w:t xml:space="preserve"> processes.</w:t>
      </w:r>
      <w:r w:rsidR="00477F9B">
        <w:rPr>
          <w:i/>
          <w:sz w:val="20"/>
          <w:szCs w:val="20"/>
        </w:rPr>
        <w:t xml:space="preserve"> </w:t>
      </w:r>
      <w:r w:rsidR="00DC0074">
        <w:rPr>
          <w:i/>
          <w:sz w:val="20"/>
          <w:szCs w:val="20"/>
        </w:rPr>
        <w:t>E</w:t>
      </w:r>
      <w:r w:rsidR="00477F9B">
        <w:rPr>
          <w:i/>
          <w:sz w:val="20"/>
          <w:szCs w:val="20"/>
        </w:rPr>
        <w:t>xcludes energy recovery via landfill gas.</w:t>
      </w:r>
      <w:r>
        <w:rPr>
          <w:i/>
          <w:sz w:val="20"/>
          <w:szCs w:val="20"/>
        </w:rPr>
        <w:t xml:space="preserve"> </w:t>
      </w:r>
    </w:p>
    <w:p w14:paraId="17ACB293" w14:textId="77777777" w:rsidR="00DC0074" w:rsidRDefault="00DC0074">
      <w:pPr>
        <w:rPr>
          <w:i/>
          <w:sz w:val="20"/>
          <w:szCs w:val="20"/>
        </w:rPr>
      </w:pPr>
      <w:r>
        <w:rPr>
          <w:i/>
          <w:sz w:val="20"/>
          <w:szCs w:val="20"/>
        </w:rPr>
        <w:br w:type="page"/>
      </w:r>
    </w:p>
    <w:p w14:paraId="105EBE69" w14:textId="4D982B12" w:rsidR="00802241" w:rsidRDefault="00802241" w:rsidP="001B1601">
      <w:pPr>
        <w:pStyle w:val="Heading1"/>
      </w:pPr>
      <w:r>
        <w:lastRenderedPageBreak/>
        <w:t xml:space="preserve">Australian </w:t>
      </w:r>
      <w:r w:rsidR="00D1532D">
        <w:t xml:space="preserve">waste export </w:t>
      </w:r>
      <w:r>
        <w:t>bans</w:t>
      </w:r>
    </w:p>
    <w:p w14:paraId="743CF291" w14:textId="423F6B30" w:rsidR="00237618" w:rsidRDefault="001B1601" w:rsidP="00802241">
      <w:pPr>
        <w:pStyle w:val="BodyText"/>
      </w:pPr>
      <w:r>
        <w:t xml:space="preserve">In </w:t>
      </w:r>
      <w:r w:rsidR="004900CC">
        <w:t>March 2020</w:t>
      </w:r>
      <w:r>
        <w:t>, the former</w:t>
      </w:r>
      <w:r w:rsidR="004900CC">
        <w:t xml:space="preserve"> </w:t>
      </w:r>
      <w:r w:rsidR="00E16399">
        <w:t xml:space="preserve">COAG </w:t>
      </w:r>
      <w:r w:rsidR="00802241">
        <w:t>agreed</w:t>
      </w:r>
      <w:r>
        <w:t xml:space="preserve"> </w:t>
      </w:r>
      <w:r w:rsidR="00480D94">
        <w:t>to</w:t>
      </w:r>
      <w:r w:rsidR="004900CC">
        <w:t xml:space="preserve"> a timetable for implementing bans on exporting waste glass, paper, plastics and tyres not processed into a value-added material. </w:t>
      </w:r>
      <w:r w:rsidR="00237618">
        <w:t>The relevant export codes and reported 201</w:t>
      </w:r>
      <w:r w:rsidR="004900CC">
        <w:t>9</w:t>
      </w:r>
      <w:r w:rsidR="00237618">
        <w:t>-</w:t>
      </w:r>
      <w:r w:rsidR="004900CC">
        <w:t>20</w:t>
      </w:r>
      <w:r w:rsidR="00237618">
        <w:t xml:space="preserve"> tonnages and values are given in </w:t>
      </w:r>
      <w:r w:rsidR="008A1B1E">
        <w:fldChar w:fldCharType="begin"/>
      </w:r>
      <w:r w:rsidR="008A1B1E">
        <w:instrText xml:space="preserve"> REF _Ref18921984 \h </w:instrText>
      </w:r>
      <w:r w:rsidR="008A1B1E">
        <w:fldChar w:fldCharType="separate"/>
      </w:r>
      <w:r w:rsidR="009223D9" w:rsidRPr="00BE4484">
        <w:t xml:space="preserve">Table </w:t>
      </w:r>
      <w:r w:rsidR="009223D9">
        <w:rPr>
          <w:noProof/>
        </w:rPr>
        <w:t>2</w:t>
      </w:r>
      <w:r w:rsidR="008A1B1E">
        <w:fldChar w:fldCharType="end"/>
      </w:r>
      <w:r w:rsidR="004967FE">
        <w:t>.</w:t>
      </w:r>
      <w:r w:rsidR="00A0016D">
        <w:t xml:space="preserve"> </w:t>
      </w:r>
      <w:r w:rsidR="00821195">
        <w:t xml:space="preserve">A total of </w:t>
      </w:r>
      <w:r w:rsidR="00177AEA" w:rsidRPr="00177AEA">
        <w:t>1.</w:t>
      </w:r>
      <w:r w:rsidR="00E16399">
        <w:t>29</w:t>
      </w:r>
      <w:r w:rsidR="00D84D73">
        <w:t> </w:t>
      </w:r>
      <w:r w:rsidR="00821195">
        <w:t>Mt</w:t>
      </w:r>
      <w:r w:rsidR="00A0016D" w:rsidRPr="00177AEA">
        <w:t xml:space="preserve"> with a </w:t>
      </w:r>
      <w:r w:rsidR="00A0016D" w:rsidRPr="00CA3031">
        <w:t>value of $2</w:t>
      </w:r>
      <w:r w:rsidR="00CA3031" w:rsidRPr="00CA3031">
        <w:t>23</w:t>
      </w:r>
      <w:r w:rsidR="00D84D73">
        <w:t> </w:t>
      </w:r>
      <w:r w:rsidR="00A0016D" w:rsidRPr="00CA3031">
        <w:t>million</w:t>
      </w:r>
      <w:r w:rsidR="00821195">
        <w:t xml:space="preserve"> were exported </w:t>
      </w:r>
      <w:r w:rsidR="00480D94">
        <w:t>under</w:t>
      </w:r>
      <w:r w:rsidR="00821195">
        <w:t xml:space="preserve"> these codes. An estimated 61</w:t>
      </w:r>
      <w:r w:rsidR="00C52AA5">
        <w:t>3</w:t>
      </w:r>
      <w:r w:rsidR="00821195">
        <w:t xml:space="preserve"> kt are potentially affected by the bans.</w:t>
      </w:r>
    </w:p>
    <w:p w14:paraId="1E99515C" w14:textId="7AD3046B" w:rsidR="00C770C0" w:rsidRDefault="00C770C0" w:rsidP="00802241">
      <w:pPr>
        <w:pStyle w:val="BodyText"/>
      </w:pPr>
    </w:p>
    <w:p w14:paraId="00E74F29" w14:textId="45C4E661" w:rsidR="00237618" w:rsidRPr="00BE4484" w:rsidRDefault="008A1B1E" w:rsidP="00BE4484">
      <w:pPr>
        <w:pStyle w:val="Notes"/>
        <w:rPr>
          <w:sz w:val="22"/>
          <w:szCs w:val="22"/>
        </w:rPr>
      </w:pPr>
      <w:bookmarkStart w:id="20" w:name="_Ref18921984"/>
      <w:r w:rsidRPr="00BE4484">
        <w:rPr>
          <w:sz w:val="22"/>
          <w:szCs w:val="22"/>
        </w:rPr>
        <w:t xml:space="preserve">Table </w:t>
      </w:r>
      <w:r w:rsidR="00766E01" w:rsidRPr="00BE4484">
        <w:rPr>
          <w:sz w:val="22"/>
          <w:szCs w:val="22"/>
        </w:rPr>
        <w:fldChar w:fldCharType="begin"/>
      </w:r>
      <w:r w:rsidR="00766E01" w:rsidRPr="00BE4484">
        <w:rPr>
          <w:sz w:val="22"/>
          <w:szCs w:val="22"/>
        </w:rPr>
        <w:instrText xml:space="preserve"> SEQ Table \* ARABIC </w:instrText>
      </w:r>
      <w:r w:rsidR="00766E01" w:rsidRPr="00BE4484">
        <w:rPr>
          <w:sz w:val="22"/>
          <w:szCs w:val="22"/>
        </w:rPr>
        <w:fldChar w:fldCharType="separate"/>
      </w:r>
      <w:r w:rsidR="009223D9">
        <w:rPr>
          <w:noProof/>
          <w:sz w:val="22"/>
          <w:szCs w:val="22"/>
        </w:rPr>
        <w:t>2</w:t>
      </w:r>
      <w:r w:rsidR="00766E01" w:rsidRPr="00BE4484">
        <w:rPr>
          <w:noProof/>
          <w:sz w:val="22"/>
          <w:szCs w:val="22"/>
        </w:rPr>
        <w:fldChar w:fldCharType="end"/>
      </w:r>
      <w:bookmarkEnd w:id="20"/>
      <w:r w:rsidRPr="00BE4484">
        <w:rPr>
          <w:sz w:val="22"/>
          <w:szCs w:val="22"/>
        </w:rPr>
        <w:tab/>
        <w:t>201</w:t>
      </w:r>
      <w:r w:rsidR="004900CC" w:rsidRPr="00BE4484">
        <w:rPr>
          <w:sz w:val="22"/>
          <w:szCs w:val="22"/>
        </w:rPr>
        <w:t>9</w:t>
      </w:r>
      <w:r w:rsidRPr="00BE4484">
        <w:rPr>
          <w:sz w:val="22"/>
          <w:szCs w:val="22"/>
        </w:rPr>
        <w:t>-</w:t>
      </w:r>
      <w:r w:rsidR="004900CC" w:rsidRPr="00BE4484">
        <w:rPr>
          <w:sz w:val="22"/>
          <w:szCs w:val="22"/>
        </w:rPr>
        <w:t>20</w:t>
      </w:r>
      <w:r w:rsidRPr="00BE4484">
        <w:rPr>
          <w:sz w:val="22"/>
          <w:szCs w:val="22"/>
        </w:rPr>
        <w:t xml:space="preserve"> exports of waste-derived materials subject to the Australian export bans (</w:t>
      </w:r>
      <w:r w:rsidR="005130B0" w:rsidRPr="00BE4484">
        <w:rPr>
          <w:sz w:val="22"/>
          <w:szCs w:val="22"/>
        </w:rPr>
        <w:t xml:space="preserve">reported </w:t>
      </w:r>
      <w:r w:rsidRPr="00BE4484">
        <w:rPr>
          <w:sz w:val="22"/>
          <w:szCs w:val="22"/>
        </w:rPr>
        <w:t>quantity and value)</w:t>
      </w:r>
    </w:p>
    <w:tbl>
      <w:tblPr>
        <w:tblStyle w:val="BE-table1"/>
        <w:tblW w:w="9515" w:type="dxa"/>
        <w:tblLook w:val="04A0" w:firstRow="1" w:lastRow="0" w:firstColumn="1" w:lastColumn="0" w:noHBand="0" w:noVBand="1"/>
      </w:tblPr>
      <w:tblGrid>
        <w:gridCol w:w="1054"/>
        <w:gridCol w:w="638"/>
        <w:gridCol w:w="1027"/>
        <w:gridCol w:w="2949"/>
        <w:gridCol w:w="692"/>
        <w:gridCol w:w="875"/>
        <w:gridCol w:w="1227"/>
        <w:gridCol w:w="1053"/>
      </w:tblGrid>
      <w:tr w:rsidR="004900CC" w14:paraId="1AB29580" w14:textId="4E2CC0F4" w:rsidTr="001B1601">
        <w:trPr>
          <w:cnfStyle w:val="100000000000" w:firstRow="1" w:lastRow="0" w:firstColumn="0" w:lastColumn="0" w:oddVBand="0" w:evenVBand="0" w:oddHBand="0" w:evenHBand="0" w:firstRowFirstColumn="0" w:firstRowLastColumn="0" w:lastRowFirstColumn="0" w:lastRowLastColumn="0"/>
          <w:tblHeader/>
        </w:trPr>
        <w:tc>
          <w:tcPr>
            <w:tcW w:w="1054" w:type="dxa"/>
            <w:shd w:val="clear" w:color="auto" w:fill="4B4BB3"/>
          </w:tcPr>
          <w:p w14:paraId="40C3C0F3" w14:textId="77777777" w:rsidR="004900CC" w:rsidRDefault="004900CC" w:rsidP="00D87EF2">
            <w:pPr>
              <w:pStyle w:val="BodyText"/>
            </w:pPr>
            <w:r>
              <w:t>Material</w:t>
            </w:r>
          </w:p>
        </w:tc>
        <w:tc>
          <w:tcPr>
            <w:tcW w:w="638" w:type="dxa"/>
            <w:shd w:val="clear" w:color="auto" w:fill="4B4BB3"/>
          </w:tcPr>
          <w:p w14:paraId="30CE0458" w14:textId="77777777" w:rsidR="004900CC" w:rsidRDefault="004900CC" w:rsidP="00D87EF2">
            <w:pPr>
              <w:pStyle w:val="BodyText"/>
            </w:pPr>
            <w:r>
              <w:t>Ban date</w:t>
            </w:r>
          </w:p>
        </w:tc>
        <w:tc>
          <w:tcPr>
            <w:tcW w:w="1027" w:type="dxa"/>
            <w:shd w:val="clear" w:color="auto" w:fill="4B4BB3"/>
          </w:tcPr>
          <w:p w14:paraId="6A89642E" w14:textId="77777777" w:rsidR="004900CC" w:rsidRDefault="004900CC" w:rsidP="00D87EF2">
            <w:pPr>
              <w:pStyle w:val="BodyText"/>
            </w:pPr>
            <w:r>
              <w:t>AHECC code</w:t>
            </w:r>
          </w:p>
        </w:tc>
        <w:tc>
          <w:tcPr>
            <w:tcW w:w="2959" w:type="dxa"/>
            <w:tcBorders>
              <w:right w:val="nil"/>
            </w:tcBorders>
            <w:shd w:val="clear" w:color="auto" w:fill="4B4BB3"/>
          </w:tcPr>
          <w:p w14:paraId="33D52C1A" w14:textId="77777777" w:rsidR="004900CC" w:rsidRDefault="004900CC" w:rsidP="00D87EF2">
            <w:pPr>
              <w:pStyle w:val="BodyText"/>
            </w:pPr>
            <w:r>
              <w:t>AHECC description</w:t>
            </w:r>
          </w:p>
        </w:tc>
        <w:tc>
          <w:tcPr>
            <w:tcW w:w="1556" w:type="dxa"/>
            <w:gridSpan w:val="2"/>
            <w:tcBorders>
              <w:left w:val="nil"/>
            </w:tcBorders>
            <w:shd w:val="clear" w:color="auto" w:fill="4B4BB3"/>
            <w:vAlign w:val="center"/>
          </w:tcPr>
          <w:p w14:paraId="1409B0CC" w14:textId="5FA06B56" w:rsidR="004900CC" w:rsidRDefault="004900CC" w:rsidP="00D87EF2">
            <w:pPr>
              <w:pStyle w:val="BodyText"/>
              <w:jc w:val="right"/>
            </w:pPr>
            <w:r>
              <w:t>2019-20 exports in this code (rounded tonnes)</w:t>
            </w:r>
          </w:p>
        </w:tc>
        <w:tc>
          <w:tcPr>
            <w:tcW w:w="1228" w:type="dxa"/>
            <w:shd w:val="clear" w:color="auto" w:fill="4B4BB3"/>
          </w:tcPr>
          <w:p w14:paraId="52D0434C" w14:textId="78E0134E" w:rsidR="004900CC" w:rsidRDefault="004900CC" w:rsidP="00D87EF2">
            <w:pPr>
              <w:pStyle w:val="BodyText"/>
              <w:jc w:val="right"/>
            </w:pPr>
            <w:r>
              <w:t xml:space="preserve">Estimated % </w:t>
            </w:r>
            <w:r w:rsidR="005F3DA4">
              <w:t>banned unless further processed</w:t>
            </w:r>
            <w:r>
              <w:rPr>
                <w:rStyle w:val="FootnoteReference"/>
              </w:rPr>
              <w:footnoteReference w:id="6"/>
            </w:r>
          </w:p>
        </w:tc>
        <w:tc>
          <w:tcPr>
            <w:tcW w:w="1053" w:type="dxa"/>
            <w:shd w:val="clear" w:color="auto" w:fill="4B4BB3"/>
          </w:tcPr>
          <w:p w14:paraId="25F33B44" w14:textId="153BC759" w:rsidR="004900CC" w:rsidRDefault="004900CC" w:rsidP="00D87EF2">
            <w:pPr>
              <w:pStyle w:val="BodyText"/>
              <w:jc w:val="right"/>
            </w:pPr>
            <w:r>
              <w:t>2019-20 value of exports in this code ($</w:t>
            </w:r>
            <w:r w:rsidR="00CA3031">
              <w:t>million</w:t>
            </w:r>
            <w:r>
              <w:t>)</w:t>
            </w:r>
          </w:p>
        </w:tc>
      </w:tr>
      <w:tr w:rsidR="004900CC" w14:paraId="65C14CC3" w14:textId="7F356562" w:rsidTr="004F107B">
        <w:tc>
          <w:tcPr>
            <w:tcW w:w="1054" w:type="dxa"/>
            <w:vAlign w:val="center"/>
          </w:tcPr>
          <w:p w14:paraId="501E0FA3" w14:textId="77777777" w:rsidR="004900CC" w:rsidRDefault="004900CC" w:rsidP="00C770C0">
            <w:pPr>
              <w:pStyle w:val="BodyText"/>
            </w:pPr>
            <w:r w:rsidRPr="00740C3B">
              <w:t>Glass</w:t>
            </w:r>
          </w:p>
        </w:tc>
        <w:tc>
          <w:tcPr>
            <w:tcW w:w="638" w:type="dxa"/>
            <w:vAlign w:val="center"/>
          </w:tcPr>
          <w:p w14:paraId="2C4ACCA3" w14:textId="77777777" w:rsidR="004900CC" w:rsidRPr="00740C3B" w:rsidRDefault="004900CC" w:rsidP="00C770C0">
            <w:pPr>
              <w:pStyle w:val="BodyText"/>
            </w:pPr>
            <w:r>
              <w:t>Jan 2021</w:t>
            </w:r>
          </w:p>
        </w:tc>
        <w:tc>
          <w:tcPr>
            <w:tcW w:w="1027" w:type="dxa"/>
            <w:vAlign w:val="center"/>
          </w:tcPr>
          <w:p w14:paraId="4C995CAF" w14:textId="77777777" w:rsidR="004900CC" w:rsidRDefault="004900CC" w:rsidP="00C770C0">
            <w:pPr>
              <w:pStyle w:val="BodyText"/>
            </w:pPr>
            <w:r w:rsidRPr="00740C3B">
              <w:t>70010000</w:t>
            </w:r>
          </w:p>
        </w:tc>
        <w:tc>
          <w:tcPr>
            <w:tcW w:w="3655" w:type="dxa"/>
            <w:gridSpan w:val="2"/>
            <w:vAlign w:val="center"/>
          </w:tcPr>
          <w:p w14:paraId="32858CC0" w14:textId="77777777" w:rsidR="004900CC" w:rsidRDefault="004900CC" w:rsidP="00C770C0">
            <w:pPr>
              <w:pStyle w:val="BodyText"/>
            </w:pPr>
            <w:r w:rsidRPr="00740C3B">
              <w:t>Cullet and other waste and scrap of glass; glass in the mass</w:t>
            </w:r>
          </w:p>
        </w:tc>
        <w:tc>
          <w:tcPr>
            <w:tcW w:w="860" w:type="dxa"/>
            <w:vAlign w:val="center"/>
          </w:tcPr>
          <w:p w14:paraId="48758029" w14:textId="21FC39CA" w:rsidR="004900CC" w:rsidRPr="002F026E" w:rsidRDefault="004900CC" w:rsidP="00C770C0">
            <w:pPr>
              <w:pStyle w:val="BodyText"/>
              <w:jc w:val="right"/>
              <w:rPr>
                <w:szCs w:val="20"/>
              </w:rPr>
            </w:pPr>
            <w:r>
              <w:rPr>
                <w:szCs w:val="20"/>
              </w:rPr>
              <w:t>26,000</w:t>
            </w:r>
          </w:p>
        </w:tc>
        <w:tc>
          <w:tcPr>
            <w:tcW w:w="1228" w:type="dxa"/>
            <w:vAlign w:val="center"/>
          </w:tcPr>
          <w:p w14:paraId="5EC279A3" w14:textId="77777777" w:rsidR="004900CC" w:rsidRDefault="004900CC" w:rsidP="00C770C0">
            <w:pPr>
              <w:pStyle w:val="BodyText"/>
              <w:jc w:val="right"/>
            </w:pPr>
            <w:r w:rsidRPr="00773ED4">
              <w:t>100%</w:t>
            </w:r>
            <w:r>
              <w:t xml:space="preserve"> </w:t>
            </w:r>
            <w:r>
              <w:rPr>
                <w:rStyle w:val="FootnoteReference"/>
              </w:rPr>
              <w:footnoteReference w:id="7"/>
            </w:r>
          </w:p>
        </w:tc>
        <w:tc>
          <w:tcPr>
            <w:tcW w:w="1053" w:type="dxa"/>
            <w:vAlign w:val="center"/>
          </w:tcPr>
          <w:p w14:paraId="3E7F5DF5" w14:textId="752DF668" w:rsidR="004900CC" w:rsidRPr="00773ED4" w:rsidRDefault="00CA3031" w:rsidP="00C770C0">
            <w:pPr>
              <w:pStyle w:val="BodyText"/>
              <w:jc w:val="right"/>
            </w:pPr>
            <w:r>
              <w:t>1.37</w:t>
            </w:r>
          </w:p>
        </w:tc>
      </w:tr>
      <w:tr w:rsidR="00C770C0" w14:paraId="7BFA0E67" w14:textId="3744557F" w:rsidTr="004F107B">
        <w:tc>
          <w:tcPr>
            <w:tcW w:w="1054" w:type="dxa"/>
            <w:vMerge w:val="restart"/>
            <w:vAlign w:val="center"/>
          </w:tcPr>
          <w:p w14:paraId="43AAB9EB" w14:textId="77777777" w:rsidR="00C770C0" w:rsidRDefault="00C770C0" w:rsidP="00C770C0">
            <w:pPr>
              <w:pStyle w:val="BodyText"/>
            </w:pPr>
            <w:r w:rsidRPr="00740C3B">
              <w:t xml:space="preserve">Paper </w:t>
            </w:r>
            <w:r>
              <w:t>and</w:t>
            </w:r>
            <w:r w:rsidRPr="00740C3B">
              <w:t xml:space="preserve"> cardboard</w:t>
            </w:r>
          </w:p>
        </w:tc>
        <w:tc>
          <w:tcPr>
            <w:tcW w:w="638" w:type="dxa"/>
            <w:vMerge w:val="restart"/>
            <w:vAlign w:val="center"/>
          </w:tcPr>
          <w:p w14:paraId="07AB477D" w14:textId="77777777" w:rsidR="00C770C0" w:rsidRPr="00740C3B" w:rsidRDefault="00C770C0" w:rsidP="00C770C0">
            <w:pPr>
              <w:pStyle w:val="BodyText"/>
            </w:pPr>
            <w:r>
              <w:t>Jul 2024</w:t>
            </w:r>
          </w:p>
        </w:tc>
        <w:tc>
          <w:tcPr>
            <w:tcW w:w="1027" w:type="dxa"/>
            <w:vAlign w:val="center"/>
          </w:tcPr>
          <w:p w14:paraId="50E23517" w14:textId="77777777" w:rsidR="00C770C0" w:rsidRDefault="00C770C0" w:rsidP="00C770C0">
            <w:pPr>
              <w:pStyle w:val="BodyText"/>
            </w:pPr>
            <w:r w:rsidRPr="00740C3B">
              <w:t>47071000</w:t>
            </w:r>
          </w:p>
        </w:tc>
        <w:tc>
          <w:tcPr>
            <w:tcW w:w="3655" w:type="dxa"/>
            <w:gridSpan w:val="2"/>
            <w:vAlign w:val="center"/>
          </w:tcPr>
          <w:p w14:paraId="111B936B" w14:textId="77777777" w:rsidR="00C770C0" w:rsidRDefault="00C770C0" w:rsidP="00C770C0">
            <w:pPr>
              <w:pStyle w:val="BodyText"/>
            </w:pPr>
            <w:r w:rsidRPr="00740C3B">
              <w:t>Recovered (waste and scrap), unbleached, kraft paper or paperboard or corrugated paper or paperboard</w:t>
            </w:r>
          </w:p>
        </w:tc>
        <w:tc>
          <w:tcPr>
            <w:tcW w:w="860" w:type="dxa"/>
            <w:vAlign w:val="center"/>
          </w:tcPr>
          <w:p w14:paraId="69F31E1A" w14:textId="75445E1E" w:rsidR="00C770C0" w:rsidRPr="002F026E" w:rsidRDefault="00C770C0" w:rsidP="00C770C0">
            <w:pPr>
              <w:pStyle w:val="BodyText"/>
              <w:jc w:val="right"/>
              <w:rPr>
                <w:szCs w:val="20"/>
              </w:rPr>
            </w:pPr>
            <w:r>
              <w:rPr>
                <w:rFonts w:cs="Calibri"/>
                <w:color w:val="000000"/>
                <w:szCs w:val="20"/>
              </w:rPr>
              <w:t>548,000</w:t>
            </w:r>
          </w:p>
        </w:tc>
        <w:tc>
          <w:tcPr>
            <w:tcW w:w="1228" w:type="dxa"/>
            <w:vAlign w:val="center"/>
          </w:tcPr>
          <w:p w14:paraId="2ED6A80F" w14:textId="17ECFFBA" w:rsidR="00C770C0" w:rsidRDefault="00C770C0" w:rsidP="00C770C0">
            <w:pPr>
              <w:pStyle w:val="BodyText"/>
              <w:jc w:val="right"/>
            </w:pPr>
            <w:r>
              <w:t xml:space="preserve">0% </w:t>
            </w:r>
          </w:p>
        </w:tc>
        <w:tc>
          <w:tcPr>
            <w:tcW w:w="1053" w:type="dxa"/>
            <w:vAlign w:val="center"/>
          </w:tcPr>
          <w:p w14:paraId="5390CCA4" w14:textId="467876FF" w:rsidR="00C770C0" w:rsidRDefault="00C770C0" w:rsidP="00C770C0">
            <w:pPr>
              <w:pStyle w:val="BodyText"/>
              <w:jc w:val="right"/>
            </w:pPr>
            <w:r>
              <w:t>76.9</w:t>
            </w:r>
          </w:p>
        </w:tc>
      </w:tr>
      <w:tr w:rsidR="00C770C0" w14:paraId="62190BAB" w14:textId="750791CE" w:rsidTr="004F107B">
        <w:tc>
          <w:tcPr>
            <w:tcW w:w="1054" w:type="dxa"/>
            <w:vMerge/>
            <w:vAlign w:val="center"/>
          </w:tcPr>
          <w:p w14:paraId="43078625" w14:textId="77777777" w:rsidR="00C770C0" w:rsidRPr="00740C3B" w:rsidRDefault="00C770C0" w:rsidP="00C770C0">
            <w:pPr>
              <w:pStyle w:val="BodyText"/>
            </w:pPr>
          </w:p>
        </w:tc>
        <w:tc>
          <w:tcPr>
            <w:tcW w:w="638" w:type="dxa"/>
            <w:vMerge/>
            <w:vAlign w:val="center"/>
          </w:tcPr>
          <w:p w14:paraId="12B215AE" w14:textId="77777777" w:rsidR="00C770C0" w:rsidRDefault="00C770C0" w:rsidP="00C770C0">
            <w:pPr>
              <w:pStyle w:val="BodyText"/>
            </w:pPr>
          </w:p>
        </w:tc>
        <w:tc>
          <w:tcPr>
            <w:tcW w:w="1027" w:type="dxa"/>
            <w:vAlign w:val="center"/>
          </w:tcPr>
          <w:p w14:paraId="54F67EB0" w14:textId="77777777" w:rsidR="00C770C0" w:rsidRPr="00740C3B" w:rsidRDefault="00C770C0" w:rsidP="00C770C0">
            <w:pPr>
              <w:pStyle w:val="BodyText"/>
            </w:pPr>
            <w:r w:rsidRPr="00740C3B">
              <w:t>47072000</w:t>
            </w:r>
          </w:p>
        </w:tc>
        <w:tc>
          <w:tcPr>
            <w:tcW w:w="3655" w:type="dxa"/>
            <w:gridSpan w:val="2"/>
            <w:vAlign w:val="center"/>
          </w:tcPr>
          <w:p w14:paraId="0F6714E9" w14:textId="77777777" w:rsidR="00C770C0" w:rsidRPr="00740C3B" w:rsidRDefault="00C770C0" w:rsidP="00C770C0">
            <w:pPr>
              <w:pStyle w:val="BodyText"/>
            </w:pPr>
            <w:r w:rsidRPr="00740C3B">
              <w:t>Recovered (waste and scrap) paper or paperboard, made mainly of bleached chemical pulp, not coloured in the mass</w:t>
            </w:r>
          </w:p>
        </w:tc>
        <w:tc>
          <w:tcPr>
            <w:tcW w:w="860" w:type="dxa"/>
            <w:vAlign w:val="center"/>
          </w:tcPr>
          <w:p w14:paraId="0099E280" w14:textId="66BCFAC9" w:rsidR="00C770C0" w:rsidRPr="002F026E" w:rsidRDefault="00C770C0" w:rsidP="00C770C0">
            <w:pPr>
              <w:pStyle w:val="BodyText"/>
              <w:jc w:val="right"/>
              <w:rPr>
                <w:szCs w:val="20"/>
              </w:rPr>
            </w:pPr>
            <w:r>
              <w:rPr>
                <w:rFonts w:cs="Calibri"/>
                <w:color w:val="000000"/>
                <w:szCs w:val="20"/>
              </w:rPr>
              <w:t>3,700</w:t>
            </w:r>
          </w:p>
        </w:tc>
        <w:tc>
          <w:tcPr>
            <w:tcW w:w="1228" w:type="dxa"/>
            <w:vAlign w:val="center"/>
          </w:tcPr>
          <w:p w14:paraId="2A92F04A" w14:textId="429CBC39" w:rsidR="00C770C0" w:rsidRPr="00740C3B" w:rsidRDefault="00C770C0" w:rsidP="00C770C0">
            <w:pPr>
              <w:pStyle w:val="BodyText"/>
              <w:jc w:val="right"/>
            </w:pPr>
            <w:r>
              <w:t>0%</w:t>
            </w:r>
          </w:p>
        </w:tc>
        <w:tc>
          <w:tcPr>
            <w:tcW w:w="1053" w:type="dxa"/>
            <w:vAlign w:val="center"/>
          </w:tcPr>
          <w:p w14:paraId="3E71910F" w14:textId="55CF938A" w:rsidR="00C770C0" w:rsidRPr="00740C3B" w:rsidRDefault="00C770C0" w:rsidP="00C770C0">
            <w:pPr>
              <w:pStyle w:val="BodyText"/>
              <w:jc w:val="right"/>
            </w:pPr>
            <w:r>
              <w:t>1.07</w:t>
            </w:r>
          </w:p>
        </w:tc>
      </w:tr>
      <w:tr w:rsidR="00C770C0" w14:paraId="31887D5A" w14:textId="25D6C4CB" w:rsidTr="004F107B">
        <w:tc>
          <w:tcPr>
            <w:tcW w:w="1054" w:type="dxa"/>
            <w:vMerge/>
            <w:vAlign w:val="center"/>
          </w:tcPr>
          <w:p w14:paraId="75E17AB8" w14:textId="77777777" w:rsidR="00C770C0" w:rsidRDefault="00C770C0" w:rsidP="00C770C0">
            <w:pPr>
              <w:pStyle w:val="BodyText"/>
            </w:pPr>
          </w:p>
        </w:tc>
        <w:tc>
          <w:tcPr>
            <w:tcW w:w="638" w:type="dxa"/>
            <w:vMerge/>
            <w:vAlign w:val="center"/>
          </w:tcPr>
          <w:p w14:paraId="662DD409" w14:textId="77777777" w:rsidR="00C770C0" w:rsidRPr="00740C3B" w:rsidRDefault="00C770C0" w:rsidP="00C770C0">
            <w:pPr>
              <w:pStyle w:val="BodyText"/>
            </w:pPr>
          </w:p>
        </w:tc>
        <w:tc>
          <w:tcPr>
            <w:tcW w:w="1027" w:type="dxa"/>
            <w:vAlign w:val="center"/>
          </w:tcPr>
          <w:p w14:paraId="072C4C64" w14:textId="77777777" w:rsidR="00C770C0" w:rsidRDefault="00C770C0" w:rsidP="00C770C0">
            <w:pPr>
              <w:pStyle w:val="BodyText"/>
            </w:pPr>
            <w:r w:rsidRPr="00740C3B">
              <w:t>47073000</w:t>
            </w:r>
          </w:p>
        </w:tc>
        <w:tc>
          <w:tcPr>
            <w:tcW w:w="3655" w:type="dxa"/>
            <w:gridSpan w:val="2"/>
            <w:vAlign w:val="center"/>
          </w:tcPr>
          <w:p w14:paraId="497B5A1D" w14:textId="7624D204" w:rsidR="00C770C0" w:rsidRDefault="00C770C0" w:rsidP="00C770C0">
            <w:pPr>
              <w:pStyle w:val="BodyText"/>
            </w:pPr>
            <w:r w:rsidRPr="00740C3B">
              <w:t>Recovered (waste and scrap) paper or paperboard, made mainly of mechanical pulp (</w:t>
            </w:r>
            <w:r>
              <w:t>e.g.</w:t>
            </w:r>
            <w:r w:rsidRPr="00740C3B">
              <w:t xml:space="preserve"> newspapers</w:t>
            </w:r>
            <w:r w:rsidR="00E46F3E">
              <w:t xml:space="preserve"> and</w:t>
            </w:r>
            <w:r w:rsidRPr="00740C3B">
              <w:t xml:space="preserve"> journals)</w:t>
            </w:r>
          </w:p>
        </w:tc>
        <w:tc>
          <w:tcPr>
            <w:tcW w:w="860" w:type="dxa"/>
            <w:vAlign w:val="center"/>
          </w:tcPr>
          <w:p w14:paraId="1C3CF6CF" w14:textId="247F6EA1" w:rsidR="00C770C0" w:rsidRPr="002F026E" w:rsidRDefault="00C770C0" w:rsidP="00C770C0">
            <w:pPr>
              <w:pStyle w:val="BodyText"/>
              <w:jc w:val="right"/>
              <w:rPr>
                <w:szCs w:val="20"/>
              </w:rPr>
            </w:pPr>
            <w:r>
              <w:rPr>
                <w:rFonts w:cs="Calibri"/>
                <w:color w:val="000000"/>
                <w:szCs w:val="20"/>
              </w:rPr>
              <w:t>69,000</w:t>
            </w:r>
          </w:p>
        </w:tc>
        <w:tc>
          <w:tcPr>
            <w:tcW w:w="1228" w:type="dxa"/>
            <w:vAlign w:val="center"/>
          </w:tcPr>
          <w:p w14:paraId="69D528BB" w14:textId="6932BEA8" w:rsidR="00C770C0" w:rsidRDefault="00C770C0" w:rsidP="00C770C0">
            <w:pPr>
              <w:pStyle w:val="BodyText"/>
              <w:jc w:val="right"/>
            </w:pPr>
            <w:r>
              <w:t>0%</w:t>
            </w:r>
          </w:p>
        </w:tc>
        <w:tc>
          <w:tcPr>
            <w:tcW w:w="1053" w:type="dxa"/>
            <w:vAlign w:val="center"/>
          </w:tcPr>
          <w:p w14:paraId="3B485924" w14:textId="22A833E5" w:rsidR="00C770C0" w:rsidRDefault="00C770C0" w:rsidP="00C770C0">
            <w:pPr>
              <w:pStyle w:val="BodyText"/>
              <w:jc w:val="right"/>
            </w:pPr>
            <w:r>
              <w:t>7.94</w:t>
            </w:r>
          </w:p>
        </w:tc>
      </w:tr>
      <w:tr w:rsidR="00C770C0" w14:paraId="0CC95481" w14:textId="61909929" w:rsidTr="004F107B">
        <w:tc>
          <w:tcPr>
            <w:tcW w:w="1054" w:type="dxa"/>
            <w:vMerge/>
            <w:vAlign w:val="center"/>
          </w:tcPr>
          <w:p w14:paraId="5C3DC35B" w14:textId="77777777" w:rsidR="00C770C0" w:rsidRDefault="00C770C0" w:rsidP="00C770C0">
            <w:pPr>
              <w:pStyle w:val="BodyText"/>
            </w:pPr>
          </w:p>
        </w:tc>
        <w:tc>
          <w:tcPr>
            <w:tcW w:w="638" w:type="dxa"/>
            <w:vMerge/>
            <w:vAlign w:val="center"/>
          </w:tcPr>
          <w:p w14:paraId="487C55D8" w14:textId="77777777" w:rsidR="00C770C0" w:rsidRPr="00740C3B" w:rsidRDefault="00C770C0" w:rsidP="00C770C0">
            <w:pPr>
              <w:pStyle w:val="BodyText"/>
            </w:pPr>
          </w:p>
        </w:tc>
        <w:tc>
          <w:tcPr>
            <w:tcW w:w="1027" w:type="dxa"/>
            <w:vAlign w:val="center"/>
          </w:tcPr>
          <w:p w14:paraId="64F62CDD" w14:textId="77777777" w:rsidR="00C770C0" w:rsidRDefault="00C770C0" w:rsidP="00C770C0">
            <w:pPr>
              <w:pStyle w:val="BodyText"/>
            </w:pPr>
            <w:r w:rsidRPr="00740C3B">
              <w:t>47079000</w:t>
            </w:r>
          </w:p>
        </w:tc>
        <w:tc>
          <w:tcPr>
            <w:tcW w:w="3655" w:type="dxa"/>
            <w:gridSpan w:val="2"/>
            <w:vAlign w:val="center"/>
          </w:tcPr>
          <w:p w14:paraId="5323FB9E" w14:textId="77777777" w:rsidR="00C770C0" w:rsidRDefault="00C770C0" w:rsidP="00C770C0">
            <w:pPr>
              <w:pStyle w:val="BodyText"/>
            </w:pPr>
            <w:r w:rsidRPr="00740C3B">
              <w:t>Waste and scrap paper or paperboard (incl. unsorted waste &amp; scrap) (excl. unbleached kraft or corrugated (470710); that made mainly from bleached chemical pulp, not coloured in the mass; or made mainly of mechanical pulp)</w:t>
            </w:r>
          </w:p>
        </w:tc>
        <w:tc>
          <w:tcPr>
            <w:tcW w:w="860" w:type="dxa"/>
            <w:vAlign w:val="center"/>
          </w:tcPr>
          <w:p w14:paraId="2678B45E" w14:textId="7A08A1BF" w:rsidR="00C770C0" w:rsidRPr="002F026E" w:rsidRDefault="00C770C0" w:rsidP="00C770C0">
            <w:pPr>
              <w:pStyle w:val="BodyText"/>
              <w:jc w:val="right"/>
              <w:rPr>
                <w:szCs w:val="20"/>
              </w:rPr>
            </w:pPr>
            <w:r>
              <w:rPr>
                <w:rFonts w:cs="Calibri"/>
                <w:color w:val="000000"/>
                <w:szCs w:val="20"/>
              </w:rPr>
              <w:t>445,000</w:t>
            </w:r>
          </w:p>
        </w:tc>
        <w:tc>
          <w:tcPr>
            <w:tcW w:w="1228" w:type="dxa"/>
            <w:vAlign w:val="center"/>
          </w:tcPr>
          <w:p w14:paraId="7FAC3710" w14:textId="6EEAC62D" w:rsidR="00C770C0" w:rsidRDefault="00C770C0" w:rsidP="00C770C0">
            <w:pPr>
              <w:pStyle w:val="BodyText"/>
              <w:jc w:val="right"/>
            </w:pPr>
            <w:r>
              <w:t xml:space="preserve">100% </w:t>
            </w:r>
            <w:r>
              <w:rPr>
                <w:rStyle w:val="FootnoteReference"/>
              </w:rPr>
              <w:footnoteReference w:id="8"/>
            </w:r>
          </w:p>
        </w:tc>
        <w:tc>
          <w:tcPr>
            <w:tcW w:w="1053" w:type="dxa"/>
            <w:vAlign w:val="center"/>
          </w:tcPr>
          <w:p w14:paraId="0350A6FF" w14:textId="28A73A92" w:rsidR="00C770C0" w:rsidRDefault="00C770C0" w:rsidP="00C770C0">
            <w:pPr>
              <w:pStyle w:val="BodyText"/>
              <w:jc w:val="right"/>
            </w:pPr>
            <w:r>
              <w:t>86.5</w:t>
            </w:r>
          </w:p>
        </w:tc>
      </w:tr>
      <w:tr w:rsidR="00C770C0" w14:paraId="3A2B9094" w14:textId="482323BB" w:rsidTr="004F107B">
        <w:tc>
          <w:tcPr>
            <w:tcW w:w="1054" w:type="dxa"/>
            <w:vMerge w:val="restart"/>
            <w:vAlign w:val="center"/>
          </w:tcPr>
          <w:p w14:paraId="22BB9DB9" w14:textId="77777777" w:rsidR="00C770C0" w:rsidRDefault="00C770C0" w:rsidP="00C770C0">
            <w:pPr>
              <w:pStyle w:val="BodyText"/>
            </w:pPr>
            <w:r>
              <w:t>Plastics</w:t>
            </w:r>
          </w:p>
        </w:tc>
        <w:tc>
          <w:tcPr>
            <w:tcW w:w="638" w:type="dxa"/>
            <w:vMerge w:val="restart"/>
            <w:vAlign w:val="center"/>
          </w:tcPr>
          <w:p w14:paraId="129E9947" w14:textId="77777777" w:rsidR="00C770C0" w:rsidRPr="00740C3B" w:rsidRDefault="00C770C0" w:rsidP="00C770C0">
            <w:pPr>
              <w:pStyle w:val="BodyText"/>
            </w:pPr>
            <w:r>
              <w:t>Jul 2022</w:t>
            </w:r>
          </w:p>
        </w:tc>
        <w:tc>
          <w:tcPr>
            <w:tcW w:w="1027" w:type="dxa"/>
            <w:vAlign w:val="center"/>
          </w:tcPr>
          <w:p w14:paraId="696AEED0" w14:textId="77777777" w:rsidR="00C770C0" w:rsidRDefault="00C770C0" w:rsidP="00C770C0">
            <w:pPr>
              <w:pStyle w:val="BodyText"/>
            </w:pPr>
            <w:r w:rsidRPr="00740C3B">
              <w:t>39151000</w:t>
            </w:r>
          </w:p>
        </w:tc>
        <w:tc>
          <w:tcPr>
            <w:tcW w:w="3655" w:type="dxa"/>
            <w:gridSpan w:val="2"/>
            <w:vAlign w:val="center"/>
          </w:tcPr>
          <w:p w14:paraId="4658A057" w14:textId="77777777" w:rsidR="00C770C0" w:rsidRDefault="00C770C0" w:rsidP="00C770C0">
            <w:pPr>
              <w:pStyle w:val="BodyText"/>
            </w:pPr>
            <w:r w:rsidRPr="00740C3B">
              <w:t>Waste, parings and scrap, of polymers of ethylene</w:t>
            </w:r>
          </w:p>
        </w:tc>
        <w:tc>
          <w:tcPr>
            <w:tcW w:w="860" w:type="dxa"/>
            <w:vAlign w:val="center"/>
          </w:tcPr>
          <w:p w14:paraId="510C1055" w14:textId="54177AB1" w:rsidR="00C770C0" w:rsidRPr="002F026E" w:rsidRDefault="00C770C0" w:rsidP="00C770C0">
            <w:pPr>
              <w:pStyle w:val="BodyText"/>
              <w:jc w:val="right"/>
              <w:rPr>
                <w:szCs w:val="20"/>
              </w:rPr>
            </w:pPr>
            <w:r>
              <w:rPr>
                <w:rFonts w:cs="Calibri"/>
                <w:color w:val="000000"/>
                <w:szCs w:val="20"/>
              </w:rPr>
              <w:t>37,000</w:t>
            </w:r>
          </w:p>
        </w:tc>
        <w:tc>
          <w:tcPr>
            <w:tcW w:w="1228" w:type="dxa"/>
            <w:vAlign w:val="center"/>
          </w:tcPr>
          <w:p w14:paraId="56DB67D7" w14:textId="77777777" w:rsidR="00C770C0" w:rsidRDefault="00C770C0" w:rsidP="00C770C0">
            <w:pPr>
              <w:pStyle w:val="BodyText"/>
              <w:jc w:val="right"/>
            </w:pPr>
            <w:r>
              <w:t xml:space="preserve">100% </w:t>
            </w:r>
            <w:bookmarkStart w:id="21" w:name="_Ref49799374"/>
            <w:r>
              <w:rPr>
                <w:rStyle w:val="FootnoteReference"/>
              </w:rPr>
              <w:footnoteReference w:id="9"/>
            </w:r>
            <w:bookmarkEnd w:id="21"/>
          </w:p>
        </w:tc>
        <w:tc>
          <w:tcPr>
            <w:tcW w:w="1053" w:type="dxa"/>
            <w:vAlign w:val="center"/>
          </w:tcPr>
          <w:p w14:paraId="071EA564" w14:textId="6CDB5F70" w:rsidR="00C770C0" w:rsidRDefault="00C770C0" w:rsidP="00C770C0">
            <w:pPr>
              <w:pStyle w:val="BodyText"/>
              <w:jc w:val="right"/>
            </w:pPr>
            <w:r>
              <w:t>11.9</w:t>
            </w:r>
          </w:p>
        </w:tc>
      </w:tr>
      <w:tr w:rsidR="00C770C0" w14:paraId="1EB3B585" w14:textId="3DBB9963" w:rsidTr="004F107B">
        <w:tc>
          <w:tcPr>
            <w:tcW w:w="1054" w:type="dxa"/>
            <w:vMerge/>
            <w:vAlign w:val="center"/>
          </w:tcPr>
          <w:p w14:paraId="34563FB4" w14:textId="77777777" w:rsidR="00C770C0" w:rsidRDefault="00C770C0" w:rsidP="00C770C0">
            <w:pPr>
              <w:pStyle w:val="BodyText"/>
            </w:pPr>
          </w:p>
        </w:tc>
        <w:tc>
          <w:tcPr>
            <w:tcW w:w="638" w:type="dxa"/>
            <w:vMerge/>
            <w:vAlign w:val="center"/>
          </w:tcPr>
          <w:p w14:paraId="6BD6B03C" w14:textId="77777777" w:rsidR="00C770C0" w:rsidRPr="00740C3B" w:rsidRDefault="00C770C0" w:rsidP="00C770C0">
            <w:pPr>
              <w:pStyle w:val="BodyText"/>
            </w:pPr>
          </w:p>
        </w:tc>
        <w:tc>
          <w:tcPr>
            <w:tcW w:w="1027" w:type="dxa"/>
            <w:vAlign w:val="center"/>
          </w:tcPr>
          <w:p w14:paraId="2633D174" w14:textId="77777777" w:rsidR="00C770C0" w:rsidRDefault="00C770C0" w:rsidP="00C770C0">
            <w:pPr>
              <w:pStyle w:val="BodyText"/>
            </w:pPr>
            <w:r w:rsidRPr="00740C3B">
              <w:t>39152000</w:t>
            </w:r>
          </w:p>
        </w:tc>
        <w:tc>
          <w:tcPr>
            <w:tcW w:w="3655" w:type="dxa"/>
            <w:gridSpan w:val="2"/>
            <w:vAlign w:val="center"/>
          </w:tcPr>
          <w:p w14:paraId="2CF71919" w14:textId="77777777" w:rsidR="00C770C0" w:rsidRDefault="00C770C0" w:rsidP="00C770C0">
            <w:pPr>
              <w:pStyle w:val="BodyText"/>
            </w:pPr>
            <w:r w:rsidRPr="00740C3B">
              <w:t>Waste, parings and scrap, of polymers of styrene</w:t>
            </w:r>
          </w:p>
        </w:tc>
        <w:tc>
          <w:tcPr>
            <w:tcW w:w="860" w:type="dxa"/>
            <w:vAlign w:val="center"/>
          </w:tcPr>
          <w:p w14:paraId="1E8A9246" w14:textId="70102198" w:rsidR="00C770C0" w:rsidRPr="002F026E" w:rsidRDefault="00C770C0" w:rsidP="00C770C0">
            <w:pPr>
              <w:pStyle w:val="BodyText"/>
              <w:jc w:val="right"/>
              <w:rPr>
                <w:szCs w:val="20"/>
              </w:rPr>
            </w:pPr>
            <w:r>
              <w:rPr>
                <w:szCs w:val="20"/>
              </w:rPr>
              <w:t>500</w:t>
            </w:r>
          </w:p>
        </w:tc>
        <w:tc>
          <w:tcPr>
            <w:tcW w:w="1228" w:type="dxa"/>
            <w:vAlign w:val="center"/>
          </w:tcPr>
          <w:p w14:paraId="451A5821" w14:textId="17A2E242" w:rsidR="00C770C0" w:rsidRDefault="00C770C0" w:rsidP="00C770C0">
            <w:pPr>
              <w:pStyle w:val="BodyText"/>
              <w:jc w:val="right"/>
            </w:pPr>
            <w:r>
              <w:t xml:space="preserve">100% </w:t>
            </w:r>
            <w:r w:rsidRPr="00C770C0">
              <w:rPr>
                <w:rStyle w:val="FootnoteReference"/>
              </w:rPr>
              <w:fldChar w:fldCharType="begin"/>
            </w:r>
            <w:r w:rsidRPr="00C770C0">
              <w:rPr>
                <w:vertAlign w:val="superscript"/>
              </w:rPr>
              <w:instrText xml:space="preserve"> NOTEREF _Ref49799374 \h </w:instrText>
            </w:r>
            <w:r w:rsidRPr="00C770C0">
              <w:rPr>
                <w:rStyle w:val="FootnoteReference"/>
              </w:rPr>
              <w:instrText xml:space="preserve"> \* MERGEFORMAT </w:instrText>
            </w:r>
            <w:r w:rsidRPr="00C770C0">
              <w:rPr>
                <w:rStyle w:val="FootnoteReference"/>
              </w:rPr>
            </w:r>
            <w:r w:rsidRPr="00C770C0">
              <w:rPr>
                <w:rStyle w:val="FootnoteReference"/>
              </w:rPr>
              <w:fldChar w:fldCharType="separate"/>
            </w:r>
            <w:r w:rsidR="009223D9">
              <w:rPr>
                <w:vertAlign w:val="superscript"/>
              </w:rPr>
              <w:t>9</w:t>
            </w:r>
            <w:r w:rsidRPr="00C770C0">
              <w:rPr>
                <w:rStyle w:val="FootnoteReference"/>
              </w:rPr>
              <w:fldChar w:fldCharType="end"/>
            </w:r>
          </w:p>
        </w:tc>
        <w:tc>
          <w:tcPr>
            <w:tcW w:w="1053" w:type="dxa"/>
            <w:vAlign w:val="center"/>
          </w:tcPr>
          <w:p w14:paraId="60F83D4F" w14:textId="311491B6" w:rsidR="00C770C0" w:rsidRDefault="00C770C0" w:rsidP="00C770C0">
            <w:pPr>
              <w:pStyle w:val="BodyText"/>
              <w:jc w:val="right"/>
            </w:pPr>
            <w:r>
              <w:t>0.15</w:t>
            </w:r>
          </w:p>
        </w:tc>
      </w:tr>
      <w:tr w:rsidR="00C770C0" w14:paraId="42AD5439" w14:textId="2E54F171" w:rsidTr="004F107B">
        <w:tc>
          <w:tcPr>
            <w:tcW w:w="1054" w:type="dxa"/>
            <w:vMerge/>
            <w:vAlign w:val="center"/>
          </w:tcPr>
          <w:p w14:paraId="6F476663" w14:textId="77777777" w:rsidR="00C770C0" w:rsidRDefault="00C770C0" w:rsidP="00C770C0">
            <w:pPr>
              <w:pStyle w:val="BodyText"/>
            </w:pPr>
          </w:p>
        </w:tc>
        <w:tc>
          <w:tcPr>
            <w:tcW w:w="638" w:type="dxa"/>
            <w:vMerge/>
            <w:vAlign w:val="center"/>
          </w:tcPr>
          <w:p w14:paraId="212FD136" w14:textId="77777777" w:rsidR="00C770C0" w:rsidRPr="00740C3B" w:rsidRDefault="00C770C0" w:rsidP="00C770C0">
            <w:pPr>
              <w:pStyle w:val="BodyText"/>
            </w:pPr>
          </w:p>
        </w:tc>
        <w:tc>
          <w:tcPr>
            <w:tcW w:w="1027" w:type="dxa"/>
            <w:vAlign w:val="center"/>
          </w:tcPr>
          <w:p w14:paraId="4279D82A" w14:textId="77777777" w:rsidR="00C770C0" w:rsidRDefault="00C770C0" w:rsidP="00C770C0">
            <w:pPr>
              <w:pStyle w:val="BodyText"/>
            </w:pPr>
            <w:r w:rsidRPr="00740C3B">
              <w:t>39153000</w:t>
            </w:r>
          </w:p>
        </w:tc>
        <w:tc>
          <w:tcPr>
            <w:tcW w:w="3655" w:type="dxa"/>
            <w:gridSpan w:val="2"/>
            <w:vAlign w:val="center"/>
          </w:tcPr>
          <w:p w14:paraId="57668B0A" w14:textId="77777777" w:rsidR="00C770C0" w:rsidRDefault="00C770C0" w:rsidP="00C770C0">
            <w:pPr>
              <w:pStyle w:val="BodyText"/>
            </w:pPr>
            <w:r w:rsidRPr="00740C3B">
              <w:t>Waste, parings and scrap, of polymers of vinyl chloride</w:t>
            </w:r>
          </w:p>
        </w:tc>
        <w:tc>
          <w:tcPr>
            <w:tcW w:w="860" w:type="dxa"/>
            <w:vAlign w:val="center"/>
          </w:tcPr>
          <w:p w14:paraId="13F0D8ED" w14:textId="78078228" w:rsidR="00C770C0" w:rsidRPr="002F026E" w:rsidRDefault="00C770C0" w:rsidP="00C770C0">
            <w:pPr>
              <w:pStyle w:val="BodyText"/>
              <w:jc w:val="right"/>
              <w:rPr>
                <w:szCs w:val="20"/>
              </w:rPr>
            </w:pPr>
            <w:r>
              <w:rPr>
                <w:szCs w:val="20"/>
              </w:rPr>
              <w:t>44</w:t>
            </w:r>
          </w:p>
        </w:tc>
        <w:tc>
          <w:tcPr>
            <w:tcW w:w="1228" w:type="dxa"/>
            <w:vAlign w:val="center"/>
          </w:tcPr>
          <w:p w14:paraId="19BEAADB" w14:textId="3C9CA83E" w:rsidR="00C770C0" w:rsidRDefault="00C770C0" w:rsidP="00C770C0">
            <w:pPr>
              <w:pStyle w:val="BodyText"/>
              <w:jc w:val="right"/>
            </w:pPr>
            <w:r>
              <w:t xml:space="preserve">100% </w:t>
            </w:r>
            <w:r w:rsidRPr="00C770C0">
              <w:rPr>
                <w:rStyle w:val="FootnoteReference"/>
              </w:rPr>
              <w:fldChar w:fldCharType="begin"/>
            </w:r>
            <w:r w:rsidRPr="00C770C0">
              <w:rPr>
                <w:vertAlign w:val="superscript"/>
              </w:rPr>
              <w:instrText xml:space="preserve"> NOTEREF _Ref49799374 \h </w:instrText>
            </w:r>
            <w:r w:rsidRPr="00C770C0">
              <w:rPr>
                <w:rStyle w:val="FootnoteReference"/>
              </w:rPr>
              <w:instrText xml:space="preserve"> \* MERGEFORMAT </w:instrText>
            </w:r>
            <w:r w:rsidRPr="00C770C0">
              <w:rPr>
                <w:rStyle w:val="FootnoteReference"/>
              </w:rPr>
            </w:r>
            <w:r w:rsidRPr="00C770C0">
              <w:rPr>
                <w:rStyle w:val="FootnoteReference"/>
              </w:rPr>
              <w:fldChar w:fldCharType="separate"/>
            </w:r>
            <w:r w:rsidR="009223D9">
              <w:rPr>
                <w:vertAlign w:val="superscript"/>
              </w:rPr>
              <w:t>9</w:t>
            </w:r>
            <w:r w:rsidRPr="00C770C0">
              <w:rPr>
                <w:rStyle w:val="FootnoteReference"/>
              </w:rPr>
              <w:fldChar w:fldCharType="end"/>
            </w:r>
          </w:p>
        </w:tc>
        <w:tc>
          <w:tcPr>
            <w:tcW w:w="1053" w:type="dxa"/>
            <w:vAlign w:val="center"/>
          </w:tcPr>
          <w:p w14:paraId="0BBF4B8E" w14:textId="5B46ED68" w:rsidR="00C770C0" w:rsidRDefault="00C770C0" w:rsidP="00C770C0">
            <w:pPr>
              <w:pStyle w:val="BodyText"/>
              <w:jc w:val="right"/>
            </w:pPr>
            <w:r>
              <w:t>0.01</w:t>
            </w:r>
          </w:p>
        </w:tc>
      </w:tr>
      <w:tr w:rsidR="00C770C0" w14:paraId="5B59AA9C" w14:textId="44C22F59" w:rsidTr="004F107B">
        <w:tc>
          <w:tcPr>
            <w:tcW w:w="1054" w:type="dxa"/>
            <w:vMerge/>
            <w:vAlign w:val="center"/>
          </w:tcPr>
          <w:p w14:paraId="0E84DF2F" w14:textId="77777777" w:rsidR="00C770C0" w:rsidRDefault="00C770C0" w:rsidP="00C770C0">
            <w:pPr>
              <w:pStyle w:val="BodyText"/>
            </w:pPr>
          </w:p>
        </w:tc>
        <w:tc>
          <w:tcPr>
            <w:tcW w:w="638" w:type="dxa"/>
            <w:vAlign w:val="center"/>
          </w:tcPr>
          <w:p w14:paraId="1A72C4B3" w14:textId="77777777" w:rsidR="00C770C0" w:rsidRPr="00740C3B" w:rsidRDefault="00C770C0" w:rsidP="00C770C0">
            <w:pPr>
              <w:pStyle w:val="BodyText"/>
            </w:pPr>
            <w:r>
              <w:t>Jul 2021</w:t>
            </w:r>
          </w:p>
        </w:tc>
        <w:tc>
          <w:tcPr>
            <w:tcW w:w="1027" w:type="dxa"/>
            <w:vAlign w:val="center"/>
          </w:tcPr>
          <w:p w14:paraId="3FF0CA77" w14:textId="77777777" w:rsidR="00C770C0" w:rsidRDefault="00C770C0" w:rsidP="00C770C0">
            <w:pPr>
              <w:pStyle w:val="BodyText"/>
            </w:pPr>
            <w:r w:rsidRPr="00740C3B">
              <w:t>39159092</w:t>
            </w:r>
          </w:p>
        </w:tc>
        <w:tc>
          <w:tcPr>
            <w:tcW w:w="3655" w:type="dxa"/>
            <w:gridSpan w:val="2"/>
            <w:vAlign w:val="center"/>
          </w:tcPr>
          <w:p w14:paraId="1393FCFE" w14:textId="77777777" w:rsidR="00C770C0" w:rsidRDefault="00C770C0" w:rsidP="00C770C0">
            <w:pPr>
              <w:pStyle w:val="BodyText"/>
            </w:pPr>
            <w:r w:rsidRPr="00740C3B">
              <w:t>Waste, parings and scrap, of plastics (excl. those of polymers of ethylene, styrene or vinyl chloride)</w:t>
            </w:r>
          </w:p>
        </w:tc>
        <w:tc>
          <w:tcPr>
            <w:tcW w:w="860" w:type="dxa"/>
            <w:vAlign w:val="center"/>
          </w:tcPr>
          <w:p w14:paraId="2F5D53DF" w14:textId="3E1B87BE" w:rsidR="00C770C0" w:rsidRPr="002F026E" w:rsidRDefault="00C770C0" w:rsidP="00C770C0">
            <w:pPr>
              <w:pStyle w:val="BodyText"/>
              <w:jc w:val="right"/>
              <w:rPr>
                <w:szCs w:val="20"/>
              </w:rPr>
            </w:pPr>
            <w:r>
              <w:rPr>
                <w:rFonts w:cs="Calibri"/>
                <w:color w:val="000000"/>
                <w:szCs w:val="20"/>
              </w:rPr>
              <w:t>75,000</w:t>
            </w:r>
          </w:p>
        </w:tc>
        <w:tc>
          <w:tcPr>
            <w:tcW w:w="1228" w:type="dxa"/>
            <w:vAlign w:val="center"/>
          </w:tcPr>
          <w:p w14:paraId="2A676350" w14:textId="77777777" w:rsidR="00C770C0" w:rsidRDefault="00C770C0" w:rsidP="00C770C0">
            <w:pPr>
              <w:pStyle w:val="BodyText"/>
              <w:jc w:val="right"/>
            </w:pPr>
            <w:r>
              <w:t>83%</w:t>
            </w:r>
          </w:p>
        </w:tc>
        <w:tc>
          <w:tcPr>
            <w:tcW w:w="1053" w:type="dxa"/>
            <w:vAlign w:val="center"/>
          </w:tcPr>
          <w:p w14:paraId="689F3BFA" w14:textId="25CAE476" w:rsidR="00C770C0" w:rsidRDefault="00C770C0" w:rsidP="00C770C0">
            <w:pPr>
              <w:pStyle w:val="BodyText"/>
              <w:jc w:val="right"/>
            </w:pPr>
            <w:r>
              <w:t>19.3</w:t>
            </w:r>
          </w:p>
        </w:tc>
      </w:tr>
      <w:tr w:rsidR="00C770C0" w14:paraId="67841371" w14:textId="3FCCCD12" w:rsidTr="004F107B">
        <w:tc>
          <w:tcPr>
            <w:tcW w:w="1054" w:type="dxa"/>
            <w:vMerge w:val="restart"/>
            <w:vAlign w:val="center"/>
          </w:tcPr>
          <w:p w14:paraId="19F30581" w14:textId="77777777" w:rsidR="00C770C0" w:rsidRDefault="00C770C0" w:rsidP="00C770C0">
            <w:pPr>
              <w:pStyle w:val="BodyText"/>
            </w:pPr>
            <w:r w:rsidRPr="00740C3B">
              <w:t>Whole tyres</w:t>
            </w:r>
            <w:r>
              <w:t xml:space="preserve"> </w:t>
            </w:r>
          </w:p>
        </w:tc>
        <w:tc>
          <w:tcPr>
            <w:tcW w:w="638" w:type="dxa"/>
            <w:vMerge w:val="restart"/>
            <w:vAlign w:val="center"/>
          </w:tcPr>
          <w:p w14:paraId="1B26EFBF" w14:textId="77777777" w:rsidR="00C770C0" w:rsidRPr="00740C3B" w:rsidRDefault="00C770C0" w:rsidP="00C770C0">
            <w:pPr>
              <w:pStyle w:val="BodyText"/>
            </w:pPr>
            <w:r>
              <w:t>Dec 2021</w:t>
            </w:r>
          </w:p>
        </w:tc>
        <w:tc>
          <w:tcPr>
            <w:tcW w:w="1027" w:type="dxa"/>
            <w:vAlign w:val="center"/>
          </w:tcPr>
          <w:p w14:paraId="3FC8299C" w14:textId="77777777" w:rsidR="00C770C0" w:rsidRDefault="00C770C0" w:rsidP="00C770C0">
            <w:pPr>
              <w:pStyle w:val="BodyText"/>
            </w:pPr>
            <w:r w:rsidRPr="00740C3B">
              <w:t>40040000</w:t>
            </w:r>
          </w:p>
        </w:tc>
        <w:tc>
          <w:tcPr>
            <w:tcW w:w="3655" w:type="dxa"/>
            <w:gridSpan w:val="2"/>
            <w:vAlign w:val="center"/>
          </w:tcPr>
          <w:p w14:paraId="7CF11A7D" w14:textId="77777777" w:rsidR="00C770C0" w:rsidRDefault="00C770C0" w:rsidP="00C770C0">
            <w:pPr>
              <w:pStyle w:val="BodyText"/>
            </w:pPr>
            <w:r w:rsidRPr="00740C3B">
              <w:t>Waste, parings and scrap of rubber (excl. of hard rubber) and powders and granules obtained therefrom</w:t>
            </w:r>
          </w:p>
        </w:tc>
        <w:tc>
          <w:tcPr>
            <w:tcW w:w="860" w:type="dxa"/>
            <w:vAlign w:val="center"/>
          </w:tcPr>
          <w:p w14:paraId="48921EED" w14:textId="591C2DE4" w:rsidR="00C770C0" w:rsidRPr="002F026E" w:rsidRDefault="00C770C0" w:rsidP="00C770C0">
            <w:pPr>
              <w:pStyle w:val="BodyText"/>
              <w:jc w:val="right"/>
              <w:rPr>
                <w:szCs w:val="20"/>
                <w:highlight w:val="yellow"/>
              </w:rPr>
            </w:pPr>
            <w:r>
              <w:rPr>
                <w:rFonts w:cs="Calibri"/>
                <w:color w:val="000000"/>
                <w:szCs w:val="20"/>
              </w:rPr>
              <w:t>58,000</w:t>
            </w:r>
          </w:p>
        </w:tc>
        <w:tc>
          <w:tcPr>
            <w:tcW w:w="1228" w:type="dxa"/>
            <w:vAlign w:val="center"/>
          </w:tcPr>
          <w:p w14:paraId="28B94B22" w14:textId="77777777" w:rsidR="00C770C0" w:rsidRPr="00EF1770" w:rsidRDefault="00C770C0" w:rsidP="00C770C0">
            <w:pPr>
              <w:pStyle w:val="BodyText"/>
              <w:jc w:val="right"/>
            </w:pPr>
            <w:r w:rsidRPr="00EF1770">
              <w:t xml:space="preserve">44% </w:t>
            </w:r>
            <w:bookmarkStart w:id="22" w:name="_Ref26980296"/>
            <w:r w:rsidRPr="00EF1770">
              <w:rPr>
                <w:rStyle w:val="FootnoteReference"/>
              </w:rPr>
              <w:footnoteReference w:id="10"/>
            </w:r>
            <w:bookmarkEnd w:id="22"/>
          </w:p>
        </w:tc>
        <w:tc>
          <w:tcPr>
            <w:tcW w:w="1053" w:type="dxa"/>
            <w:vAlign w:val="center"/>
          </w:tcPr>
          <w:p w14:paraId="2EE410EB" w14:textId="02F3948C" w:rsidR="00C770C0" w:rsidRPr="00EF1770" w:rsidRDefault="00C770C0" w:rsidP="00C770C0">
            <w:pPr>
              <w:pStyle w:val="BodyText"/>
              <w:jc w:val="right"/>
            </w:pPr>
            <w:r>
              <w:t>2.40</w:t>
            </w:r>
          </w:p>
        </w:tc>
      </w:tr>
      <w:tr w:rsidR="00C770C0" w14:paraId="2D272AF4" w14:textId="7E69D7FE" w:rsidTr="004F107B">
        <w:tc>
          <w:tcPr>
            <w:tcW w:w="1054" w:type="dxa"/>
            <w:vMerge/>
            <w:vAlign w:val="center"/>
          </w:tcPr>
          <w:p w14:paraId="50EAC9D0" w14:textId="77777777" w:rsidR="00C770C0" w:rsidRDefault="00C770C0" w:rsidP="00C770C0">
            <w:pPr>
              <w:pStyle w:val="BodyText"/>
            </w:pPr>
          </w:p>
        </w:tc>
        <w:tc>
          <w:tcPr>
            <w:tcW w:w="638" w:type="dxa"/>
            <w:vMerge/>
            <w:vAlign w:val="center"/>
          </w:tcPr>
          <w:p w14:paraId="5A4D22C0" w14:textId="77777777" w:rsidR="00C770C0" w:rsidRPr="00740C3B" w:rsidRDefault="00C770C0" w:rsidP="00C770C0">
            <w:pPr>
              <w:pStyle w:val="BodyText"/>
            </w:pPr>
          </w:p>
        </w:tc>
        <w:tc>
          <w:tcPr>
            <w:tcW w:w="1027" w:type="dxa"/>
            <w:vAlign w:val="center"/>
          </w:tcPr>
          <w:p w14:paraId="5C3B190F" w14:textId="77777777" w:rsidR="00C770C0" w:rsidRDefault="00C770C0" w:rsidP="00C770C0">
            <w:pPr>
              <w:pStyle w:val="BodyText"/>
            </w:pPr>
            <w:r w:rsidRPr="00740C3B">
              <w:t>40122000</w:t>
            </w:r>
          </w:p>
        </w:tc>
        <w:tc>
          <w:tcPr>
            <w:tcW w:w="3655" w:type="dxa"/>
            <w:gridSpan w:val="2"/>
            <w:vAlign w:val="center"/>
          </w:tcPr>
          <w:p w14:paraId="623D3135" w14:textId="77777777" w:rsidR="00C770C0" w:rsidRDefault="00C770C0" w:rsidP="00C770C0">
            <w:pPr>
              <w:pStyle w:val="BodyText"/>
            </w:pPr>
            <w:r w:rsidRPr="00740C3B">
              <w:t>Used pneumatic rubber tyres, whether or not subject to recutting or regrooving</w:t>
            </w:r>
          </w:p>
        </w:tc>
        <w:tc>
          <w:tcPr>
            <w:tcW w:w="860" w:type="dxa"/>
            <w:vAlign w:val="center"/>
          </w:tcPr>
          <w:p w14:paraId="6095B982" w14:textId="25921E91" w:rsidR="00C770C0" w:rsidRPr="002F026E" w:rsidRDefault="00C770C0" w:rsidP="00C770C0">
            <w:pPr>
              <w:pStyle w:val="BodyText"/>
              <w:jc w:val="right"/>
              <w:rPr>
                <w:szCs w:val="20"/>
                <w:highlight w:val="yellow"/>
              </w:rPr>
            </w:pPr>
            <w:r>
              <w:rPr>
                <w:rFonts w:cs="Calibri"/>
                <w:color w:val="000000"/>
                <w:szCs w:val="20"/>
              </w:rPr>
              <w:t>16,000</w:t>
            </w:r>
          </w:p>
        </w:tc>
        <w:tc>
          <w:tcPr>
            <w:tcW w:w="1228" w:type="dxa"/>
            <w:vAlign w:val="center"/>
          </w:tcPr>
          <w:p w14:paraId="6AFAA8B5" w14:textId="5018D964" w:rsidR="00C770C0" w:rsidRPr="00EF1770" w:rsidRDefault="00C770C0" w:rsidP="00C770C0">
            <w:pPr>
              <w:pStyle w:val="BodyText"/>
              <w:jc w:val="right"/>
            </w:pPr>
            <w:r>
              <w:t>96</w:t>
            </w:r>
            <w:r w:rsidRPr="00EF1770">
              <w:t xml:space="preserve">% </w:t>
            </w:r>
            <w:r w:rsidRPr="005A5CEE">
              <w:rPr>
                <w:vertAlign w:val="superscript"/>
              </w:rPr>
              <w:fldChar w:fldCharType="begin"/>
            </w:r>
            <w:r w:rsidRPr="005A5CEE">
              <w:rPr>
                <w:vertAlign w:val="superscript"/>
              </w:rPr>
              <w:instrText xml:space="preserve"> NOTEREF _Ref26980296 \h  \* MERGEFORMAT </w:instrText>
            </w:r>
            <w:r w:rsidRPr="005A5CEE">
              <w:rPr>
                <w:vertAlign w:val="superscript"/>
              </w:rPr>
            </w:r>
            <w:r w:rsidRPr="005A5CEE">
              <w:rPr>
                <w:vertAlign w:val="superscript"/>
              </w:rPr>
              <w:fldChar w:fldCharType="separate"/>
            </w:r>
            <w:r w:rsidR="009223D9">
              <w:rPr>
                <w:vertAlign w:val="superscript"/>
              </w:rPr>
              <w:t>10</w:t>
            </w:r>
            <w:r w:rsidRPr="005A5CEE">
              <w:rPr>
                <w:vertAlign w:val="superscript"/>
              </w:rPr>
              <w:fldChar w:fldCharType="end"/>
            </w:r>
          </w:p>
        </w:tc>
        <w:tc>
          <w:tcPr>
            <w:tcW w:w="1053" w:type="dxa"/>
            <w:vAlign w:val="center"/>
          </w:tcPr>
          <w:p w14:paraId="3D901632" w14:textId="5596787A" w:rsidR="00C770C0" w:rsidRDefault="00C770C0" w:rsidP="00C770C0">
            <w:pPr>
              <w:pStyle w:val="BodyText"/>
              <w:jc w:val="right"/>
            </w:pPr>
            <w:r>
              <w:t>7.04</w:t>
            </w:r>
          </w:p>
        </w:tc>
      </w:tr>
      <w:tr w:rsidR="00C770C0" w14:paraId="1082D496" w14:textId="5BB05DCB" w:rsidTr="004F107B">
        <w:tc>
          <w:tcPr>
            <w:tcW w:w="1054" w:type="dxa"/>
            <w:vMerge/>
            <w:tcBorders>
              <w:bottom w:val="single" w:sz="4" w:space="0" w:color="B7B7E2" w:themeColor="accent1" w:themeTint="66"/>
            </w:tcBorders>
            <w:vAlign w:val="center"/>
          </w:tcPr>
          <w:p w14:paraId="52A7AE94" w14:textId="77777777" w:rsidR="00C770C0" w:rsidRDefault="00C770C0" w:rsidP="00C770C0">
            <w:pPr>
              <w:pStyle w:val="BodyText"/>
            </w:pPr>
          </w:p>
        </w:tc>
        <w:tc>
          <w:tcPr>
            <w:tcW w:w="638" w:type="dxa"/>
            <w:vMerge/>
            <w:tcBorders>
              <w:bottom w:val="single" w:sz="4" w:space="0" w:color="B7B7E2" w:themeColor="accent1" w:themeTint="66"/>
            </w:tcBorders>
            <w:vAlign w:val="center"/>
          </w:tcPr>
          <w:p w14:paraId="05E138BD" w14:textId="77777777" w:rsidR="00C770C0" w:rsidRPr="00740C3B" w:rsidRDefault="00C770C0" w:rsidP="00C770C0">
            <w:pPr>
              <w:pStyle w:val="BodyText"/>
            </w:pPr>
          </w:p>
        </w:tc>
        <w:tc>
          <w:tcPr>
            <w:tcW w:w="1027" w:type="dxa"/>
            <w:tcBorders>
              <w:bottom w:val="single" w:sz="4" w:space="0" w:color="B7B7E2" w:themeColor="accent1" w:themeTint="66"/>
            </w:tcBorders>
            <w:vAlign w:val="center"/>
          </w:tcPr>
          <w:p w14:paraId="2C4A5D63" w14:textId="77777777" w:rsidR="00C770C0" w:rsidRDefault="00C770C0" w:rsidP="00C770C0">
            <w:pPr>
              <w:pStyle w:val="BodyText"/>
            </w:pPr>
            <w:r w:rsidRPr="00740C3B">
              <w:t>40129000</w:t>
            </w:r>
          </w:p>
        </w:tc>
        <w:tc>
          <w:tcPr>
            <w:tcW w:w="3655" w:type="dxa"/>
            <w:gridSpan w:val="2"/>
            <w:tcBorders>
              <w:bottom w:val="single" w:sz="4" w:space="0" w:color="B7B7E2" w:themeColor="accent1" w:themeTint="66"/>
            </w:tcBorders>
            <w:vAlign w:val="center"/>
          </w:tcPr>
          <w:p w14:paraId="3BED77AE" w14:textId="77777777" w:rsidR="00C770C0" w:rsidRDefault="00C770C0" w:rsidP="00C770C0">
            <w:pPr>
              <w:pStyle w:val="BodyText"/>
            </w:pPr>
            <w:r w:rsidRPr="00740C3B">
              <w:t>Solid or cushion rubber tyres, rubber tyre treads (incl. Interchangeable tyre treads) and rubber tyre flaps</w:t>
            </w:r>
          </w:p>
        </w:tc>
        <w:tc>
          <w:tcPr>
            <w:tcW w:w="860" w:type="dxa"/>
            <w:tcBorders>
              <w:bottom w:val="single" w:sz="4" w:space="0" w:color="B7B7E2" w:themeColor="accent1" w:themeTint="66"/>
            </w:tcBorders>
            <w:shd w:val="clear" w:color="auto" w:fill="auto"/>
            <w:vAlign w:val="center"/>
          </w:tcPr>
          <w:p w14:paraId="20152A73" w14:textId="0CDF896F" w:rsidR="00C770C0" w:rsidRPr="002F026E" w:rsidRDefault="00C770C0" w:rsidP="00C770C0">
            <w:pPr>
              <w:pStyle w:val="BodyText"/>
              <w:jc w:val="right"/>
              <w:rPr>
                <w:szCs w:val="20"/>
                <w:highlight w:val="yellow"/>
              </w:rPr>
            </w:pPr>
            <w:r>
              <w:rPr>
                <w:szCs w:val="20"/>
              </w:rPr>
              <w:t>11,000</w:t>
            </w:r>
          </w:p>
        </w:tc>
        <w:tc>
          <w:tcPr>
            <w:tcW w:w="1228" w:type="dxa"/>
            <w:tcBorders>
              <w:bottom w:val="single" w:sz="4" w:space="0" w:color="B7B7E2" w:themeColor="accent1" w:themeTint="66"/>
            </w:tcBorders>
            <w:vAlign w:val="center"/>
          </w:tcPr>
          <w:p w14:paraId="670A4841" w14:textId="39C5159F" w:rsidR="00C770C0" w:rsidRPr="00EF1770" w:rsidRDefault="00C770C0" w:rsidP="00C770C0">
            <w:pPr>
              <w:pStyle w:val="BodyText"/>
              <w:jc w:val="right"/>
            </w:pPr>
            <w:r w:rsidRPr="00EF1770">
              <w:t xml:space="preserve">6% </w:t>
            </w:r>
            <w:r w:rsidRPr="005A5CEE">
              <w:rPr>
                <w:vertAlign w:val="superscript"/>
              </w:rPr>
              <w:fldChar w:fldCharType="begin"/>
            </w:r>
            <w:r w:rsidRPr="005A5CEE">
              <w:rPr>
                <w:vertAlign w:val="superscript"/>
              </w:rPr>
              <w:instrText xml:space="preserve"> NOTEREF _Ref26980296 \h  \* MERGEFORMAT </w:instrText>
            </w:r>
            <w:r w:rsidRPr="005A5CEE">
              <w:rPr>
                <w:vertAlign w:val="superscript"/>
              </w:rPr>
            </w:r>
            <w:r w:rsidRPr="005A5CEE">
              <w:rPr>
                <w:vertAlign w:val="superscript"/>
              </w:rPr>
              <w:fldChar w:fldCharType="separate"/>
            </w:r>
            <w:r w:rsidR="009223D9">
              <w:rPr>
                <w:vertAlign w:val="superscript"/>
              </w:rPr>
              <w:t>10</w:t>
            </w:r>
            <w:r w:rsidRPr="005A5CEE">
              <w:rPr>
                <w:vertAlign w:val="superscript"/>
              </w:rPr>
              <w:fldChar w:fldCharType="end"/>
            </w:r>
          </w:p>
        </w:tc>
        <w:tc>
          <w:tcPr>
            <w:tcW w:w="1053" w:type="dxa"/>
            <w:tcBorders>
              <w:bottom w:val="single" w:sz="4" w:space="0" w:color="B7B7E2" w:themeColor="accent1" w:themeTint="66"/>
            </w:tcBorders>
            <w:vAlign w:val="center"/>
          </w:tcPr>
          <w:p w14:paraId="180B2897" w14:textId="0898D451" w:rsidR="00C770C0" w:rsidRPr="00EF1770" w:rsidRDefault="00C770C0" w:rsidP="00C770C0">
            <w:pPr>
              <w:pStyle w:val="BodyText"/>
              <w:jc w:val="right"/>
            </w:pPr>
            <w:r>
              <w:t>8.31</w:t>
            </w:r>
          </w:p>
        </w:tc>
      </w:tr>
    </w:tbl>
    <w:p w14:paraId="58910954" w14:textId="40B57E69" w:rsidR="00772B74" w:rsidRDefault="00772B74" w:rsidP="001B1601">
      <w:pPr>
        <w:pStyle w:val="Heading1"/>
      </w:pPr>
      <w:r>
        <w:lastRenderedPageBreak/>
        <w:t>Analysis</w:t>
      </w:r>
      <w:r w:rsidR="00221CBF">
        <w:t xml:space="preserve"> and comment</w:t>
      </w:r>
    </w:p>
    <w:p w14:paraId="3B30E766" w14:textId="46258829" w:rsidR="00F43351" w:rsidRDefault="00F43351" w:rsidP="008A603C">
      <w:pPr>
        <w:pStyle w:val="BodyText"/>
      </w:pPr>
      <w:r>
        <w:t xml:space="preserve">As with the previous two financial years, 2019-20 saw </w:t>
      </w:r>
      <w:r w:rsidR="001F5FF8">
        <w:t xml:space="preserve">some </w:t>
      </w:r>
      <w:r>
        <w:t>major changes in the tonnage flows, destinations and reported value of Australian exports of waste-derived products and waste.</w:t>
      </w:r>
      <w:r w:rsidR="00AD79A2">
        <w:t xml:space="preserve"> T</w:t>
      </w:r>
      <w:r>
        <w:t xml:space="preserve">here are disparate stories for the different materials. </w:t>
      </w:r>
    </w:p>
    <w:p w14:paraId="4121FE60" w14:textId="5028748D" w:rsidR="003174AC" w:rsidRDefault="003174AC" w:rsidP="008A603C">
      <w:pPr>
        <w:pStyle w:val="BodyText"/>
      </w:pPr>
    </w:p>
    <w:p w14:paraId="4C25C845" w14:textId="14CF194A" w:rsidR="004D07E0" w:rsidRDefault="00464795" w:rsidP="008A603C">
      <w:pPr>
        <w:pStyle w:val="BodyText"/>
      </w:pPr>
      <w:r>
        <w:t xml:space="preserve">Markets for scrap plastics have been strongly affected by </w:t>
      </w:r>
      <w:r w:rsidR="00F43351">
        <w:t>Asian import restrictions imposed due to concerns about the quality of materials received and the management of residuals</w:t>
      </w:r>
      <w:r>
        <w:t xml:space="preserve">. </w:t>
      </w:r>
      <w:r w:rsidR="00F43351">
        <w:t>The i</w:t>
      </w:r>
      <w:r w:rsidR="004D07E0">
        <w:t>nitial</w:t>
      </w:r>
      <w:r w:rsidR="00F43351">
        <w:t xml:space="preserve"> Chinese</w:t>
      </w:r>
      <w:r>
        <w:t xml:space="preserve"> </w:t>
      </w:r>
      <w:r w:rsidR="004D07E0">
        <w:t>restrictions</w:t>
      </w:r>
      <w:r w:rsidR="00231B6A">
        <w:t xml:space="preserve"> </w:t>
      </w:r>
      <w:r w:rsidR="00CE6C43">
        <w:t xml:space="preserve">displaced materials </w:t>
      </w:r>
      <w:r w:rsidR="000B3F9B">
        <w:t>to Indonesia</w:t>
      </w:r>
      <w:r w:rsidR="00CE6C43">
        <w:t>, Malaysia</w:t>
      </w:r>
      <w:r w:rsidR="000B3F9B">
        <w:t xml:space="preserve"> and </w:t>
      </w:r>
      <w:r w:rsidR="00CE6C43">
        <w:t>other countries</w:t>
      </w:r>
      <w:r w:rsidR="00F43351">
        <w:t xml:space="preserve"> during 2017</w:t>
      </w:r>
      <w:r w:rsidR="00F43351">
        <w:noBreakHyphen/>
        <w:t>18 and 2018</w:t>
      </w:r>
      <w:r w:rsidR="00F43351">
        <w:noBreakHyphen/>
        <w:t>19</w:t>
      </w:r>
      <w:r w:rsidR="00CE6C43">
        <w:t xml:space="preserve">. </w:t>
      </w:r>
      <w:r w:rsidR="004D07E0">
        <w:t>In 2019</w:t>
      </w:r>
      <w:r w:rsidR="004D07E0">
        <w:noBreakHyphen/>
        <w:t xml:space="preserve">20, exports to all these </w:t>
      </w:r>
      <w:r>
        <w:t xml:space="preserve">alternative </w:t>
      </w:r>
      <w:r w:rsidR="004D07E0">
        <w:t>destinations also fell</w:t>
      </w:r>
      <w:r>
        <w:t xml:space="preserve">, mainly, it appears, because </w:t>
      </w:r>
      <w:r w:rsidR="00DA3A28">
        <w:t>of</w:t>
      </w:r>
      <w:r>
        <w:t xml:space="preserve"> their own import restrictions</w:t>
      </w:r>
      <w:r w:rsidR="00075276">
        <w:t xml:space="preserve"> (see </w:t>
      </w:r>
      <w:r w:rsidR="00324216">
        <w:fldChar w:fldCharType="begin"/>
      </w:r>
      <w:r w:rsidR="00324216">
        <w:instrText xml:space="preserve"> REF _Ref50047642 \h </w:instrText>
      </w:r>
      <w:r w:rsidR="00324216">
        <w:fldChar w:fldCharType="separate"/>
      </w:r>
      <w:r w:rsidR="009223D9">
        <w:t xml:space="preserve">Table </w:t>
      </w:r>
      <w:r w:rsidR="009223D9">
        <w:rPr>
          <w:noProof/>
        </w:rPr>
        <w:t>3</w:t>
      </w:r>
      <w:r w:rsidR="00324216">
        <w:fldChar w:fldCharType="end"/>
      </w:r>
      <w:r w:rsidR="00075276">
        <w:t>)</w:t>
      </w:r>
      <w:r>
        <w:t xml:space="preserve">. </w:t>
      </w:r>
      <w:r w:rsidR="00AD79A2">
        <w:t>The grade most affected by these changes is mixed plastics</w:t>
      </w:r>
      <w:r w:rsidR="001F5FF8">
        <w:t>, for which exports fell 50%</w:t>
      </w:r>
      <w:r w:rsidR="00AD79A2">
        <w:t xml:space="preserve">. </w:t>
      </w:r>
      <w:r w:rsidR="00DA3A28">
        <w:t>The smaller e</w:t>
      </w:r>
      <w:r w:rsidR="001D0ACC">
        <w:t>xport quantities of</w:t>
      </w:r>
      <w:r w:rsidR="00DA3A28">
        <w:t xml:space="preserve"> </w:t>
      </w:r>
      <w:r w:rsidR="001D0ACC">
        <w:t>s</w:t>
      </w:r>
      <w:r w:rsidR="00AD79A2">
        <w:t>ingle polymer grades</w:t>
      </w:r>
      <w:r w:rsidR="001D0ACC">
        <w:t xml:space="preserve"> remained strong during 2019</w:t>
      </w:r>
      <w:r w:rsidR="001D0ACC">
        <w:noBreakHyphen/>
        <w:t xml:space="preserve">20. </w:t>
      </w:r>
      <w:r w:rsidR="00AD79A2">
        <w:t xml:space="preserve"> </w:t>
      </w:r>
    </w:p>
    <w:p w14:paraId="0E85717E" w14:textId="07C6BF0C" w:rsidR="00464795" w:rsidRDefault="00464795" w:rsidP="008A603C">
      <w:pPr>
        <w:pStyle w:val="BodyText"/>
      </w:pPr>
    </w:p>
    <w:p w14:paraId="3DEA1B8F" w14:textId="798FB815" w:rsidR="00F43351" w:rsidRDefault="00AD79A2" w:rsidP="003174AC">
      <w:pPr>
        <w:pStyle w:val="BodyText"/>
      </w:pPr>
      <w:r>
        <w:t>S</w:t>
      </w:r>
      <w:r w:rsidR="00F43351">
        <w:t>crap paper</w:t>
      </w:r>
      <w:r>
        <w:t xml:space="preserve"> and</w:t>
      </w:r>
      <w:r w:rsidR="00F43351">
        <w:t xml:space="preserve"> cardboard</w:t>
      </w:r>
      <w:r>
        <w:t xml:space="preserve"> exports have also </w:t>
      </w:r>
      <w:r w:rsidR="00F43351">
        <w:t>been</w:t>
      </w:r>
      <w:r>
        <w:t xml:space="preserve"> reshaped by Asian restrictions. </w:t>
      </w:r>
      <w:r w:rsidR="001F5FF8">
        <w:t>Again, e</w:t>
      </w:r>
      <w:r>
        <w:t xml:space="preserve">xports to China </w:t>
      </w:r>
      <w:r w:rsidR="00DA3A28">
        <w:t>were</w:t>
      </w:r>
      <w:r w:rsidR="001F5FF8">
        <w:t xml:space="preserve"> </w:t>
      </w:r>
      <w:r>
        <w:t>displaced</w:t>
      </w:r>
      <w:r w:rsidR="001F5FF8">
        <w:t xml:space="preserve"> and</w:t>
      </w:r>
      <w:r w:rsidR="00DA3A28">
        <w:t>,</w:t>
      </w:r>
      <w:r w:rsidR="001F5FF8">
        <w:t xml:space="preserve"> again, there has been an overall decline</w:t>
      </w:r>
      <w:r w:rsidR="00DA3A28">
        <w:t>,</w:t>
      </w:r>
      <w:r w:rsidR="001F5FF8">
        <w:t xml:space="preserve"> but </w:t>
      </w:r>
      <w:r w:rsidR="001D0ACC">
        <w:t xml:space="preserve">to a lesser extent than plastics. </w:t>
      </w:r>
      <w:r w:rsidR="001B6294">
        <w:t>Also,</w:t>
      </w:r>
      <w:r w:rsidR="001D0ACC">
        <w:t xml:space="preserve"> unlike plastics, particular grades of paper and cardboard – bleached kraft (office paper) and mechanical (newsprint) – suffered the largest declines in 2019-20. Exports of unbleached kraft (old corrugated </w:t>
      </w:r>
      <w:r w:rsidR="00DA3A28">
        <w:t>containers</w:t>
      </w:r>
      <w:r w:rsidR="001D0ACC">
        <w:t xml:space="preserve">) remained strong, </w:t>
      </w:r>
      <w:r w:rsidR="003174AC">
        <w:t xml:space="preserve">with China and Indonesia the two major destinations. </w:t>
      </w:r>
      <w:r w:rsidR="00DA3A28">
        <w:t>Exports of m</w:t>
      </w:r>
      <w:r w:rsidR="001D0ACC">
        <w:t xml:space="preserve">ixed grades </w:t>
      </w:r>
      <w:r w:rsidR="00DA3A28">
        <w:t>grew to their highest level since 2015-16</w:t>
      </w:r>
      <w:r w:rsidR="003174AC">
        <w:t xml:space="preserve">, going mainly to Indonesia, India and Thailand. </w:t>
      </w:r>
    </w:p>
    <w:p w14:paraId="24461C4D" w14:textId="2F2FC23B" w:rsidR="00F43351" w:rsidRDefault="00F43351" w:rsidP="008A603C">
      <w:pPr>
        <w:pStyle w:val="BodyText"/>
      </w:pPr>
    </w:p>
    <w:p w14:paraId="310D50A8" w14:textId="1B93BD16" w:rsidR="001F5FF8" w:rsidRDefault="001F5FF8" w:rsidP="001F5FF8">
      <w:pPr>
        <w:pStyle w:val="BodyText"/>
      </w:pPr>
      <w:r>
        <w:t xml:space="preserve">End-of-life tyre exports fell during 2019-20, apparently associated with Indian restrictions linked to the COVID pandemic. Miscoding of these exports apparent in Australian Border Force data </w:t>
      </w:r>
      <w:r w:rsidR="00DA3A28">
        <w:t xml:space="preserve">suggests less confidence can be placed on this </w:t>
      </w:r>
      <w:r>
        <w:t>apparent trend than other materials.</w:t>
      </w:r>
    </w:p>
    <w:p w14:paraId="66DC1838" w14:textId="77777777" w:rsidR="001F5FF8" w:rsidRDefault="001F5FF8" w:rsidP="001F5FF8">
      <w:pPr>
        <w:pStyle w:val="BodyText"/>
      </w:pPr>
    </w:p>
    <w:p w14:paraId="51E5D866" w14:textId="1EBAA0EC" w:rsidR="001F5FF8" w:rsidRDefault="001F5FF8" w:rsidP="001F5FF8">
      <w:pPr>
        <w:pStyle w:val="BodyText"/>
      </w:pPr>
      <w:r>
        <w:t>Exports of scrap glass maintained a long-term rise and</w:t>
      </w:r>
      <w:r w:rsidR="00F91E7D">
        <w:t xml:space="preserve"> in 2019</w:t>
      </w:r>
      <w:r w:rsidR="00F91E7D">
        <w:noBreakHyphen/>
        <w:t>20</w:t>
      </w:r>
      <w:r>
        <w:t xml:space="preserve"> reached their highest level across the 14-year timeframe, but declined steadily towards the end of the year. This followed the announcement of an impending </w:t>
      </w:r>
      <w:r w:rsidR="00221CBF">
        <w:t xml:space="preserve">Australian </w:t>
      </w:r>
      <w:r>
        <w:t>export ban.</w:t>
      </w:r>
    </w:p>
    <w:p w14:paraId="79AB99C4" w14:textId="77777777" w:rsidR="001F5FF8" w:rsidRDefault="001F5FF8" w:rsidP="001F5FF8">
      <w:pPr>
        <w:pStyle w:val="BodyText"/>
      </w:pPr>
    </w:p>
    <w:p w14:paraId="159F1074" w14:textId="7CA8EC7E" w:rsidR="001F5FF8" w:rsidRDefault="001F5FF8" w:rsidP="003174AC">
      <w:pPr>
        <w:pStyle w:val="BodyText"/>
      </w:pPr>
      <w:r>
        <w:t xml:space="preserve">In contrast to these falling export quantities, </w:t>
      </w:r>
      <w:r w:rsidR="003174AC">
        <w:t>exports of scrap metals grew</w:t>
      </w:r>
      <w:r>
        <w:t xml:space="preserve"> </w:t>
      </w:r>
      <w:r w:rsidR="003174AC">
        <w:t>to their third-highest rate in the timeframe</w:t>
      </w:r>
      <w:r>
        <w:t xml:space="preserve"> and exports of hazardous and ‘other’ wastes (mainly organics) continued to be robust. </w:t>
      </w:r>
    </w:p>
    <w:p w14:paraId="46D219D3" w14:textId="77777777" w:rsidR="001F5FF8" w:rsidRDefault="001F5FF8" w:rsidP="003174AC">
      <w:pPr>
        <w:pStyle w:val="BodyText"/>
      </w:pPr>
    </w:p>
    <w:p w14:paraId="496D6BE2" w14:textId="1246F282" w:rsidR="003174AC" w:rsidRDefault="003174AC" w:rsidP="003174AC">
      <w:pPr>
        <w:pStyle w:val="BodyText"/>
      </w:pPr>
      <w:r>
        <w:t xml:space="preserve"> </w:t>
      </w:r>
    </w:p>
    <w:p w14:paraId="05D09D50" w14:textId="77777777" w:rsidR="003174AC" w:rsidRDefault="003174AC" w:rsidP="003174AC">
      <w:pPr>
        <w:pStyle w:val="BodyText"/>
      </w:pPr>
    </w:p>
    <w:p w14:paraId="70BA74DE" w14:textId="5382899B" w:rsidR="00914028" w:rsidRDefault="00914028" w:rsidP="008A603C">
      <w:pPr>
        <w:pStyle w:val="BodyText"/>
      </w:pPr>
    </w:p>
    <w:p w14:paraId="43544CF1" w14:textId="77777777" w:rsidR="00925B34" w:rsidRDefault="00925B34" w:rsidP="00772B74">
      <w:pPr>
        <w:pStyle w:val="BodyText"/>
        <w:sectPr w:rsidR="00925B34" w:rsidSect="0093510B">
          <w:headerReference w:type="default" r:id="rId24"/>
          <w:footerReference w:type="default" r:id="rId25"/>
          <w:type w:val="continuous"/>
          <w:pgSz w:w="11906" w:h="16838" w:code="9"/>
          <w:pgMar w:top="1361" w:right="1077" w:bottom="1134" w:left="1304" w:header="709" w:footer="454" w:gutter="0"/>
          <w:cols w:space="708"/>
          <w:docGrid w:linePitch="360"/>
        </w:sectPr>
      </w:pPr>
    </w:p>
    <w:p w14:paraId="77A8D05C" w14:textId="77777777" w:rsidR="00B50476" w:rsidRDefault="00B50476" w:rsidP="001B1601">
      <w:pPr>
        <w:pStyle w:val="Heading1"/>
      </w:pPr>
      <w:bookmarkStart w:id="23" w:name="_Ref524954387"/>
      <w:bookmarkStart w:id="24" w:name="_Ref17645665"/>
      <w:r>
        <w:lastRenderedPageBreak/>
        <w:t>The current status of waste import restrictions</w:t>
      </w:r>
    </w:p>
    <w:p w14:paraId="224E4638" w14:textId="65A937D7" w:rsidR="00B50476" w:rsidRPr="003A3BCA" w:rsidRDefault="00B50476" w:rsidP="00B50476">
      <w:r w:rsidRPr="003A3BCA">
        <w:t xml:space="preserve">Following China’s lead, </w:t>
      </w:r>
      <w:r>
        <w:t>various</w:t>
      </w:r>
      <w:r w:rsidRPr="003A3BCA">
        <w:t xml:space="preserve"> Asian countries have flagged or implemented restrictions on the import of waste-derived products and wastes. These are described in</w:t>
      </w:r>
      <w:r>
        <w:t xml:space="preserve"> </w:t>
      </w:r>
      <w:r w:rsidR="00324216">
        <w:fldChar w:fldCharType="begin"/>
      </w:r>
      <w:r w:rsidR="00324216">
        <w:instrText xml:space="preserve"> REF _Ref50047642 \h </w:instrText>
      </w:r>
      <w:r w:rsidR="00324216">
        <w:fldChar w:fldCharType="separate"/>
      </w:r>
      <w:r w:rsidR="009223D9">
        <w:t xml:space="preserve">Table </w:t>
      </w:r>
      <w:r w:rsidR="009223D9">
        <w:rPr>
          <w:noProof/>
        </w:rPr>
        <w:t>3</w:t>
      </w:r>
      <w:r w:rsidR="00324216">
        <w:fldChar w:fldCharType="end"/>
      </w:r>
      <w:r>
        <w:t xml:space="preserve"> for the top 10 </w:t>
      </w:r>
      <w:r w:rsidR="00F91E7D" w:rsidRPr="00F91E7D">
        <w:t>countries receiving waste exports from Australia</w:t>
      </w:r>
      <w:r w:rsidRPr="003A3BCA">
        <w:t>. The information presented has been compiled based on publicly available sources, sometimes translated from languages other than English.</w:t>
      </w:r>
    </w:p>
    <w:p w14:paraId="2FE8A24B" w14:textId="6C3FF2E8" w:rsidR="00B50476" w:rsidRPr="003A3BCA" w:rsidRDefault="00B50476" w:rsidP="00B50476">
      <w:pPr>
        <w:pStyle w:val="Caption"/>
        <w:rPr>
          <w:i w:val="0"/>
          <w:iCs w:val="0"/>
        </w:rPr>
      </w:pPr>
      <w:bookmarkStart w:id="25" w:name="_Ref50047642"/>
      <w:r>
        <w:t xml:space="preserve">Table </w:t>
      </w:r>
      <w:r w:rsidR="003E3241">
        <w:fldChar w:fldCharType="begin"/>
      </w:r>
      <w:r w:rsidR="003E3241">
        <w:instrText xml:space="preserve"> SEQ Table \* ARABIC </w:instrText>
      </w:r>
      <w:r w:rsidR="003E3241">
        <w:fldChar w:fldCharType="separate"/>
      </w:r>
      <w:r w:rsidR="009223D9">
        <w:rPr>
          <w:noProof/>
        </w:rPr>
        <w:t>3</w:t>
      </w:r>
      <w:r w:rsidR="003E3241">
        <w:rPr>
          <w:noProof/>
        </w:rPr>
        <w:fldChar w:fldCharType="end"/>
      </w:r>
      <w:bookmarkEnd w:id="25"/>
      <w:r>
        <w:tab/>
      </w:r>
      <w:r w:rsidRPr="003A3BCA">
        <w:t>Status of waste import restrictions</w:t>
      </w:r>
    </w:p>
    <w:tbl>
      <w:tblPr>
        <w:tblStyle w:val="BE-table2"/>
        <w:tblW w:w="14742" w:type="dxa"/>
        <w:tblInd w:w="-5" w:type="dxa"/>
        <w:tblLayout w:type="fixed"/>
        <w:tblCellMar>
          <w:left w:w="57" w:type="dxa"/>
          <w:right w:w="57" w:type="dxa"/>
        </w:tblCellMar>
        <w:tblLook w:val="04A0" w:firstRow="1" w:lastRow="0" w:firstColumn="1" w:lastColumn="0" w:noHBand="0" w:noVBand="1"/>
      </w:tblPr>
      <w:tblGrid>
        <w:gridCol w:w="993"/>
        <w:gridCol w:w="7087"/>
        <w:gridCol w:w="1418"/>
        <w:gridCol w:w="992"/>
        <w:gridCol w:w="1134"/>
        <w:gridCol w:w="709"/>
        <w:gridCol w:w="2409"/>
      </w:tblGrid>
      <w:tr w:rsidR="00B50476" w:rsidRPr="003A3BCA" w14:paraId="572CD464" w14:textId="77777777" w:rsidTr="00BC0E3A">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993" w:type="dxa"/>
            <w:vMerge w:val="restart"/>
            <w:shd w:val="clear" w:color="auto" w:fill="4B4BB3"/>
            <w:tcMar>
              <w:left w:w="57" w:type="dxa"/>
              <w:right w:w="57" w:type="dxa"/>
            </w:tcMar>
            <w:vAlign w:val="bottom"/>
          </w:tcPr>
          <w:p w14:paraId="0AA6E9D2" w14:textId="77777777" w:rsidR="00B50476" w:rsidRPr="00AE34EA" w:rsidRDefault="00B50476" w:rsidP="00BE650A">
            <w:pPr>
              <w:spacing w:beforeLines="0" w:before="0" w:afterLines="0" w:after="0"/>
              <w:rPr>
                <w:sz w:val="18"/>
                <w:szCs w:val="18"/>
              </w:rPr>
            </w:pPr>
            <w:r w:rsidRPr="00AE34EA">
              <w:rPr>
                <w:sz w:val="18"/>
                <w:szCs w:val="18"/>
              </w:rPr>
              <w:t>Country</w:t>
            </w:r>
          </w:p>
        </w:tc>
        <w:tc>
          <w:tcPr>
            <w:tcW w:w="7087" w:type="dxa"/>
            <w:vMerge w:val="restart"/>
            <w:shd w:val="clear" w:color="auto" w:fill="4B4BB3"/>
            <w:tcMar>
              <w:left w:w="57" w:type="dxa"/>
              <w:right w:w="57" w:type="dxa"/>
            </w:tcMar>
            <w:vAlign w:val="bottom"/>
          </w:tcPr>
          <w:p w14:paraId="4064D735" w14:textId="77777777" w:rsidR="00B50476" w:rsidRPr="00AE34EA" w:rsidRDefault="00B50476" w:rsidP="00BE650A">
            <w:pPr>
              <w:spacing w:beforeLines="0" w:before="0" w:afterLines="0" w:after="0"/>
              <w:cnfStyle w:val="100000000000" w:firstRow="1" w:lastRow="0" w:firstColumn="0" w:lastColumn="0" w:oddVBand="0" w:evenVBand="0" w:oddHBand="0" w:evenHBand="0" w:firstRowFirstColumn="0" w:firstRowLastColumn="0" w:lastRowFirstColumn="0" w:lastRowLastColumn="0"/>
              <w:rPr>
                <w:sz w:val="18"/>
                <w:szCs w:val="18"/>
              </w:rPr>
            </w:pPr>
            <w:r w:rsidRPr="00AE34EA">
              <w:rPr>
                <w:sz w:val="18"/>
                <w:szCs w:val="18"/>
              </w:rPr>
              <w:t>Scope of restrictions</w:t>
            </w:r>
          </w:p>
        </w:tc>
        <w:tc>
          <w:tcPr>
            <w:tcW w:w="1418" w:type="dxa"/>
            <w:vMerge w:val="restart"/>
            <w:shd w:val="clear" w:color="auto" w:fill="4B4BB3"/>
            <w:tcMar>
              <w:left w:w="57" w:type="dxa"/>
              <w:right w:w="57" w:type="dxa"/>
            </w:tcMar>
            <w:vAlign w:val="bottom"/>
          </w:tcPr>
          <w:p w14:paraId="77A0F5C0" w14:textId="77777777" w:rsidR="00B50476" w:rsidRPr="00AE34EA" w:rsidRDefault="00B50476" w:rsidP="00BE650A">
            <w:pPr>
              <w:spacing w:beforeLines="0" w:before="0" w:afterLines="0" w:after="0"/>
              <w:cnfStyle w:val="100000000000" w:firstRow="1" w:lastRow="0" w:firstColumn="0" w:lastColumn="0" w:oddVBand="0" w:evenVBand="0" w:oddHBand="0" w:evenHBand="0" w:firstRowFirstColumn="0" w:firstRowLastColumn="0" w:lastRowFirstColumn="0" w:lastRowLastColumn="0"/>
              <w:rPr>
                <w:sz w:val="18"/>
                <w:szCs w:val="18"/>
              </w:rPr>
            </w:pPr>
            <w:r w:rsidRPr="00AE34EA">
              <w:rPr>
                <w:sz w:val="18"/>
                <w:szCs w:val="18"/>
              </w:rPr>
              <w:t>Announced &amp; implemented</w:t>
            </w:r>
          </w:p>
        </w:tc>
        <w:tc>
          <w:tcPr>
            <w:tcW w:w="2835" w:type="dxa"/>
            <w:gridSpan w:val="3"/>
            <w:tcBorders>
              <w:bottom w:val="nil"/>
            </w:tcBorders>
            <w:shd w:val="clear" w:color="auto" w:fill="4B4BB3"/>
            <w:tcMar>
              <w:left w:w="57" w:type="dxa"/>
              <w:right w:w="57" w:type="dxa"/>
            </w:tcMar>
            <w:vAlign w:val="bottom"/>
          </w:tcPr>
          <w:p w14:paraId="7500BD5C" w14:textId="77777777" w:rsidR="00B50476" w:rsidRPr="00AE34EA" w:rsidRDefault="00B50476" w:rsidP="00CF3E7A">
            <w:pPr>
              <w:spacing w:beforeLines="0" w:before="0" w:afterLines="0" w:after="0"/>
              <w:jc w:val="center"/>
              <w:cnfStyle w:val="100000000000" w:firstRow="1" w:lastRow="0" w:firstColumn="0" w:lastColumn="0" w:oddVBand="0" w:evenVBand="0" w:oddHBand="0" w:evenHBand="0" w:firstRowFirstColumn="0" w:firstRowLastColumn="0" w:lastRowFirstColumn="0" w:lastRowLastColumn="0"/>
              <w:rPr>
                <w:sz w:val="18"/>
                <w:szCs w:val="18"/>
              </w:rPr>
            </w:pPr>
            <w:r w:rsidRPr="00AE34EA">
              <w:rPr>
                <w:sz w:val="18"/>
                <w:szCs w:val="18"/>
              </w:rPr>
              <w:t>Associated exports (tonnes)</w:t>
            </w:r>
          </w:p>
        </w:tc>
        <w:tc>
          <w:tcPr>
            <w:tcW w:w="2409" w:type="dxa"/>
            <w:vMerge w:val="restart"/>
            <w:shd w:val="clear" w:color="auto" w:fill="4B4BB3"/>
            <w:tcMar>
              <w:left w:w="57" w:type="dxa"/>
              <w:right w:w="57" w:type="dxa"/>
            </w:tcMar>
            <w:vAlign w:val="bottom"/>
          </w:tcPr>
          <w:p w14:paraId="386D60F1" w14:textId="77777777" w:rsidR="00B50476" w:rsidRPr="00AE34EA" w:rsidRDefault="00B50476" w:rsidP="00BE650A">
            <w:pPr>
              <w:spacing w:beforeLines="0" w:before="0" w:afterLines="0" w:after="0"/>
              <w:cnfStyle w:val="100000000000" w:firstRow="1" w:lastRow="0" w:firstColumn="0" w:lastColumn="0" w:oddVBand="0" w:evenVBand="0" w:oddHBand="0" w:evenHBand="0" w:firstRowFirstColumn="0" w:firstRowLastColumn="0" w:lastRowFirstColumn="0" w:lastRowLastColumn="0"/>
              <w:rPr>
                <w:sz w:val="18"/>
                <w:szCs w:val="18"/>
              </w:rPr>
            </w:pPr>
            <w:r w:rsidRPr="00AE34EA">
              <w:rPr>
                <w:sz w:val="18"/>
                <w:szCs w:val="18"/>
              </w:rPr>
              <w:t>Impact and uncertainties</w:t>
            </w:r>
          </w:p>
        </w:tc>
      </w:tr>
      <w:tr w:rsidR="00B50476" w:rsidRPr="003A3BCA" w14:paraId="0EA0F563" w14:textId="77777777" w:rsidTr="00BC0E3A">
        <w:tc>
          <w:tcPr>
            <w:cnfStyle w:val="001000000000" w:firstRow="0" w:lastRow="0" w:firstColumn="1" w:lastColumn="0" w:oddVBand="0" w:evenVBand="0" w:oddHBand="0" w:evenHBand="0" w:firstRowFirstColumn="0" w:firstRowLastColumn="0" w:lastRowFirstColumn="0" w:lastRowLastColumn="0"/>
            <w:tcW w:w="993" w:type="dxa"/>
            <w:vMerge/>
            <w:shd w:val="clear" w:color="auto" w:fill="4B4BB3"/>
            <w:tcMar>
              <w:left w:w="57" w:type="dxa"/>
              <w:right w:w="57" w:type="dxa"/>
            </w:tcMar>
          </w:tcPr>
          <w:p w14:paraId="6DDCEE2C" w14:textId="77777777" w:rsidR="00B50476" w:rsidRPr="00AE34EA" w:rsidRDefault="00B50476" w:rsidP="00BE650A">
            <w:pPr>
              <w:spacing w:before="0" w:after="0"/>
              <w:rPr>
                <w:b/>
                <w:color w:val="FFFFFF" w:themeColor="background1"/>
                <w:sz w:val="18"/>
                <w:szCs w:val="18"/>
              </w:rPr>
            </w:pPr>
          </w:p>
        </w:tc>
        <w:tc>
          <w:tcPr>
            <w:tcW w:w="7087" w:type="dxa"/>
            <w:vMerge/>
            <w:shd w:val="clear" w:color="auto" w:fill="4B4BB3"/>
            <w:tcMar>
              <w:left w:w="57" w:type="dxa"/>
              <w:right w:w="57" w:type="dxa"/>
            </w:tcMar>
          </w:tcPr>
          <w:p w14:paraId="4FA9F2C3" w14:textId="77777777" w:rsidR="00B50476" w:rsidRPr="00AE34EA" w:rsidRDefault="00B50476" w:rsidP="00BE650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p>
        </w:tc>
        <w:tc>
          <w:tcPr>
            <w:tcW w:w="1418" w:type="dxa"/>
            <w:vMerge/>
            <w:shd w:val="clear" w:color="auto" w:fill="4B4BB3"/>
            <w:tcMar>
              <w:left w:w="57" w:type="dxa"/>
              <w:right w:w="57" w:type="dxa"/>
            </w:tcMar>
          </w:tcPr>
          <w:p w14:paraId="45D30884" w14:textId="77777777" w:rsidR="00B50476" w:rsidRPr="00AE34EA" w:rsidRDefault="00B50476" w:rsidP="00BE650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p>
        </w:tc>
        <w:tc>
          <w:tcPr>
            <w:tcW w:w="992" w:type="dxa"/>
            <w:tcBorders>
              <w:top w:val="nil"/>
            </w:tcBorders>
            <w:shd w:val="clear" w:color="auto" w:fill="4B4BB3"/>
            <w:tcMar>
              <w:left w:w="57" w:type="dxa"/>
              <w:right w:w="57" w:type="dxa"/>
            </w:tcMar>
          </w:tcPr>
          <w:p w14:paraId="4BFA9C73" w14:textId="77777777" w:rsidR="00B50476" w:rsidRPr="00AE34EA" w:rsidRDefault="00B50476" w:rsidP="00BE650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r w:rsidRPr="00AE34EA">
              <w:rPr>
                <w:b/>
                <w:color w:val="FFFFFF" w:themeColor="background1"/>
                <w:sz w:val="18"/>
                <w:szCs w:val="18"/>
              </w:rPr>
              <w:t>Types</w:t>
            </w:r>
          </w:p>
        </w:tc>
        <w:tc>
          <w:tcPr>
            <w:tcW w:w="1134" w:type="dxa"/>
            <w:tcBorders>
              <w:top w:val="nil"/>
            </w:tcBorders>
            <w:shd w:val="clear" w:color="auto" w:fill="4B4BB3"/>
            <w:tcMar>
              <w:left w:w="57" w:type="dxa"/>
              <w:right w:w="57" w:type="dxa"/>
            </w:tcMar>
          </w:tcPr>
          <w:p w14:paraId="6850C237" w14:textId="77777777" w:rsidR="00B50476" w:rsidRPr="00AE34EA" w:rsidRDefault="00B50476" w:rsidP="00BE650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r w:rsidRPr="00AE34EA">
              <w:rPr>
                <w:b/>
                <w:color w:val="FFFFFF" w:themeColor="background1"/>
                <w:sz w:val="18"/>
                <w:szCs w:val="18"/>
              </w:rPr>
              <w:t>2018-19</w:t>
            </w:r>
          </w:p>
        </w:tc>
        <w:tc>
          <w:tcPr>
            <w:tcW w:w="709" w:type="dxa"/>
            <w:tcBorders>
              <w:top w:val="nil"/>
            </w:tcBorders>
            <w:shd w:val="clear" w:color="auto" w:fill="4B4BB3"/>
            <w:tcMar>
              <w:left w:w="57" w:type="dxa"/>
              <w:right w:w="57" w:type="dxa"/>
            </w:tcMar>
          </w:tcPr>
          <w:p w14:paraId="7D379B08" w14:textId="77777777" w:rsidR="00B50476" w:rsidRPr="00AE34EA" w:rsidRDefault="00B50476" w:rsidP="00BE650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r>
              <w:rPr>
                <w:b/>
                <w:color w:val="FFFFFF" w:themeColor="background1"/>
                <w:sz w:val="18"/>
                <w:szCs w:val="18"/>
              </w:rPr>
              <w:t>May</w:t>
            </w:r>
            <w:r w:rsidRPr="00AE34EA">
              <w:rPr>
                <w:b/>
                <w:color w:val="FFFFFF" w:themeColor="background1"/>
                <w:sz w:val="18"/>
                <w:szCs w:val="18"/>
              </w:rPr>
              <w:t> 20</w:t>
            </w:r>
          </w:p>
        </w:tc>
        <w:tc>
          <w:tcPr>
            <w:tcW w:w="2409" w:type="dxa"/>
            <w:vMerge/>
            <w:shd w:val="clear" w:color="auto" w:fill="4B4BB3"/>
            <w:tcMar>
              <w:left w:w="57" w:type="dxa"/>
              <w:right w:w="57" w:type="dxa"/>
            </w:tcMar>
          </w:tcPr>
          <w:p w14:paraId="5943870D" w14:textId="77777777" w:rsidR="00B50476" w:rsidRPr="00AE34EA" w:rsidRDefault="00B50476" w:rsidP="00BE650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p>
        </w:tc>
      </w:tr>
      <w:tr w:rsidR="00B50476" w:rsidRPr="003A3BCA" w14:paraId="0D366EB2" w14:textId="77777777" w:rsidTr="00BC0E3A">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4FF28D83" w14:textId="77777777" w:rsidR="00B50476" w:rsidRPr="00AE34EA" w:rsidRDefault="00B50476" w:rsidP="00BE650A">
            <w:pPr>
              <w:spacing w:before="40" w:after="40"/>
              <w:rPr>
                <w:sz w:val="18"/>
                <w:szCs w:val="18"/>
              </w:rPr>
            </w:pPr>
            <w:r w:rsidRPr="00AE34EA">
              <w:rPr>
                <w:sz w:val="18"/>
                <w:szCs w:val="18"/>
              </w:rPr>
              <w:t>Indonesia</w:t>
            </w:r>
          </w:p>
        </w:tc>
        <w:tc>
          <w:tcPr>
            <w:tcW w:w="7087" w:type="dxa"/>
            <w:tcMar>
              <w:left w:w="57" w:type="dxa"/>
              <w:right w:w="57" w:type="dxa"/>
            </w:tcMar>
          </w:tcPr>
          <w:p w14:paraId="272BBD6C" w14:textId="1995F764" w:rsidR="00B50476" w:rsidRDefault="00B50476" w:rsidP="00BE650A">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On 27 May 2020 Indonesia published a decree setting a 2% contamination limit for imports of plastic and paper waste</w:t>
            </w:r>
            <w:r>
              <w:rPr>
                <w:rStyle w:val="FootnoteReference"/>
                <w:sz w:val="18"/>
                <w:szCs w:val="18"/>
              </w:rPr>
              <w:footnoteReference w:id="11"/>
            </w:r>
            <w:r>
              <w:rPr>
                <w:sz w:val="18"/>
                <w:szCs w:val="18"/>
              </w:rPr>
              <w:t>. It also announced a task force to develop a road map over the next 6 months to accelerate the availability of domestic raw materials for paper and plastic industry, including a staged reduction of import quotas. By 1</w:t>
            </w:r>
            <w:r w:rsidRPr="00FD590E">
              <w:rPr>
                <w:sz w:val="18"/>
                <w:szCs w:val="18"/>
                <w:vertAlign w:val="superscript"/>
              </w:rPr>
              <w:t>st</w:t>
            </w:r>
            <w:r>
              <w:rPr>
                <w:sz w:val="18"/>
                <w:szCs w:val="18"/>
              </w:rPr>
              <w:t xml:space="preserve"> October 2020 companies exporting waste to Indonesia will </w:t>
            </w:r>
            <w:r w:rsidR="00C07895">
              <w:rPr>
                <w:sz w:val="18"/>
                <w:szCs w:val="18"/>
              </w:rPr>
              <w:t>need</w:t>
            </w:r>
            <w:r>
              <w:rPr>
                <w:sz w:val="18"/>
                <w:szCs w:val="18"/>
              </w:rPr>
              <w:t xml:space="preserve"> to have pre-registered with the Indonesian embassy</w:t>
            </w:r>
            <w:r>
              <w:rPr>
                <w:rStyle w:val="FootnoteReference"/>
                <w:sz w:val="18"/>
                <w:szCs w:val="18"/>
              </w:rPr>
              <w:footnoteReference w:id="12"/>
            </w:r>
            <w:r>
              <w:rPr>
                <w:sz w:val="18"/>
                <w:szCs w:val="18"/>
              </w:rPr>
              <w:t>.</w:t>
            </w:r>
            <w:r w:rsidRPr="00AE34EA">
              <w:rPr>
                <w:sz w:val="18"/>
                <w:szCs w:val="18"/>
              </w:rPr>
              <w:t xml:space="preserve"> Scrap </w:t>
            </w:r>
            <w:r w:rsidRPr="005B3E56">
              <w:rPr>
                <w:sz w:val="18"/>
                <w:szCs w:val="18"/>
              </w:rPr>
              <w:t>imports to be restricted to arrive at eight ports only. Illegally imported plastic waste to be returned to exporters</w:t>
            </w:r>
            <w:r w:rsidRPr="005B3E56">
              <w:rPr>
                <w:sz w:val="18"/>
                <w:szCs w:val="18"/>
                <w:vertAlign w:val="superscript"/>
              </w:rPr>
              <w:footnoteReference w:id="13"/>
            </w:r>
            <w:r w:rsidRPr="005B3E56">
              <w:rPr>
                <w:sz w:val="18"/>
                <w:szCs w:val="18"/>
              </w:rPr>
              <w:t xml:space="preserve">. Reportedly rejected eight containers of ‘contaminated’ paper and plastic material in July 2019. In September 2019, </w:t>
            </w:r>
            <w:r>
              <w:rPr>
                <w:sz w:val="18"/>
                <w:szCs w:val="18"/>
              </w:rPr>
              <w:t>it</w:t>
            </w:r>
            <w:r w:rsidRPr="005B3E56">
              <w:rPr>
                <w:sz w:val="18"/>
                <w:szCs w:val="18"/>
              </w:rPr>
              <w:t xml:space="preserve"> announced it would send 100 containers of contaminated material (particularly plastics) back to Australia, but to date only a small number have been returned</w:t>
            </w:r>
            <w:r w:rsidRPr="005B3E56">
              <w:rPr>
                <w:rStyle w:val="FootnoteReference"/>
                <w:sz w:val="18"/>
                <w:szCs w:val="18"/>
              </w:rPr>
              <w:footnoteReference w:id="14"/>
            </w:r>
            <w:r w:rsidRPr="005B3E56">
              <w:rPr>
                <w:sz w:val="18"/>
                <w:szCs w:val="18"/>
              </w:rPr>
              <w:t xml:space="preserve">. </w:t>
            </w:r>
            <w:r w:rsidR="00821195">
              <w:rPr>
                <w:sz w:val="18"/>
                <w:szCs w:val="18"/>
              </w:rPr>
              <w:t>Decided</w:t>
            </w:r>
            <w:r w:rsidRPr="005B3E56">
              <w:rPr>
                <w:sz w:val="18"/>
                <w:szCs w:val="18"/>
              </w:rPr>
              <w:t xml:space="preserve"> in Feb 2020 to ease the rules on metal scrap imports due to shortages</w:t>
            </w:r>
            <w:r w:rsidRPr="005B3E56">
              <w:rPr>
                <w:sz w:val="18"/>
                <w:szCs w:val="18"/>
                <w:vertAlign w:val="superscript"/>
              </w:rPr>
              <w:footnoteReference w:id="15"/>
            </w:r>
            <w:r w:rsidRPr="005B3E56">
              <w:rPr>
                <w:sz w:val="18"/>
                <w:szCs w:val="18"/>
              </w:rPr>
              <w:t>.</w:t>
            </w:r>
          </w:p>
        </w:tc>
        <w:tc>
          <w:tcPr>
            <w:tcW w:w="1418" w:type="dxa"/>
            <w:tcMar>
              <w:left w:w="57" w:type="dxa"/>
              <w:right w:w="57" w:type="dxa"/>
            </w:tcMar>
          </w:tcPr>
          <w:p w14:paraId="540EA21D" w14:textId="77777777" w:rsidR="00B50476" w:rsidRPr="00AE34EA" w:rsidRDefault="00B50476" w:rsidP="00BE650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Ann.: Apr-19</w:t>
            </w:r>
          </w:p>
          <w:p w14:paraId="506E101F" w14:textId="77777777" w:rsidR="00B50476" w:rsidRPr="00AE34EA" w:rsidRDefault="00B50476" w:rsidP="00BE650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Imp.: Nov-19</w:t>
            </w:r>
          </w:p>
        </w:tc>
        <w:tc>
          <w:tcPr>
            <w:tcW w:w="992" w:type="dxa"/>
            <w:tcMar>
              <w:left w:w="57" w:type="dxa"/>
              <w:right w:w="57" w:type="dxa"/>
            </w:tcMar>
          </w:tcPr>
          <w:p w14:paraId="296D4A15" w14:textId="77777777" w:rsidR="00B50476" w:rsidRPr="00AE34EA" w:rsidRDefault="00B50476" w:rsidP="00BE650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 xml:space="preserve">Plastics, </w:t>
            </w:r>
            <w:r>
              <w:rPr>
                <w:sz w:val="18"/>
                <w:szCs w:val="18"/>
              </w:rPr>
              <w:t>p</w:t>
            </w:r>
            <w:r w:rsidRPr="00AE34EA">
              <w:rPr>
                <w:sz w:val="18"/>
                <w:szCs w:val="18"/>
              </w:rPr>
              <w:t xml:space="preserve">aper and cardboard, metals, glass, hazardous waste, tyres, other. </w:t>
            </w:r>
          </w:p>
        </w:tc>
        <w:tc>
          <w:tcPr>
            <w:tcW w:w="1134" w:type="dxa"/>
            <w:tcMar>
              <w:left w:w="57" w:type="dxa"/>
              <w:right w:w="57" w:type="dxa"/>
            </w:tcMar>
          </w:tcPr>
          <w:p w14:paraId="60BFD2C8" w14:textId="77777777" w:rsidR="00B50476" w:rsidRDefault="00B50476" w:rsidP="00BE650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725,700</w:t>
            </w:r>
          </w:p>
          <w:p w14:paraId="3A06239D" w14:textId="77777777" w:rsidR="00B50476" w:rsidRDefault="00B50476" w:rsidP="00BE650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p>
          <w:p w14:paraId="18911986" w14:textId="77777777" w:rsidR="00B50476" w:rsidRPr="00AE34EA" w:rsidRDefault="00B50476" w:rsidP="00BE650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(60,500</w:t>
            </w:r>
            <w:r>
              <w:rPr>
                <w:sz w:val="18"/>
                <w:szCs w:val="18"/>
              </w:rPr>
              <w:t xml:space="preserve"> per</w:t>
            </w:r>
          </w:p>
          <w:p w14:paraId="118CFB34" w14:textId="77777777" w:rsidR="00B50476" w:rsidRPr="00AE34EA" w:rsidRDefault="00B50476" w:rsidP="00BE650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month)</w:t>
            </w:r>
          </w:p>
        </w:tc>
        <w:tc>
          <w:tcPr>
            <w:tcW w:w="709" w:type="dxa"/>
            <w:tcMar>
              <w:left w:w="57" w:type="dxa"/>
              <w:right w:w="57" w:type="dxa"/>
            </w:tcMar>
          </w:tcPr>
          <w:p w14:paraId="688DC557" w14:textId="77777777" w:rsidR="00B50476" w:rsidRPr="00AE34EA" w:rsidRDefault="00B50476" w:rsidP="00BE650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35</w:t>
            </w:r>
            <w:r w:rsidRPr="00AE34EA">
              <w:rPr>
                <w:sz w:val="18"/>
                <w:szCs w:val="18"/>
              </w:rPr>
              <w:t>,000</w:t>
            </w:r>
          </w:p>
        </w:tc>
        <w:tc>
          <w:tcPr>
            <w:tcW w:w="2409" w:type="dxa"/>
            <w:tcMar>
              <w:left w:w="57" w:type="dxa"/>
              <w:right w:w="57" w:type="dxa"/>
            </w:tcMar>
          </w:tcPr>
          <w:p w14:paraId="21D89770" w14:textId="77777777" w:rsidR="00B50476" w:rsidRPr="00AE34EA" w:rsidRDefault="00B50476" w:rsidP="00BE650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 xml:space="preserve">Impact uncertain. </w:t>
            </w:r>
          </w:p>
        </w:tc>
      </w:tr>
      <w:tr w:rsidR="00B50476" w:rsidRPr="003A3BCA" w14:paraId="2F6CBCF5" w14:textId="77777777" w:rsidTr="00BC0E3A">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7C414F51" w14:textId="77777777" w:rsidR="00B50476" w:rsidRPr="00AE34EA" w:rsidRDefault="00B50476" w:rsidP="00BE650A">
            <w:pPr>
              <w:spacing w:before="40" w:after="40"/>
              <w:rPr>
                <w:sz w:val="18"/>
                <w:szCs w:val="18"/>
              </w:rPr>
            </w:pPr>
            <w:r w:rsidRPr="00AE34EA">
              <w:rPr>
                <w:sz w:val="18"/>
                <w:szCs w:val="18"/>
              </w:rPr>
              <w:t>India</w:t>
            </w:r>
          </w:p>
        </w:tc>
        <w:tc>
          <w:tcPr>
            <w:tcW w:w="7087" w:type="dxa"/>
            <w:tcMar>
              <w:left w:w="57" w:type="dxa"/>
              <w:right w:w="57" w:type="dxa"/>
            </w:tcMar>
          </w:tcPr>
          <w:p w14:paraId="708CE084" w14:textId="77777777" w:rsidR="00B50476" w:rsidRPr="00AE34EA" w:rsidRDefault="00B50476" w:rsidP="00BE650A">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E34EA">
              <w:rPr>
                <w:color w:val="000000" w:themeColor="text1"/>
                <w:sz w:val="18"/>
                <w:szCs w:val="18"/>
              </w:rPr>
              <w:t>Import of scrap plastics banned from August 2019</w:t>
            </w:r>
            <w:r w:rsidRPr="00AE34EA">
              <w:rPr>
                <w:color w:val="000000" w:themeColor="text1"/>
                <w:sz w:val="18"/>
                <w:szCs w:val="18"/>
                <w:vertAlign w:val="superscript"/>
              </w:rPr>
              <w:footnoteReference w:id="16"/>
            </w:r>
            <w:r w:rsidRPr="00AE34EA">
              <w:rPr>
                <w:color w:val="000000" w:themeColor="text1"/>
                <w:sz w:val="18"/>
                <w:szCs w:val="18"/>
              </w:rPr>
              <w:t>. Also covers areas previously exempt under the 2016 ban such as special economic zones (SEZ) and export-oriented units (EOU)</w:t>
            </w:r>
            <w:r w:rsidRPr="00AE34EA">
              <w:rPr>
                <w:color w:val="000000" w:themeColor="text1"/>
                <w:sz w:val="18"/>
                <w:szCs w:val="18"/>
                <w:vertAlign w:val="superscript"/>
              </w:rPr>
              <w:footnoteReference w:id="17"/>
            </w:r>
            <w:r w:rsidRPr="00AE34EA">
              <w:rPr>
                <w:color w:val="000000" w:themeColor="text1"/>
                <w:sz w:val="18"/>
                <w:szCs w:val="18"/>
              </w:rPr>
              <w:t>. Excludes electrical/electronic assemblies or components that are defective which can be imported within a year of export. A six-month extension has been granted to three SEZs which allows plastic scrap to be imported until May 31 2020</w:t>
            </w:r>
            <w:r w:rsidRPr="00AE34EA">
              <w:rPr>
                <w:color w:val="000000" w:themeColor="text1"/>
                <w:sz w:val="18"/>
                <w:szCs w:val="18"/>
                <w:vertAlign w:val="superscript"/>
              </w:rPr>
              <w:footnoteReference w:id="18"/>
            </w:r>
            <w:r w:rsidRPr="00AE34EA">
              <w:rPr>
                <w:color w:val="000000" w:themeColor="text1"/>
                <w:sz w:val="18"/>
                <w:szCs w:val="18"/>
              </w:rPr>
              <w:t>. India set a contamination limit of 1% for recovered paper years ago. It now intends to enforce this by randomly inspecting 5 mixed paper bales per container</w:t>
            </w:r>
            <w:r w:rsidRPr="00AE34EA">
              <w:rPr>
                <w:color w:val="000000" w:themeColor="text1"/>
                <w:sz w:val="18"/>
                <w:szCs w:val="18"/>
                <w:vertAlign w:val="superscript"/>
              </w:rPr>
              <w:footnoteReference w:id="19"/>
            </w:r>
            <w:r>
              <w:rPr>
                <w:color w:val="000000" w:themeColor="text1"/>
                <w:sz w:val="18"/>
                <w:szCs w:val="18"/>
              </w:rPr>
              <w:t>.</w:t>
            </w:r>
          </w:p>
          <w:p w14:paraId="678E1F29" w14:textId="77777777" w:rsidR="00B50476" w:rsidRDefault="00B50476" w:rsidP="00BE650A">
            <w:pPr>
              <w:cnfStyle w:val="000000000000" w:firstRow="0" w:lastRow="0" w:firstColumn="0" w:lastColumn="0" w:oddVBand="0" w:evenVBand="0" w:oddHBand="0" w:evenHBand="0" w:firstRowFirstColumn="0" w:firstRowLastColumn="0" w:lastRowFirstColumn="0" w:lastRowLastColumn="0"/>
              <w:rPr>
                <w:sz w:val="18"/>
                <w:szCs w:val="18"/>
              </w:rPr>
            </w:pPr>
            <w:r w:rsidRPr="00AE34EA">
              <w:rPr>
                <w:color w:val="000000" w:themeColor="text1"/>
                <w:sz w:val="18"/>
                <w:szCs w:val="18"/>
              </w:rPr>
              <w:lastRenderedPageBreak/>
              <w:t>India’s Central Pollution Control Board has been reviewing the pyrolysis industry and has ordered the closure of 270 plants that were not compliant with environmental regulations</w:t>
            </w:r>
            <w:r w:rsidRPr="00AE34EA">
              <w:rPr>
                <w:rStyle w:val="FootnoteReference"/>
                <w:color w:val="000000" w:themeColor="text1"/>
                <w:sz w:val="18"/>
                <w:szCs w:val="18"/>
              </w:rPr>
              <w:footnoteReference w:id="20"/>
            </w:r>
            <w:r>
              <w:rPr>
                <w:color w:val="000000" w:themeColor="text1"/>
                <w:sz w:val="18"/>
                <w:szCs w:val="18"/>
              </w:rPr>
              <w:t>.</w:t>
            </w:r>
            <w:r w:rsidRPr="00AE34EA">
              <w:rPr>
                <w:color w:val="000000" w:themeColor="text1"/>
                <w:sz w:val="18"/>
                <w:szCs w:val="18"/>
              </w:rPr>
              <w:t xml:space="preserve"> It is expected this will lead to a subsequent restriction on the import of waste tyres in the near future</w:t>
            </w:r>
            <w:r w:rsidRPr="00AE34EA">
              <w:rPr>
                <w:rStyle w:val="FootnoteReference"/>
                <w:color w:val="000000" w:themeColor="text1"/>
                <w:sz w:val="18"/>
                <w:szCs w:val="18"/>
              </w:rPr>
              <w:footnoteReference w:id="21"/>
            </w:r>
            <w:r>
              <w:rPr>
                <w:color w:val="000000" w:themeColor="text1"/>
                <w:sz w:val="18"/>
                <w:szCs w:val="18"/>
              </w:rPr>
              <w:t>.</w:t>
            </w:r>
          </w:p>
        </w:tc>
        <w:tc>
          <w:tcPr>
            <w:tcW w:w="1418" w:type="dxa"/>
            <w:tcMar>
              <w:left w:w="57" w:type="dxa"/>
              <w:right w:w="57" w:type="dxa"/>
            </w:tcMar>
          </w:tcPr>
          <w:p w14:paraId="524E67CC" w14:textId="77777777" w:rsidR="00B50476" w:rsidRPr="00AE34EA" w:rsidRDefault="00B50476" w:rsidP="00BE650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lastRenderedPageBreak/>
              <w:t>Ann.: Mar-19</w:t>
            </w:r>
          </w:p>
          <w:p w14:paraId="24F0D946" w14:textId="77777777" w:rsidR="00B50476" w:rsidRPr="00AE34EA" w:rsidRDefault="00B50476" w:rsidP="00BE650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Imp.: Mar-19, Aug-19 for importers currently exempt under SEZs and EOUs.</w:t>
            </w:r>
          </w:p>
        </w:tc>
        <w:tc>
          <w:tcPr>
            <w:tcW w:w="992" w:type="dxa"/>
            <w:tcMar>
              <w:left w:w="57" w:type="dxa"/>
              <w:right w:w="57" w:type="dxa"/>
            </w:tcMar>
          </w:tcPr>
          <w:p w14:paraId="46CC15F1" w14:textId="77777777" w:rsidR="00B50476" w:rsidRPr="00AE34EA" w:rsidRDefault="00B50476" w:rsidP="00BE650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Plastic</w:t>
            </w:r>
            <w:r>
              <w:rPr>
                <w:sz w:val="18"/>
                <w:szCs w:val="18"/>
              </w:rPr>
              <w:t>s, tyres</w:t>
            </w:r>
          </w:p>
        </w:tc>
        <w:tc>
          <w:tcPr>
            <w:tcW w:w="1134" w:type="dxa"/>
            <w:tcMar>
              <w:left w:w="57" w:type="dxa"/>
              <w:right w:w="57" w:type="dxa"/>
            </w:tcMar>
          </w:tcPr>
          <w:p w14:paraId="1E728B48" w14:textId="77777777" w:rsidR="00B50476" w:rsidRDefault="00B50476" w:rsidP="00BE650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52,500</w:t>
            </w:r>
            <w:r w:rsidRPr="00AE34EA">
              <w:rPr>
                <w:sz w:val="18"/>
                <w:szCs w:val="18"/>
              </w:rPr>
              <w:t xml:space="preserve"> </w:t>
            </w:r>
          </w:p>
          <w:p w14:paraId="2B55FCA2" w14:textId="77777777" w:rsidR="00B50476" w:rsidRDefault="00B50476" w:rsidP="00BE650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p>
          <w:p w14:paraId="1CC9A487" w14:textId="77777777" w:rsidR="00B50476" w:rsidRPr="00AE34EA" w:rsidRDefault="00B50476" w:rsidP="00BE650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w:t>
            </w:r>
            <w:r>
              <w:rPr>
                <w:sz w:val="18"/>
                <w:szCs w:val="18"/>
              </w:rPr>
              <w:t xml:space="preserve">4,300 per </w:t>
            </w:r>
            <w:r w:rsidRPr="00AE34EA">
              <w:rPr>
                <w:sz w:val="18"/>
                <w:szCs w:val="18"/>
              </w:rPr>
              <w:t>month)</w:t>
            </w:r>
          </w:p>
        </w:tc>
        <w:tc>
          <w:tcPr>
            <w:tcW w:w="709" w:type="dxa"/>
            <w:tcMar>
              <w:left w:w="57" w:type="dxa"/>
              <w:right w:w="57" w:type="dxa"/>
            </w:tcMar>
          </w:tcPr>
          <w:p w14:paraId="7EB98211" w14:textId="77777777" w:rsidR="00B50476" w:rsidRPr="00AE34EA" w:rsidRDefault="00B50476" w:rsidP="00BE650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1,700</w:t>
            </w:r>
          </w:p>
        </w:tc>
        <w:tc>
          <w:tcPr>
            <w:tcW w:w="2409" w:type="dxa"/>
            <w:tcMar>
              <w:left w:w="57" w:type="dxa"/>
              <w:right w:w="57" w:type="dxa"/>
            </w:tcMar>
          </w:tcPr>
          <w:p w14:paraId="2DBFBAC4" w14:textId="77777777" w:rsidR="00B50476" w:rsidRPr="00AE34EA" w:rsidRDefault="00B50476" w:rsidP="00BE650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 xml:space="preserve">Impact uncertain. </w:t>
            </w:r>
          </w:p>
        </w:tc>
      </w:tr>
      <w:tr w:rsidR="00B50476" w:rsidRPr="003A3BCA" w14:paraId="3B0B7A5C" w14:textId="77777777" w:rsidTr="00BC0E3A">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7999CEFA" w14:textId="77777777" w:rsidR="00B50476" w:rsidRPr="00AE34EA" w:rsidRDefault="00B50476" w:rsidP="00BE650A">
            <w:pPr>
              <w:spacing w:before="40" w:after="40"/>
              <w:rPr>
                <w:sz w:val="18"/>
                <w:szCs w:val="18"/>
              </w:rPr>
            </w:pPr>
            <w:r w:rsidRPr="00AE34EA">
              <w:rPr>
                <w:sz w:val="18"/>
                <w:szCs w:val="18"/>
              </w:rPr>
              <w:t>Vietnam</w:t>
            </w:r>
          </w:p>
        </w:tc>
        <w:tc>
          <w:tcPr>
            <w:tcW w:w="7087" w:type="dxa"/>
            <w:tcMar>
              <w:left w:w="57" w:type="dxa"/>
              <w:right w:w="57" w:type="dxa"/>
            </w:tcMar>
          </w:tcPr>
          <w:p w14:paraId="1CA65412" w14:textId="70DD8060" w:rsidR="00B50476" w:rsidRDefault="00B50476" w:rsidP="00BE650A">
            <w:pPr>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Tighter controls over imports of plastic, paper and metals. Accepted only if importers prove their shipment meets specified environmental standards and there is capacity to process the materials</w:t>
            </w:r>
            <w:r w:rsidRPr="00AE34EA">
              <w:rPr>
                <w:sz w:val="18"/>
                <w:szCs w:val="18"/>
                <w:vertAlign w:val="superscript"/>
              </w:rPr>
              <w:footnoteReference w:id="22"/>
            </w:r>
            <w:r w:rsidRPr="00AE34EA">
              <w:rPr>
                <w:sz w:val="18"/>
                <w:szCs w:val="18"/>
              </w:rPr>
              <w:t>. No new licences issued for waste imports</w:t>
            </w:r>
            <w:bookmarkStart w:id="26" w:name="_Ref54176810"/>
            <w:r w:rsidR="00F91E7D">
              <w:rPr>
                <w:rStyle w:val="FootnoteReference"/>
                <w:sz w:val="18"/>
                <w:szCs w:val="18"/>
              </w:rPr>
              <w:footnoteReference w:id="23"/>
            </w:r>
            <w:bookmarkEnd w:id="26"/>
            <w:r w:rsidRPr="00AE34EA">
              <w:rPr>
                <w:sz w:val="18"/>
                <w:szCs w:val="18"/>
              </w:rPr>
              <w:t>. Plastic scrap imports to be banned by 2025</w:t>
            </w:r>
            <w:r w:rsidRPr="00AE34EA">
              <w:rPr>
                <w:sz w:val="18"/>
                <w:szCs w:val="18"/>
                <w:vertAlign w:val="superscript"/>
              </w:rPr>
              <w:footnoteReference w:id="24"/>
            </w:r>
            <w:r w:rsidRPr="00AE34EA">
              <w:rPr>
                <w:sz w:val="18"/>
                <w:szCs w:val="18"/>
              </w:rPr>
              <w:t>. Under new national standard QCVN 32: 2019/BTNMT, import of e-waste plastics (e.g. cases of TVs and computers) would be forbidden</w:t>
            </w:r>
            <w:r w:rsidRPr="00AE34EA">
              <w:rPr>
                <w:sz w:val="18"/>
                <w:szCs w:val="18"/>
                <w:vertAlign w:val="superscript"/>
              </w:rPr>
              <w:footnoteReference w:id="25"/>
            </w:r>
            <w:r w:rsidRPr="00AE34EA">
              <w:rPr>
                <w:sz w:val="18"/>
                <w:szCs w:val="18"/>
              </w:rPr>
              <w:t>. From 22 February 2019, all imports through road and railway border gates banned</w:t>
            </w:r>
            <w:r w:rsidRPr="00AE34EA">
              <w:rPr>
                <w:sz w:val="18"/>
                <w:szCs w:val="18"/>
                <w:vertAlign w:val="superscript"/>
              </w:rPr>
              <w:footnoteReference w:id="26"/>
            </w:r>
            <w:r w:rsidRPr="00AE34EA">
              <w:rPr>
                <w:sz w:val="18"/>
                <w:szCs w:val="18"/>
              </w:rPr>
              <w:t>. Import of mixed metal waste (containing any plastic, paper, other non-metallic metals) now understood to be restricted. Composition of metal waste needs to be 99% metal to be allowed in</w:t>
            </w:r>
            <w:r w:rsidRPr="00AE34EA">
              <w:rPr>
                <w:sz w:val="18"/>
                <w:szCs w:val="18"/>
                <w:vertAlign w:val="superscript"/>
              </w:rPr>
              <w:footnoteReference w:id="27"/>
            </w:r>
            <w:r w:rsidRPr="00AE34EA">
              <w:rPr>
                <w:sz w:val="18"/>
                <w:szCs w:val="18"/>
              </w:rPr>
              <w:t>.</w:t>
            </w:r>
          </w:p>
        </w:tc>
        <w:tc>
          <w:tcPr>
            <w:tcW w:w="1418" w:type="dxa"/>
            <w:tcMar>
              <w:left w:w="57" w:type="dxa"/>
              <w:right w:w="57" w:type="dxa"/>
            </w:tcMar>
          </w:tcPr>
          <w:p w14:paraId="33F3E4C5" w14:textId="77777777" w:rsidR="00B50476" w:rsidRPr="00AE34EA" w:rsidRDefault="00B50476" w:rsidP="00BE650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Ann. in Aug-18 apparently implemented.</w:t>
            </w:r>
          </w:p>
          <w:p w14:paraId="2E9C362E" w14:textId="77777777" w:rsidR="00B50476" w:rsidRPr="00AE34EA" w:rsidRDefault="00B50476" w:rsidP="00BE650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Mixed metal waste restricted from Oct 2018.</w:t>
            </w:r>
          </w:p>
        </w:tc>
        <w:tc>
          <w:tcPr>
            <w:tcW w:w="992" w:type="dxa"/>
            <w:tcMar>
              <w:left w:w="57" w:type="dxa"/>
              <w:right w:w="57" w:type="dxa"/>
            </w:tcMar>
          </w:tcPr>
          <w:p w14:paraId="39D749AB" w14:textId="77777777" w:rsidR="00B50476" w:rsidRPr="00AE34EA" w:rsidRDefault="00B50476" w:rsidP="00BE650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Plastic</w:t>
            </w:r>
            <w:r>
              <w:rPr>
                <w:sz w:val="18"/>
                <w:szCs w:val="18"/>
              </w:rPr>
              <w:t>s</w:t>
            </w:r>
            <w:r w:rsidRPr="00AE34EA">
              <w:rPr>
                <w:sz w:val="18"/>
                <w:szCs w:val="18"/>
              </w:rPr>
              <w:t xml:space="preserve">, </w:t>
            </w:r>
            <w:r>
              <w:rPr>
                <w:sz w:val="18"/>
                <w:szCs w:val="18"/>
              </w:rPr>
              <w:t>p</w:t>
            </w:r>
            <w:r w:rsidRPr="00AE34EA">
              <w:rPr>
                <w:sz w:val="18"/>
                <w:szCs w:val="18"/>
              </w:rPr>
              <w:t>aper and cardboard, metals</w:t>
            </w:r>
          </w:p>
        </w:tc>
        <w:tc>
          <w:tcPr>
            <w:tcW w:w="1134" w:type="dxa"/>
            <w:tcMar>
              <w:left w:w="57" w:type="dxa"/>
              <w:right w:w="57" w:type="dxa"/>
            </w:tcMar>
          </w:tcPr>
          <w:p w14:paraId="1331FF7D" w14:textId="77777777" w:rsidR="00B50476" w:rsidRDefault="00B50476" w:rsidP="00BE650A">
            <w:pPr>
              <w:spacing w:before="20" w:after="2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 xml:space="preserve">732,600 </w:t>
            </w:r>
          </w:p>
          <w:p w14:paraId="00231423" w14:textId="77777777" w:rsidR="00B50476" w:rsidRDefault="00B50476" w:rsidP="00BE650A">
            <w:pPr>
              <w:spacing w:before="20" w:after="20"/>
              <w:contextualSpacing/>
              <w:cnfStyle w:val="000000000000" w:firstRow="0" w:lastRow="0" w:firstColumn="0" w:lastColumn="0" w:oddVBand="0" w:evenVBand="0" w:oddHBand="0" w:evenHBand="0" w:firstRowFirstColumn="0" w:firstRowLastColumn="0" w:lastRowFirstColumn="0" w:lastRowLastColumn="0"/>
              <w:rPr>
                <w:sz w:val="18"/>
                <w:szCs w:val="18"/>
              </w:rPr>
            </w:pPr>
          </w:p>
          <w:p w14:paraId="5CC83F41" w14:textId="77777777" w:rsidR="00B50476" w:rsidRPr="00AE34EA" w:rsidRDefault="00B50476" w:rsidP="00BE650A">
            <w:pPr>
              <w:spacing w:before="20" w:after="2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(61,100</w:t>
            </w:r>
            <w:r>
              <w:rPr>
                <w:sz w:val="18"/>
                <w:szCs w:val="18"/>
              </w:rPr>
              <w:t xml:space="preserve"> per month</w:t>
            </w:r>
            <w:r w:rsidRPr="00AE34EA">
              <w:rPr>
                <w:sz w:val="18"/>
                <w:szCs w:val="18"/>
              </w:rPr>
              <w:t>)</w:t>
            </w:r>
          </w:p>
        </w:tc>
        <w:tc>
          <w:tcPr>
            <w:tcW w:w="709" w:type="dxa"/>
            <w:tcMar>
              <w:left w:w="57" w:type="dxa"/>
              <w:right w:w="57" w:type="dxa"/>
            </w:tcMar>
          </w:tcPr>
          <w:p w14:paraId="092F97D4" w14:textId="77777777" w:rsidR="00B50476" w:rsidRPr="00AE34EA" w:rsidRDefault="00B50476" w:rsidP="00BE650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53</w:t>
            </w:r>
            <w:r w:rsidRPr="00AE34EA">
              <w:rPr>
                <w:sz w:val="18"/>
                <w:szCs w:val="18"/>
              </w:rPr>
              <w:t>,000</w:t>
            </w:r>
          </w:p>
        </w:tc>
        <w:tc>
          <w:tcPr>
            <w:tcW w:w="2409" w:type="dxa"/>
            <w:tcMar>
              <w:left w:w="57" w:type="dxa"/>
              <w:right w:w="57" w:type="dxa"/>
            </w:tcMar>
          </w:tcPr>
          <w:p w14:paraId="01E06182" w14:textId="77777777" w:rsidR="00B50476" w:rsidRPr="00AE34EA" w:rsidRDefault="00B50476" w:rsidP="00BE650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 xml:space="preserve">Has apparently affected imports of scrap plastic and metal from Australia. </w:t>
            </w:r>
          </w:p>
          <w:p w14:paraId="18096244" w14:textId="77777777" w:rsidR="00B50476" w:rsidRPr="00AE34EA" w:rsidRDefault="00B50476" w:rsidP="00BE650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Environmental reference standards are unavailable in English.</w:t>
            </w:r>
          </w:p>
        </w:tc>
      </w:tr>
      <w:tr w:rsidR="00B50476" w:rsidRPr="003A3BCA" w14:paraId="2E9511D8" w14:textId="77777777" w:rsidTr="00BC0E3A">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4261F9FB" w14:textId="77777777" w:rsidR="00B50476" w:rsidRPr="00AE34EA" w:rsidRDefault="00B50476" w:rsidP="00BE650A">
            <w:pPr>
              <w:spacing w:before="40" w:after="40"/>
              <w:rPr>
                <w:sz w:val="18"/>
                <w:szCs w:val="18"/>
              </w:rPr>
            </w:pPr>
            <w:r w:rsidRPr="00AE34EA">
              <w:rPr>
                <w:sz w:val="18"/>
                <w:szCs w:val="18"/>
              </w:rPr>
              <w:t>China</w:t>
            </w:r>
          </w:p>
        </w:tc>
        <w:tc>
          <w:tcPr>
            <w:tcW w:w="7087" w:type="dxa"/>
            <w:tcMar>
              <w:left w:w="57" w:type="dxa"/>
              <w:right w:w="57" w:type="dxa"/>
            </w:tcMar>
            <w:vAlign w:val="center"/>
          </w:tcPr>
          <w:p w14:paraId="43BFF4DD" w14:textId="60DA247B" w:rsidR="00B50476" w:rsidRPr="00AE34EA" w:rsidRDefault="00B50476" w:rsidP="00BE650A">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Declared restrictions and then, in April 2018, a ban on 32 types of waste-derived products</w:t>
            </w:r>
            <w:r>
              <w:rPr>
                <w:sz w:val="18"/>
                <w:szCs w:val="18"/>
                <w:vertAlign w:val="superscript"/>
              </w:rPr>
              <w:footnoteReference w:id="28"/>
            </w:r>
            <w:r>
              <w:rPr>
                <w:sz w:val="18"/>
                <w:szCs w:val="18"/>
              </w:rPr>
              <w:t>. From 1 July 2019, import restrictions were placed on eight solid waste codes pertaining to metals</w:t>
            </w:r>
            <w:r>
              <w:rPr>
                <w:sz w:val="18"/>
                <w:szCs w:val="18"/>
                <w:vertAlign w:val="superscript"/>
              </w:rPr>
              <w:footnoteReference w:id="29"/>
            </w:r>
            <w:r>
              <w:rPr>
                <w:sz w:val="18"/>
                <w:szCs w:val="18"/>
              </w:rPr>
              <w:t xml:space="preserve">. In the meantime, China continues to issue permits for imports of waste fibre and will allow 4.5 million tonnes to be imported </w:t>
            </w:r>
            <w:r w:rsidR="00F91E7D">
              <w:rPr>
                <w:sz w:val="18"/>
                <w:szCs w:val="18"/>
              </w:rPr>
              <w:t>in 2019-20</w:t>
            </w:r>
            <w:r>
              <w:rPr>
                <w:sz w:val="18"/>
                <w:szCs w:val="18"/>
              </w:rPr>
              <w:t>. Quotas are still being issued for metals</w:t>
            </w:r>
            <w:r w:rsidRPr="00AE34EA">
              <w:rPr>
                <w:sz w:val="18"/>
                <w:szCs w:val="18"/>
                <w:vertAlign w:val="superscript"/>
              </w:rPr>
              <w:footnoteReference w:id="30"/>
            </w:r>
            <w:r w:rsidR="00F91E7D" w:rsidRPr="00F91E7D">
              <w:rPr>
                <w:sz w:val="18"/>
                <w:szCs w:val="18"/>
                <w:vertAlign w:val="superscript"/>
              </w:rPr>
              <w:t>,</w:t>
            </w:r>
            <w:r w:rsidRPr="00AE34EA">
              <w:rPr>
                <w:sz w:val="18"/>
                <w:szCs w:val="18"/>
                <w:vertAlign w:val="superscript"/>
              </w:rPr>
              <w:footnoteReference w:id="31"/>
            </w:r>
            <w:r w:rsidRPr="00AE34EA">
              <w:rPr>
                <w:sz w:val="18"/>
                <w:szCs w:val="18"/>
              </w:rPr>
              <w:t xml:space="preserve">. </w:t>
            </w:r>
            <w:r>
              <w:rPr>
                <w:sz w:val="18"/>
                <w:szCs w:val="18"/>
              </w:rPr>
              <w:t>China was reported to have enshrined in law its intention to stop all imports of waste with the aim of full implementation by the end of 2020</w:t>
            </w:r>
            <w:r>
              <w:rPr>
                <w:rStyle w:val="FootnoteReference"/>
                <w:sz w:val="18"/>
                <w:szCs w:val="18"/>
              </w:rPr>
              <w:footnoteReference w:id="32"/>
            </w:r>
            <w:r>
              <w:rPr>
                <w:sz w:val="18"/>
                <w:szCs w:val="18"/>
              </w:rPr>
              <w:t xml:space="preserve">. However, more recent reports indicate they may be rethinking the blanket ban and </w:t>
            </w:r>
            <w:r w:rsidR="00122D86">
              <w:rPr>
                <w:sz w:val="18"/>
                <w:szCs w:val="18"/>
              </w:rPr>
              <w:t xml:space="preserve">exempting </w:t>
            </w:r>
            <w:r>
              <w:rPr>
                <w:sz w:val="18"/>
                <w:szCs w:val="18"/>
              </w:rPr>
              <w:t>feedstocks that some industries rely on</w:t>
            </w:r>
            <w:r>
              <w:rPr>
                <w:rStyle w:val="FootnoteReference"/>
                <w:sz w:val="18"/>
                <w:szCs w:val="18"/>
              </w:rPr>
              <w:footnoteReference w:id="33"/>
            </w:r>
          </w:p>
        </w:tc>
        <w:tc>
          <w:tcPr>
            <w:tcW w:w="1418" w:type="dxa"/>
            <w:tcMar>
              <w:left w:w="57" w:type="dxa"/>
              <w:right w:w="57" w:type="dxa"/>
            </w:tcMar>
          </w:tcPr>
          <w:p w14:paraId="3621A498" w14:textId="77777777" w:rsidR="00B50476" w:rsidRPr="00AE34EA" w:rsidRDefault="00B50476" w:rsidP="00BE650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Ann.: Jul &amp; Nov-17, Apr-18, Jul-19, Dec-19, Jan-20</w:t>
            </w:r>
          </w:p>
          <w:p w14:paraId="6F707FA4" w14:textId="77777777" w:rsidR="00B50476" w:rsidRPr="00AE34EA" w:rsidRDefault="00B50476" w:rsidP="00BE650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Imp.: Jan &amp; Mar-18, Dec-18, Dec-19</w:t>
            </w:r>
          </w:p>
        </w:tc>
        <w:tc>
          <w:tcPr>
            <w:tcW w:w="992" w:type="dxa"/>
            <w:tcMar>
              <w:left w:w="57" w:type="dxa"/>
              <w:right w:w="57" w:type="dxa"/>
            </w:tcMar>
          </w:tcPr>
          <w:p w14:paraId="49DDAF23" w14:textId="77777777" w:rsidR="00B50476" w:rsidRPr="00AE34EA" w:rsidRDefault="00B50476" w:rsidP="00BE650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Plastic</w:t>
            </w:r>
            <w:r>
              <w:rPr>
                <w:sz w:val="18"/>
                <w:szCs w:val="18"/>
              </w:rPr>
              <w:t>s</w:t>
            </w:r>
            <w:r w:rsidRPr="00AE34EA">
              <w:rPr>
                <w:sz w:val="18"/>
                <w:szCs w:val="18"/>
              </w:rPr>
              <w:t xml:space="preserve">, </w:t>
            </w:r>
            <w:r>
              <w:rPr>
                <w:sz w:val="18"/>
                <w:szCs w:val="18"/>
              </w:rPr>
              <w:t>p</w:t>
            </w:r>
            <w:r w:rsidRPr="00AE34EA">
              <w:rPr>
                <w:sz w:val="18"/>
                <w:szCs w:val="18"/>
              </w:rPr>
              <w:t>aper and cardboard, metals, other</w:t>
            </w:r>
          </w:p>
        </w:tc>
        <w:tc>
          <w:tcPr>
            <w:tcW w:w="1134" w:type="dxa"/>
            <w:tcMar>
              <w:left w:w="57" w:type="dxa"/>
              <w:right w:w="57" w:type="dxa"/>
            </w:tcMar>
          </w:tcPr>
          <w:p w14:paraId="5894B598" w14:textId="77777777" w:rsidR="00B50476" w:rsidRDefault="00B50476" w:rsidP="00BE650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 xml:space="preserve">643,000 </w:t>
            </w:r>
          </w:p>
          <w:p w14:paraId="5C0766ED" w14:textId="77777777" w:rsidR="00B50476" w:rsidRDefault="00B50476" w:rsidP="00BE650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p>
          <w:p w14:paraId="230482B8" w14:textId="77777777" w:rsidR="00B50476" w:rsidRPr="00AE34EA" w:rsidRDefault="00B50476" w:rsidP="00BE650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(53,600</w:t>
            </w:r>
            <w:r>
              <w:rPr>
                <w:sz w:val="18"/>
                <w:szCs w:val="18"/>
              </w:rPr>
              <w:t xml:space="preserve"> per month</w:t>
            </w:r>
            <w:r w:rsidRPr="00AE34EA">
              <w:rPr>
                <w:sz w:val="18"/>
                <w:szCs w:val="18"/>
              </w:rPr>
              <w:t>)</w:t>
            </w:r>
          </w:p>
        </w:tc>
        <w:tc>
          <w:tcPr>
            <w:tcW w:w="709" w:type="dxa"/>
            <w:tcMar>
              <w:left w:w="57" w:type="dxa"/>
              <w:right w:w="57" w:type="dxa"/>
            </w:tcMar>
          </w:tcPr>
          <w:p w14:paraId="7F17808A" w14:textId="77777777" w:rsidR="00B50476" w:rsidRPr="00AE34EA" w:rsidRDefault="00B50476" w:rsidP="00BE650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18</w:t>
            </w:r>
            <w:r w:rsidRPr="00AE34EA">
              <w:rPr>
                <w:sz w:val="18"/>
                <w:szCs w:val="18"/>
              </w:rPr>
              <w:t>,000</w:t>
            </w:r>
          </w:p>
        </w:tc>
        <w:tc>
          <w:tcPr>
            <w:tcW w:w="2409" w:type="dxa"/>
            <w:tcMar>
              <w:left w:w="57" w:type="dxa"/>
              <w:right w:w="57" w:type="dxa"/>
            </w:tcMar>
          </w:tcPr>
          <w:p w14:paraId="43AB3B13" w14:textId="77777777" w:rsidR="00B50476" w:rsidRPr="00AE34EA" w:rsidRDefault="00B50476" w:rsidP="00BE650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Impact evident (2016-17 exports averaged 105,300/month and averaged 62,000/month in 2017-18).</w:t>
            </w:r>
          </w:p>
          <w:p w14:paraId="1B061502" w14:textId="77777777" w:rsidR="00B50476" w:rsidRPr="00AE34EA" w:rsidRDefault="00B50476" w:rsidP="00BE650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53609DAE" w14:textId="77777777" w:rsidR="00B50476" w:rsidRPr="00AE34EA" w:rsidRDefault="00B50476" w:rsidP="00BE650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3C8DFFA4" w14:textId="77777777" w:rsidR="00B50476" w:rsidRPr="00AE34EA" w:rsidRDefault="00B50476" w:rsidP="00BE650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r>
      <w:tr w:rsidR="00B50476" w:rsidRPr="003A3BCA" w14:paraId="02A99574" w14:textId="77777777" w:rsidTr="00BC0E3A">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27DA4816" w14:textId="77777777" w:rsidR="00B50476" w:rsidRPr="00AE34EA" w:rsidRDefault="00B50476" w:rsidP="00BE650A">
            <w:pPr>
              <w:spacing w:before="40" w:after="40"/>
              <w:rPr>
                <w:sz w:val="18"/>
                <w:szCs w:val="18"/>
              </w:rPr>
            </w:pPr>
            <w:r>
              <w:rPr>
                <w:sz w:val="18"/>
                <w:szCs w:val="18"/>
              </w:rPr>
              <w:lastRenderedPageBreak/>
              <w:t>Bangladesh</w:t>
            </w:r>
          </w:p>
        </w:tc>
        <w:tc>
          <w:tcPr>
            <w:tcW w:w="7087" w:type="dxa"/>
            <w:tcMar>
              <w:left w:w="57" w:type="dxa"/>
              <w:right w:w="57" w:type="dxa"/>
            </w:tcMar>
            <w:vAlign w:val="center"/>
          </w:tcPr>
          <w:p w14:paraId="7C0C4BCE" w14:textId="2A1B4B09" w:rsidR="00B50476" w:rsidRPr="00AE34EA" w:rsidRDefault="00B50476" w:rsidP="00BE650A">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 xml:space="preserve">No import </w:t>
            </w:r>
            <w:r w:rsidR="00821195">
              <w:rPr>
                <w:color w:val="000000" w:themeColor="text1"/>
                <w:sz w:val="18"/>
                <w:szCs w:val="18"/>
              </w:rPr>
              <w:t>bans apparent</w:t>
            </w:r>
            <w:r>
              <w:rPr>
                <w:color w:val="000000" w:themeColor="text1"/>
                <w:sz w:val="18"/>
                <w:szCs w:val="18"/>
              </w:rPr>
              <w:t xml:space="preserve">. </w:t>
            </w:r>
            <w:r w:rsidR="00821195">
              <w:rPr>
                <w:sz w:val="18"/>
                <w:szCs w:val="18"/>
              </w:rPr>
              <w:t>Received mainly metals from Australia (not subject to bans).</w:t>
            </w:r>
          </w:p>
        </w:tc>
        <w:tc>
          <w:tcPr>
            <w:tcW w:w="1418" w:type="dxa"/>
            <w:tcMar>
              <w:left w:w="57" w:type="dxa"/>
              <w:right w:w="57" w:type="dxa"/>
            </w:tcMar>
          </w:tcPr>
          <w:p w14:paraId="7EC5198A" w14:textId="77777777" w:rsidR="00B50476" w:rsidRPr="00AE34EA" w:rsidRDefault="00B50476" w:rsidP="00BE650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992" w:type="dxa"/>
            <w:tcMar>
              <w:left w:w="57" w:type="dxa"/>
              <w:right w:w="57" w:type="dxa"/>
            </w:tcMar>
          </w:tcPr>
          <w:p w14:paraId="6A71BF23" w14:textId="77777777" w:rsidR="00B50476" w:rsidRPr="00AE34EA" w:rsidRDefault="00B50476" w:rsidP="00BE650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1134" w:type="dxa"/>
            <w:tcMar>
              <w:left w:w="57" w:type="dxa"/>
              <w:right w:w="57" w:type="dxa"/>
            </w:tcMar>
          </w:tcPr>
          <w:p w14:paraId="28BE933C" w14:textId="77777777" w:rsidR="00B50476" w:rsidRPr="00AE34EA" w:rsidRDefault="00B50476" w:rsidP="00BE650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709" w:type="dxa"/>
            <w:tcMar>
              <w:left w:w="57" w:type="dxa"/>
              <w:right w:w="57" w:type="dxa"/>
            </w:tcMar>
          </w:tcPr>
          <w:p w14:paraId="32231F64" w14:textId="77777777" w:rsidR="00B50476" w:rsidRPr="00AE34EA" w:rsidDel="00825E99" w:rsidRDefault="00B50476" w:rsidP="00BE650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c>
          <w:tcPr>
            <w:tcW w:w="2409" w:type="dxa"/>
            <w:tcMar>
              <w:left w:w="57" w:type="dxa"/>
              <w:right w:w="57" w:type="dxa"/>
            </w:tcMar>
          </w:tcPr>
          <w:p w14:paraId="08781AD2" w14:textId="77777777" w:rsidR="00B50476" w:rsidRPr="00AE34EA" w:rsidRDefault="00B50476" w:rsidP="00BE650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None</w:t>
            </w:r>
          </w:p>
        </w:tc>
      </w:tr>
      <w:tr w:rsidR="00B50476" w:rsidRPr="003A3BCA" w14:paraId="6281AB17" w14:textId="77777777" w:rsidTr="00BC0E3A">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3ED7283B" w14:textId="77777777" w:rsidR="00B50476" w:rsidRPr="00AE34EA" w:rsidDel="00D77C8D" w:rsidRDefault="00B50476" w:rsidP="00B41A51">
            <w:pPr>
              <w:spacing w:before="40" w:after="40"/>
              <w:rPr>
                <w:sz w:val="18"/>
                <w:szCs w:val="18"/>
              </w:rPr>
            </w:pPr>
            <w:r w:rsidRPr="00AE34EA">
              <w:rPr>
                <w:sz w:val="18"/>
                <w:szCs w:val="18"/>
              </w:rPr>
              <w:t>Malaysia</w:t>
            </w:r>
          </w:p>
        </w:tc>
        <w:tc>
          <w:tcPr>
            <w:tcW w:w="7087" w:type="dxa"/>
            <w:tcMar>
              <w:left w:w="57" w:type="dxa"/>
              <w:right w:w="57" w:type="dxa"/>
            </w:tcMar>
            <w:vAlign w:val="center"/>
          </w:tcPr>
          <w:p w14:paraId="5F2F35E7" w14:textId="7425CABB" w:rsidR="00B50476" w:rsidRPr="00AE34EA" w:rsidDel="00D77C8D" w:rsidRDefault="00B50476" w:rsidP="00B41A51">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color w:val="000000" w:themeColor="text1"/>
                <w:sz w:val="18"/>
                <w:szCs w:val="18"/>
              </w:rPr>
              <w:t>Import permits revoked from 114 factories that process imported plastic waste</w:t>
            </w:r>
            <w:r w:rsidR="00F91E7D">
              <w:rPr>
                <w:color w:val="000000" w:themeColor="text1"/>
                <w:sz w:val="18"/>
                <w:szCs w:val="18"/>
                <w:vertAlign w:val="superscript"/>
              </w:rPr>
              <w:fldChar w:fldCharType="begin"/>
            </w:r>
            <w:r w:rsidR="00F91E7D">
              <w:rPr>
                <w:color w:val="000000" w:themeColor="text1"/>
                <w:sz w:val="18"/>
                <w:szCs w:val="18"/>
                <w:vertAlign w:val="superscript"/>
              </w:rPr>
              <w:instrText xml:space="preserve"> NOTEREF _Ref54176810 \h </w:instrText>
            </w:r>
            <w:r w:rsidR="00F91E7D">
              <w:rPr>
                <w:color w:val="000000" w:themeColor="text1"/>
                <w:sz w:val="18"/>
                <w:szCs w:val="18"/>
                <w:vertAlign w:val="superscript"/>
              </w:rPr>
            </w:r>
            <w:r w:rsidR="00F91E7D">
              <w:rPr>
                <w:color w:val="000000" w:themeColor="text1"/>
                <w:sz w:val="18"/>
                <w:szCs w:val="18"/>
                <w:vertAlign w:val="superscript"/>
              </w:rPr>
              <w:fldChar w:fldCharType="separate"/>
            </w:r>
            <w:r w:rsidR="009223D9">
              <w:rPr>
                <w:color w:val="000000" w:themeColor="text1"/>
                <w:sz w:val="18"/>
                <w:szCs w:val="18"/>
                <w:vertAlign w:val="superscript"/>
              </w:rPr>
              <w:t>23</w:t>
            </w:r>
            <w:r w:rsidR="00F91E7D">
              <w:rPr>
                <w:color w:val="000000" w:themeColor="text1"/>
                <w:sz w:val="18"/>
                <w:szCs w:val="18"/>
                <w:vertAlign w:val="superscript"/>
              </w:rPr>
              <w:fldChar w:fldCharType="end"/>
            </w:r>
            <w:r w:rsidR="00F91E7D">
              <w:rPr>
                <w:color w:val="000000" w:themeColor="text1"/>
                <w:sz w:val="18"/>
                <w:szCs w:val="18"/>
                <w:vertAlign w:val="superscript"/>
              </w:rPr>
              <w:t>,</w:t>
            </w:r>
            <w:r w:rsidR="00F91E7D" w:rsidRPr="00AE34EA">
              <w:rPr>
                <w:color w:val="000000" w:themeColor="text1"/>
                <w:sz w:val="18"/>
                <w:szCs w:val="18"/>
                <w:vertAlign w:val="superscript"/>
              </w:rPr>
              <w:t xml:space="preserve"> </w:t>
            </w:r>
            <w:r w:rsidR="00F91E7D" w:rsidRPr="00AE34EA">
              <w:rPr>
                <w:color w:val="000000" w:themeColor="text1"/>
                <w:sz w:val="18"/>
                <w:szCs w:val="18"/>
                <w:vertAlign w:val="superscript"/>
              </w:rPr>
              <w:footnoteReference w:id="34"/>
            </w:r>
            <w:r w:rsidRPr="00AE34EA">
              <w:rPr>
                <w:color w:val="000000" w:themeColor="text1"/>
                <w:sz w:val="18"/>
                <w:szCs w:val="18"/>
              </w:rPr>
              <w:t>. Import of non-recyclable plastic waste to be banned by 2021</w:t>
            </w:r>
            <w:r w:rsidRPr="00AE34EA">
              <w:rPr>
                <w:color w:val="000000" w:themeColor="text1"/>
                <w:sz w:val="18"/>
                <w:szCs w:val="18"/>
                <w:vertAlign w:val="superscript"/>
              </w:rPr>
              <w:footnoteReference w:id="35"/>
            </w:r>
            <w:r w:rsidRPr="00AE34EA">
              <w:rPr>
                <w:color w:val="000000" w:themeColor="text1"/>
                <w:sz w:val="18"/>
                <w:szCs w:val="18"/>
              </w:rPr>
              <w:t>. Contaminated, mislabelled or illegally imported plastic waste loads to be sent back to source</w:t>
            </w:r>
            <w:r w:rsidRPr="00AE34EA">
              <w:rPr>
                <w:color w:val="000000" w:themeColor="text1"/>
                <w:sz w:val="18"/>
                <w:szCs w:val="18"/>
                <w:vertAlign w:val="superscript"/>
              </w:rPr>
              <w:footnoteReference w:id="36"/>
            </w:r>
            <w:r w:rsidRPr="00AE34EA">
              <w:rPr>
                <w:color w:val="000000" w:themeColor="text1"/>
                <w:sz w:val="18"/>
                <w:szCs w:val="18"/>
              </w:rPr>
              <w:t xml:space="preserve"> </w:t>
            </w:r>
            <w:r w:rsidRPr="00AE34EA">
              <w:rPr>
                <w:color w:val="000000" w:themeColor="text1"/>
                <w:sz w:val="18"/>
                <w:szCs w:val="18"/>
                <w:vertAlign w:val="superscript"/>
              </w:rPr>
              <w:footnoteReference w:id="37"/>
            </w:r>
            <w:r w:rsidRPr="00AE34EA">
              <w:rPr>
                <w:color w:val="000000" w:themeColor="text1"/>
                <w:sz w:val="18"/>
                <w:szCs w:val="18"/>
              </w:rPr>
              <w:t>. Malaysia has continued returning contaminated containers of plastic waste to countries of origin with 150 returned and another 110 to be sent back by midyear. Enforcement at ports has improved and over 200 illegal plastic recycling facilities closed down in a bid to crackdown on illegal waste imports</w:t>
            </w:r>
            <w:r w:rsidRPr="00AE34EA">
              <w:rPr>
                <w:color w:val="000000" w:themeColor="text1"/>
                <w:sz w:val="18"/>
                <w:szCs w:val="18"/>
                <w:vertAlign w:val="superscript"/>
              </w:rPr>
              <w:footnoteReference w:id="38"/>
            </w:r>
            <w:r>
              <w:rPr>
                <w:color w:val="000000" w:themeColor="text1"/>
                <w:sz w:val="18"/>
                <w:szCs w:val="18"/>
              </w:rPr>
              <w:t>.</w:t>
            </w:r>
          </w:p>
        </w:tc>
        <w:tc>
          <w:tcPr>
            <w:tcW w:w="1418" w:type="dxa"/>
            <w:tcMar>
              <w:left w:w="57" w:type="dxa"/>
              <w:right w:w="57" w:type="dxa"/>
            </w:tcMar>
          </w:tcPr>
          <w:p w14:paraId="3133C0ED" w14:textId="77777777" w:rsidR="00B50476" w:rsidRPr="00AE34EA" w:rsidRDefault="00B50476" w:rsidP="00B41A51">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Jul-18.</w:t>
            </w:r>
          </w:p>
          <w:p w14:paraId="297D0E0E" w14:textId="77777777" w:rsidR="00B50476" w:rsidRPr="00AE34EA" w:rsidRDefault="00B50476" w:rsidP="00B41A51">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3D90ED47" w14:textId="77777777" w:rsidR="00B50476" w:rsidRPr="00AE34EA" w:rsidDel="00D77C8D" w:rsidRDefault="00B50476" w:rsidP="00B41A51">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992" w:type="dxa"/>
            <w:tcMar>
              <w:left w:w="57" w:type="dxa"/>
              <w:right w:w="57" w:type="dxa"/>
            </w:tcMar>
          </w:tcPr>
          <w:p w14:paraId="7BEB8D7D" w14:textId="77777777" w:rsidR="00B50476" w:rsidRPr="00AE34EA" w:rsidDel="00D77C8D" w:rsidRDefault="00B50476" w:rsidP="00B41A51">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Plastic</w:t>
            </w:r>
            <w:r>
              <w:rPr>
                <w:sz w:val="18"/>
                <w:szCs w:val="18"/>
              </w:rPr>
              <w:t>s</w:t>
            </w:r>
          </w:p>
        </w:tc>
        <w:tc>
          <w:tcPr>
            <w:tcW w:w="1134" w:type="dxa"/>
            <w:tcMar>
              <w:left w:w="57" w:type="dxa"/>
              <w:right w:w="57" w:type="dxa"/>
            </w:tcMar>
          </w:tcPr>
          <w:p w14:paraId="169FE64E" w14:textId="77777777" w:rsidR="00B50476" w:rsidRDefault="00B50476" w:rsidP="00B41A51">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 xml:space="preserve">55,200 </w:t>
            </w:r>
          </w:p>
          <w:p w14:paraId="0F52F569" w14:textId="77777777" w:rsidR="00B50476" w:rsidRDefault="00B50476" w:rsidP="00B41A51">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7C9D8406" w14:textId="77777777" w:rsidR="00B50476" w:rsidRPr="00AE34EA" w:rsidDel="00D77C8D" w:rsidRDefault="00B50476" w:rsidP="00B41A51">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(4,600</w:t>
            </w:r>
            <w:r>
              <w:rPr>
                <w:sz w:val="18"/>
                <w:szCs w:val="18"/>
              </w:rPr>
              <w:t xml:space="preserve"> per month</w:t>
            </w:r>
            <w:r w:rsidRPr="00AE34EA">
              <w:rPr>
                <w:sz w:val="18"/>
                <w:szCs w:val="18"/>
              </w:rPr>
              <w:t>)</w:t>
            </w:r>
          </w:p>
        </w:tc>
        <w:tc>
          <w:tcPr>
            <w:tcW w:w="709" w:type="dxa"/>
            <w:tcMar>
              <w:left w:w="57" w:type="dxa"/>
              <w:right w:w="57" w:type="dxa"/>
            </w:tcMar>
          </w:tcPr>
          <w:p w14:paraId="41DED3F0" w14:textId="77777777" w:rsidR="00B50476" w:rsidRPr="00AE34EA" w:rsidDel="0076337D" w:rsidRDefault="00B50476" w:rsidP="00B41A51">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2,4</w:t>
            </w:r>
            <w:r w:rsidRPr="00AE34EA">
              <w:rPr>
                <w:sz w:val="18"/>
                <w:szCs w:val="18"/>
              </w:rPr>
              <w:t>00</w:t>
            </w:r>
          </w:p>
        </w:tc>
        <w:tc>
          <w:tcPr>
            <w:tcW w:w="2409" w:type="dxa"/>
            <w:tcMar>
              <w:left w:w="57" w:type="dxa"/>
              <w:right w:w="57" w:type="dxa"/>
            </w:tcMar>
          </w:tcPr>
          <w:p w14:paraId="1C757E79" w14:textId="77777777" w:rsidR="00B50476" w:rsidRPr="00AE34EA" w:rsidDel="00D77C8D" w:rsidRDefault="00B50476" w:rsidP="00B41A51">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No impact apparent.</w:t>
            </w:r>
          </w:p>
        </w:tc>
      </w:tr>
      <w:tr w:rsidR="00B50476" w:rsidRPr="003A3BCA" w14:paraId="6E2A12A5" w14:textId="77777777" w:rsidTr="00BC0E3A">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238D87F8" w14:textId="77777777" w:rsidR="00B50476" w:rsidRPr="00AE34EA" w:rsidRDefault="00B50476" w:rsidP="00BE650A">
            <w:pPr>
              <w:spacing w:before="40" w:after="40"/>
              <w:rPr>
                <w:sz w:val="18"/>
                <w:szCs w:val="18"/>
              </w:rPr>
            </w:pPr>
            <w:r w:rsidRPr="00AE34EA">
              <w:rPr>
                <w:sz w:val="18"/>
                <w:szCs w:val="18"/>
              </w:rPr>
              <w:t>Thailand</w:t>
            </w:r>
          </w:p>
        </w:tc>
        <w:tc>
          <w:tcPr>
            <w:tcW w:w="7087" w:type="dxa"/>
            <w:tcMar>
              <w:left w:w="57" w:type="dxa"/>
              <w:right w:w="57" w:type="dxa"/>
            </w:tcMar>
            <w:vAlign w:val="center"/>
          </w:tcPr>
          <w:p w14:paraId="07A5FD2E" w14:textId="599D2739" w:rsidR="00B50476" w:rsidRPr="00AE34EA" w:rsidRDefault="00B50476" w:rsidP="00BE650A">
            <w:pPr>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Revoked a broad plastic scrap import allowance, meaning plastic waste and scrap is banned from import by 2021</w:t>
            </w:r>
            <w:r w:rsidRPr="00AE34EA">
              <w:rPr>
                <w:sz w:val="18"/>
                <w:szCs w:val="18"/>
                <w:vertAlign w:val="superscript"/>
              </w:rPr>
              <w:footnoteReference w:id="39"/>
            </w:r>
            <w:r w:rsidRPr="00AE34EA">
              <w:rPr>
                <w:sz w:val="18"/>
                <w:szCs w:val="18"/>
                <w:vertAlign w:val="superscript"/>
              </w:rPr>
              <w:t>,</w:t>
            </w:r>
            <w:r w:rsidRPr="00AE34EA">
              <w:rPr>
                <w:sz w:val="18"/>
                <w:szCs w:val="18"/>
                <w:vertAlign w:val="superscript"/>
              </w:rPr>
              <w:footnoteReference w:id="40"/>
            </w:r>
            <w:r w:rsidRPr="00AE34EA">
              <w:rPr>
                <w:sz w:val="18"/>
                <w:szCs w:val="18"/>
                <w:vertAlign w:val="superscript"/>
              </w:rPr>
              <w:t>,</w:t>
            </w:r>
            <w:r w:rsidRPr="00AE34EA">
              <w:rPr>
                <w:sz w:val="18"/>
                <w:szCs w:val="18"/>
                <w:vertAlign w:val="superscript"/>
              </w:rPr>
              <w:footnoteReference w:id="41"/>
            </w:r>
            <w:r w:rsidRPr="00AE34EA">
              <w:rPr>
                <w:sz w:val="18"/>
                <w:szCs w:val="18"/>
              </w:rPr>
              <w:t>. Looking to ban e</w:t>
            </w:r>
            <w:r w:rsidRPr="00AE34EA">
              <w:rPr>
                <w:sz w:val="18"/>
                <w:szCs w:val="18"/>
              </w:rPr>
              <w:noBreakHyphen/>
              <w:t>waste imports within 2 years</w:t>
            </w:r>
            <w:r w:rsidR="000B02D2" w:rsidRPr="000B02D2">
              <w:rPr>
                <w:sz w:val="18"/>
                <w:szCs w:val="18"/>
                <w:vertAlign w:val="superscript"/>
              </w:rPr>
              <w:fldChar w:fldCharType="begin"/>
            </w:r>
            <w:r w:rsidR="000B02D2" w:rsidRPr="000B02D2">
              <w:rPr>
                <w:sz w:val="18"/>
                <w:szCs w:val="18"/>
                <w:vertAlign w:val="superscript"/>
              </w:rPr>
              <w:instrText xml:space="preserve"> NOTEREF _Ref54176810 \h </w:instrText>
            </w:r>
            <w:r w:rsidR="000B02D2" w:rsidRPr="000B02D2">
              <w:rPr>
                <w:sz w:val="18"/>
                <w:szCs w:val="18"/>
                <w:vertAlign w:val="superscript"/>
              </w:rPr>
            </w:r>
            <w:r w:rsidR="000B02D2">
              <w:rPr>
                <w:sz w:val="18"/>
                <w:szCs w:val="18"/>
                <w:vertAlign w:val="superscript"/>
              </w:rPr>
              <w:instrText xml:space="preserve"> \* MERGEFORMAT </w:instrText>
            </w:r>
            <w:r w:rsidR="000B02D2" w:rsidRPr="000B02D2">
              <w:rPr>
                <w:sz w:val="18"/>
                <w:szCs w:val="18"/>
                <w:vertAlign w:val="superscript"/>
              </w:rPr>
              <w:fldChar w:fldCharType="separate"/>
            </w:r>
            <w:r w:rsidR="009223D9">
              <w:rPr>
                <w:sz w:val="18"/>
                <w:szCs w:val="18"/>
                <w:vertAlign w:val="superscript"/>
              </w:rPr>
              <w:t>23</w:t>
            </w:r>
            <w:r w:rsidR="000B02D2" w:rsidRPr="000B02D2">
              <w:rPr>
                <w:sz w:val="18"/>
                <w:szCs w:val="18"/>
                <w:vertAlign w:val="superscript"/>
              </w:rPr>
              <w:fldChar w:fldCharType="end"/>
            </w:r>
            <w:r w:rsidRPr="00AE34EA">
              <w:rPr>
                <w:sz w:val="18"/>
                <w:szCs w:val="18"/>
              </w:rPr>
              <w:t>. In January 2020, a new subcommittee was set up to ensure the proposed bans can be achieved, and will not be prevented by loopholes</w:t>
            </w:r>
            <w:r w:rsidRPr="00AE34EA">
              <w:rPr>
                <w:rStyle w:val="FootnoteReference"/>
                <w:sz w:val="18"/>
                <w:szCs w:val="18"/>
              </w:rPr>
              <w:footnoteReference w:id="42"/>
            </w:r>
            <w:r>
              <w:rPr>
                <w:sz w:val="18"/>
                <w:szCs w:val="18"/>
              </w:rPr>
              <w:t>.</w:t>
            </w:r>
          </w:p>
        </w:tc>
        <w:tc>
          <w:tcPr>
            <w:tcW w:w="1418" w:type="dxa"/>
            <w:tcMar>
              <w:left w:w="57" w:type="dxa"/>
              <w:right w:w="57" w:type="dxa"/>
            </w:tcMar>
          </w:tcPr>
          <w:p w14:paraId="05EE7726" w14:textId="77777777" w:rsidR="00B50476" w:rsidRPr="00AE34EA" w:rsidRDefault="00B50476" w:rsidP="00BE650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Ann. Aug-18, plastic imp. Aug-18, e-waste &lt;2 yrs.</w:t>
            </w:r>
          </w:p>
        </w:tc>
        <w:tc>
          <w:tcPr>
            <w:tcW w:w="992" w:type="dxa"/>
            <w:tcMar>
              <w:left w:w="57" w:type="dxa"/>
              <w:right w:w="57" w:type="dxa"/>
            </w:tcMar>
          </w:tcPr>
          <w:p w14:paraId="285DB171" w14:textId="77777777" w:rsidR="00B50476" w:rsidRPr="00AE34EA" w:rsidRDefault="00B50476" w:rsidP="00BE650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Plastic</w:t>
            </w:r>
            <w:r>
              <w:rPr>
                <w:sz w:val="18"/>
                <w:szCs w:val="18"/>
              </w:rPr>
              <w:t>s</w:t>
            </w:r>
          </w:p>
        </w:tc>
        <w:tc>
          <w:tcPr>
            <w:tcW w:w="1134" w:type="dxa"/>
            <w:tcMar>
              <w:left w:w="57" w:type="dxa"/>
              <w:right w:w="57" w:type="dxa"/>
            </w:tcMar>
          </w:tcPr>
          <w:p w14:paraId="2D6CFE37" w14:textId="77777777" w:rsidR="00B50476" w:rsidRDefault="00B50476" w:rsidP="00BE650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 xml:space="preserve">11,200 </w:t>
            </w:r>
          </w:p>
          <w:p w14:paraId="4961465E" w14:textId="77777777" w:rsidR="00B50476" w:rsidRDefault="00B50476" w:rsidP="00BE650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p>
          <w:p w14:paraId="33D55B71" w14:textId="77777777" w:rsidR="00B50476" w:rsidRPr="00AE34EA" w:rsidRDefault="00B50476" w:rsidP="00BE650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(900</w:t>
            </w:r>
            <w:r>
              <w:rPr>
                <w:sz w:val="18"/>
                <w:szCs w:val="18"/>
              </w:rPr>
              <w:t xml:space="preserve"> per </w:t>
            </w:r>
            <w:r w:rsidRPr="00AE34EA">
              <w:rPr>
                <w:sz w:val="18"/>
                <w:szCs w:val="18"/>
              </w:rPr>
              <w:t>m</w:t>
            </w:r>
            <w:r>
              <w:rPr>
                <w:sz w:val="18"/>
                <w:szCs w:val="18"/>
              </w:rPr>
              <w:t>on</w:t>
            </w:r>
            <w:r w:rsidRPr="00AE34EA">
              <w:rPr>
                <w:sz w:val="18"/>
                <w:szCs w:val="18"/>
              </w:rPr>
              <w:t>th)</w:t>
            </w:r>
          </w:p>
        </w:tc>
        <w:tc>
          <w:tcPr>
            <w:tcW w:w="709" w:type="dxa"/>
            <w:tcMar>
              <w:left w:w="57" w:type="dxa"/>
              <w:right w:w="57" w:type="dxa"/>
            </w:tcMar>
          </w:tcPr>
          <w:p w14:paraId="1B21C8FB" w14:textId="77777777" w:rsidR="00B50476" w:rsidRDefault="00B50476" w:rsidP="00BE650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37</w:t>
            </w:r>
            <w:r w:rsidRPr="00AE34EA">
              <w:rPr>
                <w:sz w:val="18"/>
                <w:szCs w:val="18"/>
              </w:rPr>
              <w:t>0</w:t>
            </w:r>
          </w:p>
        </w:tc>
        <w:tc>
          <w:tcPr>
            <w:tcW w:w="2409" w:type="dxa"/>
            <w:tcMar>
              <w:left w:w="57" w:type="dxa"/>
              <w:right w:w="57" w:type="dxa"/>
            </w:tcMar>
          </w:tcPr>
          <w:p w14:paraId="7A28113C" w14:textId="77777777" w:rsidR="00B50476" w:rsidRPr="00AE34EA" w:rsidRDefault="00B50476" w:rsidP="00BE650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No impact apparent Announcement available in Thai only.</w:t>
            </w:r>
          </w:p>
        </w:tc>
      </w:tr>
      <w:tr w:rsidR="00B50476" w:rsidRPr="003A3BCA" w14:paraId="5D0D0CBA" w14:textId="77777777" w:rsidTr="00BC0E3A">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5F1A3ADA" w14:textId="77777777" w:rsidR="00B50476" w:rsidRPr="00AE34EA" w:rsidRDefault="00B50476" w:rsidP="00BE650A">
            <w:pPr>
              <w:spacing w:before="40" w:after="40"/>
              <w:rPr>
                <w:sz w:val="18"/>
                <w:szCs w:val="18"/>
              </w:rPr>
            </w:pPr>
            <w:r w:rsidRPr="00AE34EA">
              <w:rPr>
                <w:sz w:val="18"/>
                <w:szCs w:val="18"/>
              </w:rPr>
              <w:t>Korea, Republic of</w:t>
            </w:r>
          </w:p>
        </w:tc>
        <w:tc>
          <w:tcPr>
            <w:tcW w:w="7087" w:type="dxa"/>
            <w:tcMar>
              <w:left w:w="57" w:type="dxa"/>
              <w:right w:w="57" w:type="dxa"/>
            </w:tcMar>
            <w:vAlign w:val="center"/>
          </w:tcPr>
          <w:p w14:paraId="0C50A13A" w14:textId="77777777" w:rsidR="00B50476" w:rsidRPr="00AE34EA" w:rsidRDefault="00B50476" w:rsidP="00BE650A">
            <w:pPr>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 xml:space="preserve">Announced on 17 February 2020 that it plans to reduce wastepaper imports. </w:t>
            </w:r>
            <w:r>
              <w:rPr>
                <w:sz w:val="18"/>
                <w:szCs w:val="18"/>
              </w:rPr>
              <w:t xml:space="preserve"> On 30 June 2020 announced a ban on imports of PET, PE, PP and PS with immediate effect.</w:t>
            </w:r>
            <w:r>
              <w:rPr>
                <w:rStyle w:val="FootnoteReference"/>
                <w:sz w:val="18"/>
                <w:szCs w:val="18"/>
              </w:rPr>
              <w:footnoteReference w:id="43"/>
            </w:r>
          </w:p>
        </w:tc>
        <w:tc>
          <w:tcPr>
            <w:tcW w:w="1418" w:type="dxa"/>
            <w:tcMar>
              <w:left w:w="57" w:type="dxa"/>
              <w:right w:w="57" w:type="dxa"/>
            </w:tcMar>
          </w:tcPr>
          <w:p w14:paraId="0C45F45B" w14:textId="77777777" w:rsidR="00B50476" w:rsidRPr="00AE34EA" w:rsidRDefault="00B50476" w:rsidP="00BE650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Ann.: Feb-20</w:t>
            </w:r>
          </w:p>
        </w:tc>
        <w:tc>
          <w:tcPr>
            <w:tcW w:w="992" w:type="dxa"/>
            <w:tcMar>
              <w:left w:w="57" w:type="dxa"/>
              <w:right w:w="57" w:type="dxa"/>
            </w:tcMar>
          </w:tcPr>
          <w:p w14:paraId="32B4D25A" w14:textId="68888B7D" w:rsidR="00B50476" w:rsidRPr="00AE34EA" w:rsidRDefault="00B50476" w:rsidP="00B41A51">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Paper</w:t>
            </w:r>
            <w:r>
              <w:rPr>
                <w:sz w:val="18"/>
                <w:szCs w:val="18"/>
              </w:rPr>
              <w:t>,</w:t>
            </w:r>
            <w:r w:rsidR="00B41A51">
              <w:rPr>
                <w:sz w:val="18"/>
                <w:szCs w:val="18"/>
              </w:rPr>
              <w:t xml:space="preserve"> </w:t>
            </w:r>
            <w:r>
              <w:rPr>
                <w:sz w:val="18"/>
                <w:szCs w:val="18"/>
              </w:rPr>
              <w:t>plastic bottles</w:t>
            </w:r>
          </w:p>
        </w:tc>
        <w:tc>
          <w:tcPr>
            <w:tcW w:w="1134" w:type="dxa"/>
            <w:tcMar>
              <w:left w:w="57" w:type="dxa"/>
              <w:right w:w="57" w:type="dxa"/>
            </w:tcMar>
          </w:tcPr>
          <w:p w14:paraId="5DF6A63A" w14:textId="77777777" w:rsidR="00B50476" w:rsidRDefault="00B50476" w:rsidP="00BE650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 xml:space="preserve">13,200 </w:t>
            </w:r>
          </w:p>
          <w:p w14:paraId="611C2D21" w14:textId="77777777" w:rsidR="00B50476" w:rsidRPr="00AE34EA" w:rsidRDefault="00B50476" w:rsidP="00BE650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(1,100</w:t>
            </w:r>
            <w:r>
              <w:rPr>
                <w:sz w:val="18"/>
                <w:szCs w:val="18"/>
              </w:rPr>
              <w:t xml:space="preserve"> per mon</w:t>
            </w:r>
            <w:r w:rsidRPr="00AE34EA">
              <w:rPr>
                <w:sz w:val="18"/>
                <w:szCs w:val="18"/>
              </w:rPr>
              <w:t>th)</w:t>
            </w:r>
          </w:p>
        </w:tc>
        <w:tc>
          <w:tcPr>
            <w:tcW w:w="709" w:type="dxa"/>
            <w:tcMar>
              <w:left w:w="57" w:type="dxa"/>
              <w:right w:w="57" w:type="dxa"/>
            </w:tcMar>
          </w:tcPr>
          <w:p w14:paraId="10FC35B0" w14:textId="77777777" w:rsidR="00B50476" w:rsidRPr="00AE34EA" w:rsidRDefault="00B50476" w:rsidP="00BE650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190</w:t>
            </w:r>
          </w:p>
        </w:tc>
        <w:tc>
          <w:tcPr>
            <w:tcW w:w="2409" w:type="dxa"/>
            <w:tcMar>
              <w:left w:w="57" w:type="dxa"/>
              <w:right w:w="57" w:type="dxa"/>
            </w:tcMar>
          </w:tcPr>
          <w:p w14:paraId="36A46D97" w14:textId="77777777" w:rsidR="00B50476" w:rsidRPr="00AE34EA" w:rsidRDefault="00B50476" w:rsidP="00BE650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r>
      <w:tr w:rsidR="00B50476" w:rsidRPr="003A3BCA" w14:paraId="434BFA38" w14:textId="77777777" w:rsidTr="00BC0E3A">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58AE115D" w14:textId="77777777" w:rsidR="00B50476" w:rsidRPr="00AE34EA" w:rsidRDefault="00B50476" w:rsidP="00B41A51">
            <w:pPr>
              <w:rPr>
                <w:sz w:val="18"/>
                <w:szCs w:val="18"/>
              </w:rPr>
            </w:pPr>
            <w:r w:rsidRPr="00AE34EA">
              <w:rPr>
                <w:sz w:val="18"/>
                <w:szCs w:val="18"/>
              </w:rPr>
              <w:t>Taiwan</w:t>
            </w:r>
          </w:p>
        </w:tc>
        <w:tc>
          <w:tcPr>
            <w:tcW w:w="7087" w:type="dxa"/>
            <w:tcMar>
              <w:left w:w="57" w:type="dxa"/>
              <w:right w:w="57" w:type="dxa"/>
            </w:tcMar>
            <w:vAlign w:val="center"/>
          </w:tcPr>
          <w:p w14:paraId="28DCF5CD" w14:textId="77777777" w:rsidR="00B50476" w:rsidRPr="00AE34EA" w:rsidRDefault="00B50476" w:rsidP="00B41A51">
            <w:pPr>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Import of plastic waste is banned. Exceptions are made to licensed local firms that import plastic waste originating from their own overseas production processes or are a single material, but not from original production processes</w:t>
            </w:r>
            <w:r w:rsidRPr="00AE34EA">
              <w:rPr>
                <w:sz w:val="18"/>
                <w:szCs w:val="18"/>
                <w:vertAlign w:val="superscript"/>
              </w:rPr>
              <w:footnoteReference w:id="44"/>
            </w:r>
            <w:r w:rsidRPr="00AE34EA">
              <w:rPr>
                <w:sz w:val="18"/>
                <w:szCs w:val="18"/>
              </w:rPr>
              <w:t>. Paper imports restricted to only deinked paper, kraft paper, corrugated paper or cardboard that is not bleached. Import of waste newspapers and magazines banned.</w:t>
            </w:r>
          </w:p>
        </w:tc>
        <w:tc>
          <w:tcPr>
            <w:tcW w:w="1418" w:type="dxa"/>
          </w:tcPr>
          <w:p w14:paraId="3FCE8B38" w14:textId="77777777" w:rsidR="00B50476" w:rsidRPr="00AE34EA" w:rsidRDefault="00B50476" w:rsidP="00B41A51">
            <w:pPr>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Ann.: Aug-18</w:t>
            </w:r>
          </w:p>
          <w:p w14:paraId="71BFC3B3" w14:textId="77777777" w:rsidR="00B50476" w:rsidRPr="00AE34EA" w:rsidRDefault="00B50476" w:rsidP="00B41A51">
            <w:pPr>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Imp.: Oct-18</w:t>
            </w:r>
          </w:p>
        </w:tc>
        <w:tc>
          <w:tcPr>
            <w:tcW w:w="992" w:type="dxa"/>
          </w:tcPr>
          <w:p w14:paraId="64C39A7E" w14:textId="77777777" w:rsidR="00B50476" w:rsidRPr="00AE34EA" w:rsidRDefault="00B50476" w:rsidP="00B41A51">
            <w:pPr>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Plastic</w:t>
            </w:r>
            <w:r>
              <w:rPr>
                <w:sz w:val="18"/>
                <w:szCs w:val="18"/>
              </w:rPr>
              <w:t>s</w:t>
            </w:r>
            <w:r w:rsidRPr="00AE34EA">
              <w:rPr>
                <w:sz w:val="18"/>
                <w:szCs w:val="18"/>
              </w:rPr>
              <w:t>, paper</w:t>
            </w:r>
            <w:r>
              <w:rPr>
                <w:sz w:val="18"/>
                <w:szCs w:val="18"/>
              </w:rPr>
              <w:t xml:space="preserve"> and cardboard</w:t>
            </w:r>
          </w:p>
        </w:tc>
        <w:tc>
          <w:tcPr>
            <w:tcW w:w="1134" w:type="dxa"/>
            <w:tcMar>
              <w:left w:w="57" w:type="dxa"/>
              <w:right w:w="57" w:type="dxa"/>
            </w:tcMar>
          </w:tcPr>
          <w:p w14:paraId="3F0AC657" w14:textId="77777777" w:rsidR="00B50476" w:rsidRDefault="00B50476" w:rsidP="00B41A51">
            <w:pPr>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17,700</w:t>
            </w:r>
          </w:p>
          <w:p w14:paraId="1B67C708" w14:textId="77777777" w:rsidR="00B50476" w:rsidRDefault="00B50476" w:rsidP="00B41A51">
            <w:pPr>
              <w:cnfStyle w:val="000000000000" w:firstRow="0" w:lastRow="0" w:firstColumn="0" w:lastColumn="0" w:oddVBand="0" w:evenVBand="0" w:oddHBand="0" w:evenHBand="0" w:firstRowFirstColumn="0" w:firstRowLastColumn="0" w:lastRowFirstColumn="0" w:lastRowLastColumn="0"/>
              <w:rPr>
                <w:sz w:val="18"/>
                <w:szCs w:val="18"/>
              </w:rPr>
            </w:pPr>
          </w:p>
          <w:p w14:paraId="774B460F" w14:textId="77777777" w:rsidR="00B50476" w:rsidRPr="00AE34EA" w:rsidRDefault="00B50476" w:rsidP="00B41A51">
            <w:pPr>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(1,500</w:t>
            </w:r>
            <w:r>
              <w:rPr>
                <w:sz w:val="18"/>
                <w:szCs w:val="18"/>
              </w:rPr>
              <w:t xml:space="preserve"> per month</w:t>
            </w:r>
            <w:r w:rsidRPr="00AE34EA">
              <w:rPr>
                <w:sz w:val="18"/>
                <w:szCs w:val="18"/>
              </w:rPr>
              <w:t>)</w:t>
            </w:r>
          </w:p>
        </w:tc>
        <w:tc>
          <w:tcPr>
            <w:tcW w:w="709" w:type="dxa"/>
          </w:tcPr>
          <w:p w14:paraId="1DCBAA95" w14:textId="77777777" w:rsidR="00B50476" w:rsidRPr="00AE34EA" w:rsidDel="00825E99" w:rsidRDefault="00B50476" w:rsidP="00B41A5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810</w:t>
            </w:r>
          </w:p>
        </w:tc>
        <w:tc>
          <w:tcPr>
            <w:tcW w:w="2409" w:type="dxa"/>
          </w:tcPr>
          <w:p w14:paraId="295BD6CB" w14:textId="77777777" w:rsidR="00B50476" w:rsidRPr="00AE34EA" w:rsidRDefault="00B50476" w:rsidP="00B41A51">
            <w:pPr>
              <w:cnfStyle w:val="000000000000" w:firstRow="0" w:lastRow="0" w:firstColumn="0" w:lastColumn="0" w:oddVBand="0" w:evenVBand="0" w:oddHBand="0" w:evenHBand="0" w:firstRowFirstColumn="0" w:firstRowLastColumn="0" w:lastRowFirstColumn="0" w:lastRowLastColumn="0"/>
              <w:rPr>
                <w:sz w:val="18"/>
                <w:szCs w:val="18"/>
              </w:rPr>
            </w:pPr>
            <w:r w:rsidRPr="00AE34EA">
              <w:rPr>
                <w:sz w:val="18"/>
                <w:szCs w:val="18"/>
              </w:rPr>
              <w:t>No impact apparent.</w:t>
            </w:r>
          </w:p>
        </w:tc>
      </w:tr>
      <w:tr w:rsidR="00B50476" w:rsidRPr="003A3BCA" w14:paraId="67A96108" w14:textId="77777777" w:rsidTr="00BC0E3A">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54CB1354" w14:textId="77777777" w:rsidR="00B50476" w:rsidRPr="00AE34EA" w:rsidRDefault="00B50476" w:rsidP="00821195">
            <w:pPr>
              <w:spacing w:before="0" w:after="0"/>
              <w:rPr>
                <w:sz w:val="18"/>
                <w:szCs w:val="18"/>
              </w:rPr>
            </w:pPr>
            <w:r>
              <w:rPr>
                <w:sz w:val="18"/>
                <w:szCs w:val="18"/>
              </w:rPr>
              <w:t>Pakistan</w:t>
            </w:r>
          </w:p>
        </w:tc>
        <w:tc>
          <w:tcPr>
            <w:tcW w:w="7087" w:type="dxa"/>
            <w:tcMar>
              <w:left w:w="57" w:type="dxa"/>
              <w:right w:w="57" w:type="dxa"/>
            </w:tcMar>
            <w:vAlign w:val="center"/>
          </w:tcPr>
          <w:p w14:paraId="0DB16751" w14:textId="7E415B09" w:rsidR="00B50476" w:rsidRPr="00AE34EA" w:rsidRDefault="00B50476" w:rsidP="00B41A5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 import bans apparent</w:t>
            </w:r>
            <w:r>
              <w:rPr>
                <w:rStyle w:val="FootnoteReference"/>
                <w:sz w:val="18"/>
                <w:szCs w:val="18"/>
              </w:rPr>
              <w:footnoteReference w:id="45"/>
            </w:r>
            <w:r>
              <w:rPr>
                <w:sz w:val="18"/>
                <w:szCs w:val="18"/>
              </w:rPr>
              <w:t>. Received mainly metals from Australia</w:t>
            </w:r>
            <w:r w:rsidR="00821195">
              <w:rPr>
                <w:sz w:val="18"/>
                <w:szCs w:val="18"/>
              </w:rPr>
              <w:t xml:space="preserve"> (</w:t>
            </w:r>
            <w:r>
              <w:rPr>
                <w:sz w:val="18"/>
                <w:szCs w:val="18"/>
              </w:rPr>
              <w:t>not subject to bans</w:t>
            </w:r>
            <w:r w:rsidR="00821195">
              <w:rPr>
                <w:sz w:val="18"/>
                <w:szCs w:val="18"/>
              </w:rPr>
              <w:t>)</w:t>
            </w:r>
            <w:r>
              <w:rPr>
                <w:sz w:val="18"/>
                <w:szCs w:val="18"/>
              </w:rPr>
              <w:t>.</w:t>
            </w:r>
          </w:p>
        </w:tc>
        <w:tc>
          <w:tcPr>
            <w:tcW w:w="1418" w:type="dxa"/>
            <w:vAlign w:val="center"/>
          </w:tcPr>
          <w:p w14:paraId="69D5542F" w14:textId="77777777" w:rsidR="00B50476" w:rsidRPr="00AE34EA" w:rsidRDefault="00B50476" w:rsidP="00821195">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c>
          <w:tcPr>
            <w:tcW w:w="992" w:type="dxa"/>
            <w:vAlign w:val="center"/>
          </w:tcPr>
          <w:p w14:paraId="380B6D09" w14:textId="77777777" w:rsidR="00B50476" w:rsidRPr="00AE34EA" w:rsidRDefault="00B50476" w:rsidP="00821195">
            <w:pPr>
              <w:spacing w:before="0" w:after="0"/>
              <w:cnfStyle w:val="000000000000" w:firstRow="0" w:lastRow="0" w:firstColumn="0" w:lastColumn="0" w:oddVBand="0" w:evenVBand="0" w:oddHBand="0" w:evenHBand="0" w:firstRowFirstColumn="0" w:firstRowLastColumn="0" w:lastRowFirstColumn="0" w:lastRowLastColumn="0"/>
              <w:rPr>
                <w:sz w:val="18"/>
                <w:szCs w:val="18"/>
              </w:rPr>
            </w:pPr>
          </w:p>
        </w:tc>
        <w:tc>
          <w:tcPr>
            <w:tcW w:w="1134" w:type="dxa"/>
            <w:tcMar>
              <w:left w:w="57" w:type="dxa"/>
              <w:right w:w="57" w:type="dxa"/>
            </w:tcMar>
            <w:vAlign w:val="center"/>
          </w:tcPr>
          <w:p w14:paraId="2962C392" w14:textId="77777777" w:rsidR="00B50476" w:rsidRPr="00AE34EA" w:rsidRDefault="00B50476" w:rsidP="00821195">
            <w:pPr>
              <w:spacing w:before="0" w:after="0"/>
              <w:contextualSpacing/>
              <w:cnfStyle w:val="000000000000" w:firstRow="0" w:lastRow="0" w:firstColumn="0" w:lastColumn="0" w:oddVBand="0" w:evenVBand="0" w:oddHBand="0" w:evenHBand="0" w:firstRowFirstColumn="0" w:firstRowLastColumn="0" w:lastRowFirstColumn="0" w:lastRowLastColumn="0"/>
              <w:rPr>
                <w:sz w:val="18"/>
                <w:szCs w:val="18"/>
              </w:rPr>
            </w:pPr>
          </w:p>
        </w:tc>
        <w:tc>
          <w:tcPr>
            <w:tcW w:w="709" w:type="dxa"/>
            <w:vAlign w:val="center"/>
          </w:tcPr>
          <w:p w14:paraId="4CF56E96" w14:textId="77777777" w:rsidR="00B50476" w:rsidRPr="00AE34EA" w:rsidRDefault="00B50476" w:rsidP="00821195">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c>
          <w:tcPr>
            <w:tcW w:w="2409" w:type="dxa"/>
            <w:vAlign w:val="center"/>
          </w:tcPr>
          <w:p w14:paraId="7EA05352" w14:textId="77777777" w:rsidR="00B50476" w:rsidRPr="00AE34EA" w:rsidRDefault="00B50476" w:rsidP="00821195">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 impact apparent</w:t>
            </w:r>
          </w:p>
        </w:tc>
      </w:tr>
      <w:bookmarkEnd w:id="23"/>
      <w:bookmarkEnd w:id="24"/>
    </w:tbl>
    <w:p w14:paraId="67FC4DA4" w14:textId="77777777" w:rsidR="00B50476" w:rsidRPr="00B41A51" w:rsidRDefault="00B50476" w:rsidP="00B41A51">
      <w:pPr>
        <w:rPr>
          <w:sz w:val="2"/>
          <w:szCs w:val="2"/>
        </w:rPr>
      </w:pPr>
    </w:p>
    <w:sectPr w:rsidR="00B50476" w:rsidRPr="00B41A51" w:rsidSect="00925B34">
      <w:pgSz w:w="16838" w:h="11906" w:orient="landscape" w:code="9"/>
      <w:pgMar w:top="1304" w:right="1361" w:bottom="1077"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34078" w14:textId="77777777" w:rsidR="003E3241" w:rsidRDefault="003E3241" w:rsidP="00547C1A">
      <w:r>
        <w:separator/>
      </w:r>
    </w:p>
  </w:endnote>
  <w:endnote w:type="continuationSeparator" w:id="0">
    <w:p w14:paraId="35A80675" w14:textId="77777777" w:rsidR="003E3241" w:rsidRDefault="003E3241" w:rsidP="0054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20"/>
        <w:szCs w:val="20"/>
      </w:rPr>
      <w:id w:val="-1005209269"/>
      <w:docPartObj>
        <w:docPartGallery w:val="Page Numbers (Bottom of Page)"/>
        <w:docPartUnique/>
      </w:docPartObj>
    </w:sdtPr>
    <w:sdtEndPr>
      <w:rPr>
        <w:noProof/>
      </w:rPr>
    </w:sdtEndPr>
    <w:sdtContent>
      <w:p w14:paraId="587CFCCB" w14:textId="77777777" w:rsidR="00DC0074" w:rsidRPr="00D90A39" w:rsidRDefault="00DC0074">
        <w:pPr>
          <w:pStyle w:val="Footer"/>
          <w:jc w:val="center"/>
          <w:rPr>
            <w:rFonts w:asciiTheme="minorHAnsi" w:hAnsiTheme="minorHAnsi" w:cstheme="minorHAnsi"/>
            <w:sz w:val="20"/>
            <w:szCs w:val="20"/>
          </w:rPr>
        </w:pPr>
        <w:r w:rsidRPr="00D90A39">
          <w:rPr>
            <w:rFonts w:asciiTheme="minorHAnsi" w:hAnsiTheme="minorHAnsi" w:cstheme="minorHAnsi"/>
            <w:sz w:val="20"/>
            <w:szCs w:val="20"/>
          </w:rPr>
          <w:t xml:space="preserve">Page </w:t>
        </w:r>
        <w:r w:rsidRPr="00D90A39">
          <w:rPr>
            <w:rFonts w:asciiTheme="minorHAnsi" w:hAnsiTheme="minorHAnsi" w:cstheme="minorHAnsi"/>
            <w:sz w:val="20"/>
            <w:szCs w:val="20"/>
          </w:rPr>
          <w:fldChar w:fldCharType="begin"/>
        </w:r>
        <w:r w:rsidRPr="00D90A39">
          <w:rPr>
            <w:rFonts w:asciiTheme="minorHAnsi" w:hAnsiTheme="minorHAnsi" w:cstheme="minorHAnsi"/>
            <w:sz w:val="20"/>
            <w:szCs w:val="20"/>
          </w:rPr>
          <w:instrText xml:space="preserve"> PAGE   \* MERGEFORMAT </w:instrText>
        </w:r>
        <w:r w:rsidRPr="00D90A39">
          <w:rPr>
            <w:rFonts w:asciiTheme="minorHAnsi" w:hAnsiTheme="minorHAnsi" w:cstheme="minorHAnsi"/>
            <w:sz w:val="20"/>
            <w:szCs w:val="20"/>
          </w:rPr>
          <w:fldChar w:fldCharType="separate"/>
        </w:r>
        <w:r>
          <w:rPr>
            <w:rFonts w:asciiTheme="minorHAnsi" w:hAnsiTheme="minorHAnsi" w:cstheme="minorHAnsi"/>
            <w:noProof/>
            <w:sz w:val="20"/>
            <w:szCs w:val="20"/>
          </w:rPr>
          <w:t>1</w:t>
        </w:r>
        <w:r w:rsidRPr="00D90A39">
          <w:rPr>
            <w:rFonts w:asciiTheme="minorHAnsi" w:hAnsiTheme="minorHAnsi" w:cstheme="minorHAnsi"/>
            <w:noProof/>
            <w:sz w:val="20"/>
            <w:szCs w:val="20"/>
          </w:rPr>
          <w:fldChar w:fldCharType="end"/>
        </w:r>
      </w:p>
    </w:sdtContent>
  </w:sdt>
  <w:p w14:paraId="4DFAD123" w14:textId="77777777" w:rsidR="00DC0074" w:rsidRDefault="00DC0074" w:rsidP="0083650A">
    <w:pPr>
      <w:pStyle w:val="Footer"/>
      <w:pBdr>
        <w:top w:val="none" w:sz="0" w:space="0" w:color="auto"/>
      </w:pBdr>
      <w:tabs>
        <w:tab w:val="right" w:pos="9593"/>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3EEA3" w14:textId="77777777" w:rsidR="003E3241" w:rsidRPr="00477147" w:rsidRDefault="003E3241" w:rsidP="00547C1A">
      <w:pPr>
        <w:rPr>
          <w:color w:val="4D4DB8" w:themeColor="accent1"/>
        </w:rPr>
      </w:pPr>
      <w:bookmarkStart w:id="0" w:name="_Hlk487465832"/>
      <w:bookmarkEnd w:id="0"/>
      <w:r w:rsidRPr="00477147">
        <w:rPr>
          <w:color w:val="4D4DB8" w:themeColor="accent1"/>
        </w:rPr>
        <w:separator/>
      </w:r>
    </w:p>
  </w:footnote>
  <w:footnote w:type="continuationSeparator" w:id="0">
    <w:p w14:paraId="454A1015" w14:textId="77777777" w:rsidR="003E3241" w:rsidRDefault="003E3241" w:rsidP="00547C1A">
      <w:r>
        <w:continuationSeparator/>
      </w:r>
    </w:p>
  </w:footnote>
  <w:footnote w:id="1">
    <w:p w14:paraId="63C5F62D" w14:textId="57B3E27F" w:rsidR="00DC0074" w:rsidRPr="00464FC7" w:rsidRDefault="00DC0074" w:rsidP="00DC0074">
      <w:pPr>
        <w:pStyle w:val="FootnoteText"/>
        <w:ind w:left="142" w:hanging="142"/>
      </w:pPr>
      <w:r w:rsidRPr="00464FC7">
        <w:rPr>
          <w:rStyle w:val="FootnoteReference"/>
        </w:rPr>
        <w:footnoteRef/>
      </w:r>
      <w:r w:rsidRPr="00464FC7">
        <w:t xml:space="preserve"> </w:t>
      </w:r>
      <w:r>
        <w:tab/>
      </w:r>
      <w:r w:rsidRPr="00464FC7">
        <w:t xml:space="preserve">Inquiries to </w:t>
      </w:r>
      <w:hyperlink r:id="rId1" w:history="1">
        <w:r w:rsidRPr="00464FC7">
          <w:rPr>
            <w:rStyle w:val="Hyperlink"/>
            <w:sz w:val="18"/>
          </w:rPr>
          <w:t>joe.pickin@blueenvironment.com.au</w:t>
        </w:r>
      </w:hyperlink>
    </w:p>
  </w:footnote>
  <w:footnote w:id="2">
    <w:p w14:paraId="0CEADA07" w14:textId="2B050318" w:rsidR="00DC0074" w:rsidRPr="00464FC7" w:rsidRDefault="00DC0074" w:rsidP="00DC0074">
      <w:pPr>
        <w:pStyle w:val="FootnoteText"/>
        <w:ind w:left="142" w:hanging="142"/>
      </w:pPr>
      <w:r w:rsidRPr="00464FC7">
        <w:rPr>
          <w:rStyle w:val="FootnoteReference"/>
        </w:rPr>
        <w:footnoteRef/>
      </w:r>
      <w:r w:rsidRPr="00464FC7">
        <w:t xml:space="preserve"> </w:t>
      </w:r>
      <w:r>
        <w:tab/>
      </w:r>
      <w:r w:rsidRPr="00464FC7">
        <w:t>Data in these summaries is sourced from the Australian Bureau of Statistics and is originally entered by exporters or their agents. It cannot be guaranteed that exporters use the correct codes or values for their exports, so this data should be used with caution. Data may be revised for up to six months after initial publication as customs declarations are amended by individual traders. Due to these revisions, there may be discrepancies between this and preceding reports.</w:t>
      </w:r>
    </w:p>
  </w:footnote>
  <w:footnote w:id="3">
    <w:p w14:paraId="28BAF3AB" w14:textId="7A548B34" w:rsidR="00DC0074" w:rsidRPr="00464FC7" w:rsidRDefault="00DC0074" w:rsidP="00DC0074">
      <w:pPr>
        <w:pStyle w:val="FootnoteText"/>
        <w:ind w:left="142" w:hanging="142"/>
      </w:pPr>
      <w:r w:rsidRPr="00464FC7">
        <w:rPr>
          <w:rStyle w:val="FootnoteReference"/>
        </w:rPr>
        <w:footnoteRef/>
      </w:r>
      <w:r w:rsidRPr="00464FC7">
        <w:t xml:space="preserve"> </w:t>
      </w:r>
      <w:r>
        <w:tab/>
      </w:r>
      <w:r w:rsidRPr="00464FC7">
        <w:t xml:space="preserve">Some of these recovered materials contain a proportion of contamination (or ‘off-spec’ content) that needs to be extracted before the material can be used. </w:t>
      </w:r>
    </w:p>
  </w:footnote>
  <w:footnote w:id="4">
    <w:p w14:paraId="6690DEB6" w14:textId="186D41C7" w:rsidR="00DC0074" w:rsidRPr="00464FC7" w:rsidRDefault="00DC0074" w:rsidP="00DC0074">
      <w:pPr>
        <w:pStyle w:val="FootnoteText"/>
        <w:ind w:left="142" w:hanging="142"/>
      </w:pPr>
      <w:r w:rsidRPr="00464FC7">
        <w:rPr>
          <w:rStyle w:val="FootnoteReference"/>
        </w:rPr>
        <w:footnoteRef/>
      </w:r>
      <w:r w:rsidRPr="00464FC7">
        <w:t xml:space="preserve"> </w:t>
      </w:r>
      <w:r>
        <w:tab/>
      </w:r>
      <w:r w:rsidRPr="00464FC7">
        <w:t>Dollar values refer to Australian dollars.</w:t>
      </w:r>
    </w:p>
  </w:footnote>
  <w:footnote w:id="5">
    <w:p w14:paraId="5017C363" w14:textId="2CD7EEE7" w:rsidR="00DC0074" w:rsidRDefault="00DC0074" w:rsidP="00A04937">
      <w:pPr>
        <w:pStyle w:val="FootnoteText"/>
        <w:ind w:left="142" w:hanging="142"/>
      </w:pPr>
      <w:r>
        <w:rPr>
          <w:rStyle w:val="FootnoteReference"/>
        </w:rPr>
        <w:footnoteRef/>
      </w:r>
      <w:r>
        <w:t xml:space="preserve"> </w:t>
      </w:r>
      <w:r w:rsidR="00A04937">
        <w:tab/>
      </w:r>
      <w:r w:rsidRPr="00E16399">
        <w:t xml:space="preserve">Copper containing slag, ash and residues </w:t>
      </w:r>
      <w:r>
        <w:t xml:space="preserve">has an </w:t>
      </w:r>
      <w:r w:rsidRPr="00E16399">
        <w:t>anomalously high</w:t>
      </w:r>
      <w:r>
        <w:t xml:space="preserve"> reported value of </w:t>
      </w:r>
      <w:r w:rsidRPr="00E16399">
        <w:t>over $500/kg</w:t>
      </w:r>
      <w:r>
        <w:t xml:space="preserve"> in some of the data. T</w:t>
      </w:r>
      <w:r w:rsidRPr="00E16399">
        <w:t>he value of pure copper is under $10/kg.</w:t>
      </w:r>
    </w:p>
  </w:footnote>
  <w:footnote w:id="6">
    <w:p w14:paraId="06223259" w14:textId="5AC586DF" w:rsidR="00DC0074" w:rsidRDefault="00DC0074" w:rsidP="00DC0074">
      <w:pPr>
        <w:pStyle w:val="FootnoteText"/>
        <w:tabs>
          <w:tab w:val="center" w:pos="4762"/>
        </w:tabs>
        <w:spacing w:after="40"/>
        <w:ind w:left="284" w:hanging="284"/>
      </w:pPr>
      <w:r>
        <w:rPr>
          <w:rStyle w:val="FootnoteReference"/>
        </w:rPr>
        <w:footnoteRef/>
      </w:r>
      <w:r>
        <w:t xml:space="preserve"> </w:t>
      </w:r>
      <w:r>
        <w:tab/>
        <w:t xml:space="preserve">In a review of 2018-19 Australian Border Force (ABF) data, these proportions appeared to fit the ban definition. Similar proportions were applied in Figure 2 of the </w:t>
      </w:r>
      <w:hyperlink r:id="rId2" w:history="1">
        <w:r w:rsidRPr="001572A8">
          <w:rPr>
            <w:rStyle w:val="Hyperlink"/>
            <w:iCs/>
            <w:sz w:val="18"/>
          </w:rPr>
          <w:t>Phasing out exports of waste plastic, paper, glass and tyres</w:t>
        </w:r>
      </w:hyperlink>
      <w:r>
        <w:t xml:space="preserve"> response strategy.</w:t>
      </w:r>
      <w:r>
        <w:tab/>
      </w:r>
    </w:p>
  </w:footnote>
  <w:footnote w:id="7">
    <w:p w14:paraId="68F2281E" w14:textId="66D406C8" w:rsidR="00DC0074" w:rsidRDefault="00DC0074" w:rsidP="00DC0074">
      <w:pPr>
        <w:pStyle w:val="FootnoteText"/>
        <w:spacing w:after="40"/>
        <w:ind w:left="284" w:hanging="284"/>
      </w:pPr>
      <w:r>
        <w:rPr>
          <w:rStyle w:val="FootnoteReference"/>
        </w:rPr>
        <w:footnoteRef/>
      </w:r>
      <w:r>
        <w:t xml:space="preserve"> </w:t>
      </w:r>
      <w:r>
        <w:tab/>
      </w:r>
      <w:r w:rsidRPr="00773ED4">
        <w:t>It is believed that most or all of this product is derived from municipal recycling collections</w:t>
      </w:r>
      <w:r>
        <w:t>.</w:t>
      </w:r>
    </w:p>
  </w:footnote>
  <w:footnote w:id="8">
    <w:p w14:paraId="026DCB18" w14:textId="6F150477" w:rsidR="00DC0074" w:rsidRDefault="00DC0074" w:rsidP="00DC0074">
      <w:pPr>
        <w:pStyle w:val="FootnoteText"/>
        <w:spacing w:after="40"/>
        <w:ind w:left="284" w:hanging="284"/>
      </w:pPr>
      <w:r>
        <w:rPr>
          <w:rStyle w:val="FootnoteReference"/>
        </w:rPr>
        <w:footnoteRef/>
      </w:r>
      <w:r>
        <w:t xml:space="preserve"> </w:t>
      </w:r>
      <w:r>
        <w:tab/>
        <w:t>May be an over-estimate as significant miscoding is apparent in the data.</w:t>
      </w:r>
    </w:p>
  </w:footnote>
  <w:footnote w:id="9">
    <w:p w14:paraId="0BC78676" w14:textId="145932F5" w:rsidR="00DC0074" w:rsidRDefault="00DC0074" w:rsidP="00DC0074">
      <w:pPr>
        <w:pStyle w:val="FootnoteText"/>
        <w:spacing w:after="40"/>
        <w:ind w:left="284" w:hanging="284"/>
      </w:pPr>
      <w:r>
        <w:rPr>
          <w:rStyle w:val="FootnoteReference"/>
        </w:rPr>
        <w:footnoteRef/>
      </w:r>
      <w:r>
        <w:t xml:space="preserve"> </w:t>
      </w:r>
      <w:r>
        <w:tab/>
        <w:t xml:space="preserve">Assumes no material was sorted and processed to the extent that will be required for future export. </w:t>
      </w:r>
    </w:p>
  </w:footnote>
  <w:footnote w:id="10">
    <w:p w14:paraId="007E1704" w14:textId="1FBCF785" w:rsidR="00DC0074" w:rsidRDefault="00DC0074" w:rsidP="00DC0074">
      <w:pPr>
        <w:pStyle w:val="FootnoteText"/>
        <w:spacing w:after="40"/>
        <w:ind w:left="284" w:hanging="284"/>
      </w:pPr>
      <w:r w:rsidRPr="005B07BD">
        <w:rPr>
          <w:rStyle w:val="FootnoteReference"/>
        </w:rPr>
        <w:footnoteRef/>
      </w:r>
      <w:r>
        <w:t xml:space="preserve"> </w:t>
      </w:r>
      <w:r>
        <w:tab/>
        <w:t>2018-19 ABF</w:t>
      </w:r>
      <w:r w:rsidRPr="00FF39F6">
        <w:t xml:space="preserve"> data on tyres exports differed from the </w:t>
      </w:r>
      <w:r>
        <w:t xml:space="preserve">equivalent </w:t>
      </w:r>
      <w:r w:rsidRPr="00FF39F6">
        <w:t>ABS data, and neither were consistent with industry-reported export quantities.</w:t>
      </w:r>
      <w:r>
        <w:t xml:space="preserve"> </w:t>
      </w:r>
    </w:p>
  </w:footnote>
  <w:footnote w:id="11">
    <w:p w14:paraId="553B6F55" w14:textId="6982663B" w:rsidR="00DC0074" w:rsidRDefault="00DC0074" w:rsidP="00DC0074">
      <w:pPr>
        <w:pStyle w:val="FootnoteText"/>
        <w:ind w:left="284" w:hanging="284"/>
      </w:pPr>
      <w:r>
        <w:rPr>
          <w:rStyle w:val="FootnoteReference"/>
        </w:rPr>
        <w:footnoteRef/>
      </w:r>
      <w:r>
        <w:t xml:space="preserve"> </w:t>
      </w:r>
      <w:r>
        <w:tab/>
        <w:t xml:space="preserve">Minister of Trade, Minister of Environment and Forestry, Minister of Trade Industry and Head of State Policy, Republic of Indonesia (May 2020), </w:t>
      </w:r>
      <w:hyperlink r:id="rId3" w:history="1">
        <w:r w:rsidRPr="00394333">
          <w:rPr>
            <w:rStyle w:val="Hyperlink"/>
            <w:sz w:val="18"/>
          </w:rPr>
          <w:t>Implementation of import of non hazardous and toxic material waste as raw material industry</w:t>
        </w:r>
      </w:hyperlink>
    </w:p>
  </w:footnote>
  <w:footnote w:id="12">
    <w:p w14:paraId="379F0561" w14:textId="4A98C81D" w:rsidR="00DC0074" w:rsidRDefault="00DC0074" w:rsidP="00DC0074">
      <w:pPr>
        <w:pStyle w:val="FootnoteText"/>
        <w:ind w:left="284" w:hanging="284"/>
      </w:pPr>
      <w:r>
        <w:rPr>
          <w:rStyle w:val="FootnoteReference"/>
        </w:rPr>
        <w:footnoteRef/>
      </w:r>
      <w:r>
        <w:t xml:space="preserve"> </w:t>
      </w:r>
      <w:r>
        <w:tab/>
        <w:t xml:space="preserve">Recycling Today (30 July 2020) </w:t>
      </w:r>
      <w:hyperlink r:id="rId4" w:history="1">
        <w:r w:rsidRPr="00FD590E">
          <w:rPr>
            <w:rStyle w:val="Hyperlink"/>
            <w:sz w:val="18"/>
          </w:rPr>
          <w:t>Indonesian embassy releases procedures for US exporters of scrap to the country</w:t>
        </w:r>
      </w:hyperlink>
    </w:p>
  </w:footnote>
  <w:footnote w:id="13">
    <w:p w14:paraId="5FA52EDF" w14:textId="6241E2D7" w:rsidR="00DC0074" w:rsidRDefault="00DC0074" w:rsidP="00DC0074">
      <w:pPr>
        <w:pStyle w:val="FootnoteText"/>
        <w:ind w:left="284" w:hanging="284"/>
      </w:pPr>
      <w:r>
        <w:rPr>
          <w:rStyle w:val="FootnoteReference"/>
        </w:rPr>
        <w:footnoteRef/>
      </w:r>
      <w:r>
        <w:t xml:space="preserve"> </w:t>
      </w:r>
      <w:r>
        <w:tab/>
        <w:t xml:space="preserve">VOA news (2019) </w:t>
      </w:r>
      <w:hyperlink r:id="rId5" w:history="1">
        <w:r w:rsidRPr="00CA1E1A">
          <w:rPr>
            <w:rStyle w:val="Hyperlink"/>
            <w:sz w:val="18"/>
          </w:rPr>
          <w:t>Indonesia vows to send back illegal plastic waste</w:t>
        </w:r>
      </w:hyperlink>
      <w:r>
        <w:t xml:space="preserve"> </w:t>
      </w:r>
    </w:p>
  </w:footnote>
  <w:footnote w:id="14">
    <w:p w14:paraId="5F041BD1" w14:textId="14A837F0" w:rsidR="00DC0074" w:rsidRDefault="00DC0074" w:rsidP="00DC0074">
      <w:pPr>
        <w:pStyle w:val="FootnoteText"/>
        <w:ind w:left="284" w:hanging="284"/>
      </w:pPr>
      <w:r>
        <w:rPr>
          <w:rStyle w:val="FootnoteReference"/>
        </w:rPr>
        <w:footnoteRef/>
      </w:r>
      <w:r>
        <w:t xml:space="preserve"> </w:t>
      </w:r>
      <w:r>
        <w:tab/>
        <w:t xml:space="preserve">Inside Indonesia (2020) </w:t>
      </w:r>
      <w:hyperlink r:id="rId6" w:history="1">
        <w:r w:rsidRPr="002A091D">
          <w:rPr>
            <w:rStyle w:val="Hyperlink"/>
            <w:sz w:val="18"/>
          </w:rPr>
          <w:t>Buried under the weight of the recycling crisis</w:t>
        </w:r>
      </w:hyperlink>
    </w:p>
  </w:footnote>
  <w:footnote w:id="15">
    <w:p w14:paraId="3BAC15F7" w14:textId="14769FE6" w:rsidR="00DC0074" w:rsidRDefault="00DC0074" w:rsidP="00DC0074">
      <w:pPr>
        <w:pStyle w:val="FootnoteText"/>
        <w:ind w:left="284" w:hanging="284"/>
      </w:pPr>
      <w:r>
        <w:rPr>
          <w:rStyle w:val="FootnoteReference"/>
        </w:rPr>
        <w:footnoteRef/>
      </w:r>
      <w:r>
        <w:t xml:space="preserve"> </w:t>
      </w:r>
      <w:r>
        <w:tab/>
      </w:r>
      <w:r w:rsidRPr="0057619E">
        <w:t xml:space="preserve">Indonesia will ease rules on scrap metal imports, </w:t>
      </w:r>
      <w:hyperlink r:id="rId7" w:history="1">
        <w:r w:rsidRPr="0057619E">
          <w:rPr>
            <w:rStyle w:val="Hyperlink"/>
            <w:sz w:val="18"/>
          </w:rPr>
          <w:t>https://www.wastetodaymagazine.com/article/indonesia-will-ease-rules-on-import-of-scrap-metal/</w:t>
        </w:r>
      </w:hyperlink>
    </w:p>
  </w:footnote>
  <w:footnote w:id="16">
    <w:p w14:paraId="53D373EE" w14:textId="25E0E664" w:rsidR="00DC0074" w:rsidRDefault="00DC0074" w:rsidP="00DC0074">
      <w:pPr>
        <w:pStyle w:val="FootnoteText"/>
        <w:ind w:left="284" w:hanging="284"/>
      </w:pPr>
      <w:r>
        <w:rPr>
          <w:rStyle w:val="FootnoteReference"/>
        </w:rPr>
        <w:footnoteRef/>
      </w:r>
      <w:r>
        <w:t xml:space="preserve"> </w:t>
      </w:r>
      <w:r>
        <w:tab/>
        <w:t xml:space="preserve">Business Today, (24 June 2019) </w:t>
      </w:r>
      <w:hyperlink r:id="rId8" w:history="1">
        <w:r w:rsidRPr="000D09E3">
          <w:rPr>
            <w:rStyle w:val="Hyperlink"/>
            <w:sz w:val="18"/>
          </w:rPr>
          <w:t>India bans import of plastic waste from August this year to curb pollution</w:t>
        </w:r>
      </w:hyperlink>
    </w:p>
  </w:footnote>
  <w:footnote w:id="17">
    <w:p w14:paraId="72134B13" w14:textId="3FF347C5" w:rsidR="00DC0074" w:rsidRDefault="00DC0074" w:rsidP="00DC0074">
      <w:pPr>
        <w:pStyle w:val="FootnoteText"/>
        <w:ind w:left="284" w:hanging="284"/>
      </w:pPr>
      <w:r>
        <w:rPr>
          <w:rStyle w:val="FootnoteReference"/>
        </w:rPr>
        <w:footnoteRef/>
      </w:r>
      <w:r>
        <w:t xml:space="preserve"> </w:t>
      </w:r>
      <w:r>
        <w:tab/>
      </w:r>
      <w:r w:rsidRPr="00E50A59">
        <w:rPr>
          <w:iCs/>
        </w:rPr>
        <w:t>Ministry of Environment, Forest and Climate Change (2019)</w:t>
      </w:r>
      <w:r>
        <w:rPr>
          <w:i/>
          <w:iCs/>
        </w:rPr>
        <w:t xml:space="preserve"> </w:t>
      </w:r>
      <w:hyperlink r:id="rId9" w:history="1">
        <w:r w:rsidRPr="005A5B49">
          <w:rPr>
            <w:rStyle w:val="Hyperlink"/>
            <w:sz w:val="18"/>
          </w:rPr>
          <w:t>Amendment in Hazardous Waste (Management &amp; Transboundary Movement Rules, 2016)</w:t>
        </w:r>
      </w:hyperlink>
    </w:p>
  </w:footnote>
  <w:footnote w:id="18">
    <w:p w14:paraId="6933FB08" w14:textId="7315284E" w:rsidR="00DC0074" w:rsidRDefault="00DC0074" w:rsidP="00DC0074">
      <w:pPr>
        <w:pStyle w:val="FootnoteText"/>
        <w:ind w:left="284" w:hanging="284"/>
      </w:pPr>
      <w:r>
        <w:rPr>
          <w:rStyle w:val="FootnoteReference"/>
        </w:rPr>
        <w:footnoteRef/>
      </w:r>
      <w:r>
        <w:t xml:space="preserve"> </w:t>
      </w:r>
      <w:r>
        <w:tab/>
        <w:t xml:space="preserve">Business Standard, (2 December 2019) </w:t>
      </w:r>
      <w:hyperlink r:id="rId10" w:history="1">
        <w:r w:rsidRPr="00B674B5">
          <w:rPr>
            <w:rStyle w:val="Hyperlink"/>
            <w:sz w:val="18"/>
          </w:rPr>
          <w:t>Govt grants six month extension to plastic scrap imports in three SEZs</w:t>
        </w:r>
      </w:hyperlink>
    </w:p>
  </w:footnote>
  <w:footnote w:id="19">
    <w:p w14:paraId="0A3247BD" w14:textId="0DB82D14" w:rsidR="00DC0074" w:rsidRDefault="00DC0074" w:rsidP="00DC0074">
      <w:pPr>
        <w:pStyle w:val="FootnoteText"/>
        <w:ind w:left="284" w:hanging="284"/>
      </w:pPr>
      <w:r>
        <w:rPr>
          <w:rStyle w:val="FootnoteReference"/>
        </w:rPr>
        <w:footnoteRef/>
      </w:r>
      <w:r>
        <w:t xml:space="preserve"> </w:t>
      </w:r>
      <w:r>
        <w:tab/>
        <w:t xml:space="preserve">Waste Dive, (15 January 2020), </w:t>
      </w:r>
      <w:hyperlink r:id="rId11" w:history="1">
        <w:r w:rsidRPr="00316997">
          <w:rPr>
            <w:rStyle w:val="Hyperlink"/>
            <w:sz w:val="18"/>
          </w:rPr>
          <w:t>India to enforce 1% contamination rate on paper imports, conduct random inspections</w:t>
        </w:r>
      </w:hyperlink>
    </w:p>
  </w:footnote>
  <w:footnote w:id="20">
    <w:p w14:paraId="45F6CB5E" w14:textId="7EF25DB7" w:rsidR="00DC0074" w:rsidRDefault="00DC0074" w:rsidP="00A04937">
      <w:pPr>
        <w:pStyle w:val="FootnoteText"/>
        <w:ind w:left="284" w:hanging="284"/>
      </w:pPr>
      <w:r>
        <w:rPr>
          <w:rStyle w:val="FootnoteReference"/>
        </w:rPr>
        <w:footnoteRef/>
      </w:r>
      <w:r>
        <w:t xml:space="preserve"> </w:t>
      </w:r>
      <w:r w:rsidR="00A04937">
        <w:tab/>
      </w:r>
      <w:r>
        <w:t xml:space="preserve">India legal, (6 January 2020), </w:t>
      </w:r>
      <w:hyperlink r:id="rId12" w:history="1">
        <w:r w:rsidRPr="003D6E16">
          <w:rPr>
            <w:rStyle w:val="Hyperlink"/>
            <w:sz w:val="18"/>
          </w:rPr>
          <w:t>NGT calls for review of CPCB’s report on pyrolysis units</w:t>
        </w:r>
      </w:hyperlink>
      <w:r>
        <w:t xml:space="preserve">. </w:t>
      </w:r>
    </w:p>
  </w:footnote>
  <w:footnote w:id="21">
    <w:p w14:paraId="27E4A759" w14:textId="330237DB" w:rsidR="00DC0074" w:rsidRDefault="00DC0074" w:rsidP="00A04937">
      <w:pPr>
        <w:pStyle w:val="FootnoteText"/>
        <w:ind w:left="284" w:hanging="284"/>
      </w:pPr>
      <w:r>
        <w:rPr>
          <w:rStyle w:val="FootnoteReference"/>
        </w:rPr>
        <w:footnoteRef/>
      </w:r>
      <w:r>
        <w:t xml:space="preserve"> </w:t>
      </w:r>
      <w:r w:rsidR="00A04937">
        <w:tab/>
      </w:r>
      <w:r>
        <w:t xml:space="preserve">Tyre and Rubber recycling, (22 September 2019), </w:t>
      </w:r>
      <w:hyperlink r:id="rId13" w:history="1">
        <w:r w:rsidRPr="001018B7">
          <w:rPr>
            <w:rStyle w:val="Hyperlink"/>
            <w:sz w:val="18"/>
          </w:rPr>
          <w:t>Near total ban on waste tyre imports imminent in India</w:t>
        </w:r>
      </w:hyperlink>
    </w:p>
  </w:footnote>
  <w:footnote w:id="22">
    <w:p w14:paraId="09F4BEC7" w14:textId="7725A87E" w:rsidR="00DC0074" w:rsidRDefault="00DC0074" w:rsidP="00A04937">
      <w:pPr>
        <w:pStyle w:val="FootnoteText"/>
        <w:ind w:left="284" w:hanging="284"/>
      </w:pPr>
      <w:r w:rsidRPr="00E50A59">
        <w:rPr>
          <w:rStyle w:val="FootnoteReference"/>
          <w:color w:val="000000" w:themeColor="text1"/>
        </w:rPr>
        <w:footnoteRef/>
      </w:r>
      <w:r w:rsidRPr="00E50A59">
        <w:rPr>
          <w:color w:val="000000" w:themeColor="text1"/>
        </w:rPr>
        <w:t xml:space="preserve"> </w:t>
      </w:r>
      <w:r w:rsidR="00A04937">
        <w:rPr>
          <w:color w:val="000000" w:themeColor="text1"/>
        </w:rPr>
        <w:tab/>
      </w:r>
      <w:r w:rsidRPr="00E50A59">
        <w:rPr>
          <w:iCs/>
        </w:rPr>
        <w:t>Vietnam Briefing (2018)</w:t>
      </w:r>
      <w:r w:rsidRPr="00E50A59">
        <w:t xml:space="preserve"> </w:t>
      </w:r>
      <w:hyperlink r:id="rId14" w:history="1">
        <w:r w:rsidRPr="00105F0F">
          <w:rPr>
            <w:rStyle w:val="Hyperlink"/>
            <w:iCs/>
            <w:sz w:val="18"/>
          </w:rPr>
          <w:t>Vietnam to Restrict Surging Scrap Imports</w:t>
        </w:r>
      </w:hyperlink>
      <w:r w:rsidRPr="00191D6A">
        <w:t xml:space="preserve"> </w:t>
      </w:r>
    </w:p>
  </w:footnote>
  <w:footnote w:id="23">
    <w:p w14:paraId="7C92E04D" w14:textId="7ABDE51A" w:rsidR="00DC0074" w:rsidRDefault="00DC0074" w:rsidP="00A04937">
      <w:pPr>
        <w:pStyle w:val="FootnoteText"/>
        <w:ind w:left="284" w:hanging="284"/>
      </w:pPr>
      <w:r>
        <w:rPr>
          <w:rStyle w:val="FootnoteReference"/>
        </w:rPr>
        <w:footnoteRef/>
      </w:r>
      <w:r>
        <w:t xml:space="preserve"> </w:t>
      </w:r>
      <w:r w:rsidR="00A04937">
        <w:tab/>
      </w:r>
      <w:r w:rsidRPr="00E50A59">
        <w:rPr>
          <w:iCs/>
        </w:rPr>
        <w:t xml:space="preserve">Waste Management Review (2018) </w:t>
      </w:r>
      <w:hyperlink r:id="rId15" w:history="1">
        <w:r w:rsidRPr="00105F0F">
          <w:rPr>
            <w:rStyle w:val="Hyperlink"/>
            <w:iCs/>
            <w:sz w:val="18"/>
          </w:rPr>
          <w:t>Malaysia, Thailand and Vietnam waste import</w:t>
        </w:r>
        <w:r>
          <w:rPr>
            <w:rStyle w:val="Hyperlink"/>
            <w:iCs/>
            <w:sz w:val="18"/>
          </w:rPr>
          <w:t>s crackdown</w:t>
        </w:r>
      </w:hyperlink>
    </w:p>
  </w:footnote>
  <w:footnote w:id="24">
    <w:p w14:paraId="0D4789AD" w14:textId="620B160C" w:rsidR="00DC0074" w:rsidRDefault="00DC0074" w:rsidP="00A04937">
      <w:pPr>
        <w:pStyle w:val="FootnoteText"/>
        <w:ind w:left="284" w:hanging="284"/>
      </w:pPr>
      <w:r>
        <w:rPr>
          <w:rStyle w:val="FootnoteReference"/>
        </w:rPr>
        <w:footnoteRef/>
      </w:r>
      <w:r>
        <w:t xml:space="preserve"> </w:t>
      </w:r>
      <w:r w:rsidR="00A04937">
        <w:tab/>
      </w:r>
      <w:r>
        <w:t xml:space="preserve">VN Express International (2019) </w:t>
      </w:r>
      <w:r w:rsidRPr="005904C7">
        <w:rPr>
          <w:i/>
        </w:rPr>
        <w:t>Vietnam to end plastic scrap imports from 2025</w:t>
      </w:r>
    </w:p>
  </w:footnote>
  <w:footnote w:id="25">
    <w:p w14:paraId="0C7959DD" w14:textId="5E59B116" w:rsidR="00DC0074" w:rsidRDefault="00DC0074" w:rsidP="00A04937">
      <w:pPr>
        <w:pStyle w:val="FootnoteText"/>
        <w:ind w:left="284" w:hanging="284"/>
      </w:pPr>
      <w:r w:rsidRPr="00E50A59">
        <w:rPr>
          <w:rStyle w:val="FootnoteReference"/>
        </w:rPr>
        <w:footnoteRef/>
      </w:r>
      <w:r w:rsidRPr="00E50A59">
        <w:t xml:space="preserve"> </w:t>
      </w:r>
      <w:r w:rsidR="00A04937">
        <w:tab/>
      </w:r>
      <w:r w:rsidRPr="00E50A59">
        <w:rPr>
          <w:iCs/>
        </w:rPr>
        <w:t>Ministry of Natural Resources and Environment of the Socialist Republic of Vietnam (2018)</w:t>
      </w:r>
      <w:r w:rsidRPr="00E50A59">
        <w:t xml:space="preserve"> </w:t>
      </w:r>
      <w:hyperlink r:id="rId16" w:history="1">
        <w:r w:rsidRPr="00105F0F">
          <w:rPr>
            <w:rStyle w:val="Hyperlink"/>
            <w:iCs/>
            <w:sz w:val="18"/>
          </w:rPr>
          <w:t>Vietnam to ban imports of plastic from used electronics</w:t>
        </w:r>
      </w:hyperlink>
      <w:r w:rsidRPr="003827FC">
        <w:rPr>
          <w:color w:val="4D4DB8" w:themeColor="accent1"/>
        </w:rPr>
        <w:t xml:space="preserve"> </w:t>
      </w:r>
    </w:p>
  </w:footnote>
  <w:footnote w:id="26">
    <w:p w14:paraId="2679269D" w14:textId="31EB73F5" w:rsidR="00DC0074" w:rsidRPr="00105F0F" w:rsidRDefault="00DC0074" w:rsidP="00A04937">
      <w:pPr>
        <w:ind w:left="284" w:hanging="284"/>
        <w:rPr>
          <w:i/>
          <w:iCs/>
          <w:color w:val="0000FF"/>
          <w:sz w:val="18"/>
          <w:szCs w:val="18"/>
          <w:u w:val="single"/>
        </w:rPr>
      </w:pPr>
      <w:r w:rsidRPr="00E50A59">
        <w:rPr>
          <w:rStyle w:val="FootnoteReference"/>
          <w:sz w:val="18"/>
        </w:rPr>
        <w:footnoteRef/>
      </w:r>
      <w:r w:rsidRPr="00E50A59">
        <w:rPr>
          <w:sz w:val="18"/>
        </w:rPr>
        <w:t xml:space="preserve"> </w:t>
      </w:r>
      <w:r w:rsidR="00A04937">
        <w:rPr>
          <w:sz w:val="18"/>
        </w:rPr>
        <w:tab/>
      </w:r>
      <w:r w:rsidRPr="00E50A59">
        <w:rPr>
          <w:iCs/>
          <w:sz w:val="18"/>
          <w:szCs w:val="18"/>
        </w:rPr>
        <w:t xml:space="preserve">VietnamPlus (2019) </w:t>
      </w:r>
      <w:hyperlink r:id="rId17" w:history="1">
        <w:r w:rsidRPr="00105F0F">
          <w:rPr>
            <w:rStyle w:val="Hyperlink"/>
            <w:iCs/>
            <w:sz w:val="18"/>
            <w:szCs w:val="18"/>
          </w:rPr>
          <w:t>Scrap imports through road, railway border gates to be banned</w:t>
        </w:r>
      </w:hyperlink>
      <w:r w:rsidRPr="003332A9">
        <w:rPr>
          <w:iCs/>
          <w:color w:val="000000" w:themeColor="text1"/>
          <w:sz w:val="18"/>
          <w:szCs w:val="18"/>
        </w:rPr>
        <w:t>,</w:t>
      </w:r>
      <w:r>
        <w:rPr>
          <w:iCs/>
          <w:color w:val="4D4DB8" w:themeColor="accent1"/>
          <w:sz w:val="18"/>
          <w:szCs w:val="18"/>
        </w:rPr>
        <w:t xml:space="preserve"> </w:t>
      </w:r>
      <w:r w:rsidRPr="0020021B">
        <w:rPr>
          <w:iCs/>
          <w:color w:val="000000" w:themeColor="text1"/>
          <w:sz w:val="18"/>
          <w:szCs w:val="18"/>
        </w:rPr>
        <w:t>Ministry of Information and Communications</w:t>
      </w:r>
    </w:p>
  </w:footnote>
  <w:footnote w:id="27">
    <w:p w14:paraId="10CB18C6" w14:textId="30CC451D" w:rsidR="00DC0074" w:rsidRPr="00105F0F" w:rsidRDefault="00DC0074" w:rsidP="00A04937">
      <w:pPr>
        <w:pStyle w:val="FootnoteText"/>
        <w:ind w:left="284" w:hanging="284"/>
      </w:pPr>
      <w:r w:rsidRPr="00105F0F">
        <w:rPr>
          <w:rStyle w:val="FootnoteReference"/>
        </w:rPr>
        <w:footnoteRef/>
      </w:r>
      <w:r w:rsidRPr="00105F0F">
        <w:t xml:space="preserve"> </w:t>
      </w:r>
      <w:r w:rsidR="00A04937">
        <w:tab/>
      </w:r>
      <w:r w:rsidRPr="00105F0F">
        <w:rPr>
          <w:rStyle w:val="Hyperlink"/>
          <w:i w:val="0"/>
          <w:iCs/>
          <w:color w:val="auto"/>
          <w:sz w:val="18"/>
          <w:u w:val="none"/>
        </w:rPr>
        <w:t xml:space="preserve">S&amp;P Global Platts (2019) </w:t>
      </w:r>
      <w:hyperlink r:id="rId18" w:history="1">
        <w:r w:rsidRPr="00105F0F">
          <w:rPr>
            <w:rStyle w:val="Hyperlink"/>
            <w:iCs/>
            <w:sz w:val="18"/>
          </w:rPr>
          <w:t>Vietnam’s Jan scrap imports plunge amid stricter government rules</w:t>
        </w:r>
      </w:hyperlink>
      <w:r w:rsidRPr="00105F0F">
        <w:rPr>
          <w:rStyle w:val="Hyperlink"/>
          <w:i w:val="0"/>
          <w:iCs/>
          <w:color w:val="auto"/>
          <w:sz w:val="18"/>
          <w:u w:val="none"/>
        </w:rPr>
        <w:t xml:space="preserve"> </w:t>
      </w:r>
    </w:p>
  </w:footnote>
  <w:footnote w:id="28">
    <w:p w14:paraId="5A821F32" w14:textId="27842B79" w:rsidR="00DC0074" w:rsidRDefault="00DC0074" w:rsidP="00A04937">
      <w:pPr>
        <w:pStyle w:val="FootnoteText"/>
        <w:ind w:left="284" w:hanging="284"/>
      </w:pPr>
      <w:r>
        <w:rPr>
          <w:rStyle w:val="FootnoteReference"/>
        </w:rPr>
        <w:footnoteRef/>
      </w:r>
      <w:r>
        <w:t xml:space="preserve"> </w:t>
      </w:r>
      <w:r w:rsidR="00A04937">
        <w:tab/>
      </w:r>
      <w:r>
        <w:rPr>
          <w:iCs/>
        </w:rPr>
        <w:t>Ministry of Commerce, State Development &amp; Reform Commission (incl. former State Development Planning Commission), General Administration of Customs (2018)</w:t>
      </w:r>
      <w:r>
        <w:rPr>
          <w:i/>
          <w:iCs/>
        </w:rPr>
        <w:t xml:space="preserve"> Announcement No. 6 [2018] of the Ministry of Ecology and Environment, the Ministry of Commerce, the National Development and Reform Commission and the General Administration of Customs</w:t>
      </w:r>
    </w:p>
  </w:footnote>
  <w:footnote w:id="29">
    <w:p w14:paraId="4CF3B501" w14:textId="148494CE" w:rsidR="00DC0074" w:rsidRDefault="00DC0074" w:rsidP="00A04937">
      <w:pPr>
        <w:pStyle w:val="FootnoteText"/>
        <w:ind w:left="284" w:hanging="284"/>
      </w:pPr>
      <w:r>
        <w:rPr>
          <w:rStyle w:val="FootnoteReference"/>
        </w:rPr>
        <w:footnoteRef/>
      </w:r>
      <w:r>
        <w:t xml:space="preserve"> </w:t>
      </w:r>
      <w:r w:rsidR="00A04937">
        <w:tab/>
      </w:r>
      <w:r>
        <w:t xml:space="preserve">Ministry of Ecology and Environment of the People’s Republic of China (2018) </w:t>
      </w:r>
      <w:hyperlink r:id="rId19" w:history="1">
        <w:r w:rsidRPr="005A68AB">
          <w:rPr>
            <w:rStyle w:val="Hyperlink"/>
            <w:sz w:val="18"/>
            <w:szCs w:val="14"/>
          </w:rPr>
          <w:t>Announcement on adjusting the catalogue of imported waste management</w:t>
        </w:r>
      </w:hyperlink>
    </w:p>
  </w:footnote>
  <w:footnote w:id="30">
    <w:p w14:paraId="6E4BC0FA" w14:textId="3D4D6021" w:rsidR="00DC0074" w:rsidRDefault="00DC0074" w:rsidP="00A04937">
      <w:pPr>
        <w:pStyle w:val="FootnoteText"/>
        <w:ind w:left="284" w:hanging="284"/>
      </w:pPr>
      <w:r>
        <w:rPr>
          <w:rStyle w:val="FootnoteReference"/>
        </w:rPr>
        <w:footnoteRef/>
      </w:r>
      <w:r>
        <w:t xml:space="preserve"> </w:t>
      </w:r>
      <w:r w:rsidR="00A04937">
        <w:tab/>
      </w:r>
      <w:r>
        <w:t xml:space="preserve">Bureau of International Recycling (8 January 2020) </w:t>
      </w:r>
      <w:hyperlink r:id="rId20" w:history="1">
        <w:r w:rsidRPr="007C0DAC">
          <w:rPr>
            <w:rStyle w:val="Hyperlink"/>
            <w:sz w:val="18"/>
          </w:rPr>
          <w:t>Chinese quotas for waste &amp; scrap imports: full list of 2</w:t>
        </w:r>
        <w:r w:rsidRPr="002F026E">
          <w:rPr>
            <w:rStyle w:val="Hyperlink"/>
            <w:sz w:val="18"/>
            <w:vertAlign w:val="superscript"/>
          </w:rPr>
          <w:t>nd</w:t>
        </w:r>
        <w:r w:rsidRPr="007C0DAC">
          <w:rPr>
            <w:rStyle w:val="Hyperlink"/>
            <w:sz w:val="18"/>
          </w:rPr>
          <w:t xml:space="preserve"> batch 2020</w:t>
        </w:r>
      </w:hyperlink>
    </w:p>
  </w:footnote>
  <w:footnote w:id="31">
    <w:p w14:paraId="6B372E8E" w14:textId="5C6D9BCB" w:rsidR="00DC0074" w:rsidRDefault="00DC0074" w:rsidP="00A04937">
      <w:pPr>
        <w:pStyle w:val="FootnoteText"/>
        <w:ind w:left="284" w:hanging="284"/>
      </w:pPr>
      <w:r>
        <w:rPr>
          <w:rStyle w:val="FootnoteReference"/>
        </w:rPr>
        <w:footnoteRef/>
      </w:r>
      <w:r>
        <w:t xml:space="preserve"> </w:t>
      </w:r>
      <w:r w:rsidR="00A04937">
        <w:tab/>
      </w:r>
      <w:r>
        <w:t xml:space="preserve">Recycling Today (10 January 2020) </w:t>
      </w:r>
      <w:hyperlink r:id="rId21" w:history="1">
        <w:r w:rsidRPr="003E4F17">
          <w:rPr>
            <w:rStyle w:val="Hyperlink"/>
            <w:sz w:val="18"/>
          </w:rPr>
          <w:t>China issues second batch of scrap import quotas</w:t>
        </w:r>
      </w:hyperlink>
    </w:p>
  </w:footnote>
  <w:footnote w:id="32">
    <w:p w14:paraId="3F01E19E" w14:textId="73FE915C" w:rsidR="00DC0074" w:rsidRPr="005A68AB" w:rsidRDefault="00DC0074" w:rsidP="00A04937">
      <w:pPr>
        <w:pStyle w:val="FootnoteText"/>
        <w:ind w:left="284" w:hanging="284"/>
        <w:rPr>
          <w:sz w:val="14"/>
          <w:szCs w:val="14"/>
        </w:rPr>
      </w:pPr>
      <w:r>
        <w:rPr>
          <w:rStyle w:val="FootnoteReference"/>
        </w:rPr>
        <w:footnoteRef/>
      </w:r>
      <w:r>
        <w:t xml:space="preserve"> </w:t>
      </w:r>
      <w:r w:rsidR="00A04937">
        <w:tab/>
      </w:r>
      <w:r>
        <w:t xml:space="preserve">Resource Recycling (5 May 2020) </w:t>
      </w:r>
      <w:hyperlink r:id="rId22" w:history="1">
        <w:r w:rsidRPr="005A68AB">
          <w:rPr>
            <w:rStyle w:val="Hyperlink"/>
            <w:sz w:val="18"/>
            <w:szCs w:val="14"/>
          </w:rPr>
          <w:t>China moves closer to complete import ban</w:t>
        </w:r>
      </w:hyperlink>
    </w:p>
  </w:footnote>
  <w:footnote w:id="33">
    <w:p w14:paraId="498167A3" w14:textId="081B75BB" w:rsidR="00DC0074" w:rsidRDefault="00DC0074" w:rsidP="00A04937">
      <w:pPr>
        <w:pStyle w:val="FootnoteText"/>
        <w:ind w:left="284" w:hanging="284"/>
      </w:pPr>
      <w:r>
        <w:rPr>
          <w:rStyle w:val="FootnoteReference"/>
        </w:rPr>
        <w:footnoteRef/>
      </w:r>
      <w:r>
        <w:t xml:space="preserve"> </w:t>
      </w:r>
      <w:r w:rsidR="00A04937">
        <w:tab/>
      </w:r>
      <w:r>
        <w:t xml:space="preserve">Bloomberg (30 July 2020) </w:t>
      </w:r>
      <w:hyperlink r:id="rId23" w:history="1">
        <w:r w:rsidRPr="000A4714">
          <w:rPr>
            <w:rStyle w:val="Hyperlink"/>
            <w:sz w:val="18"/>
          </w:rPr>
          <w:t>China finally makes its peace with ‘foreign garbage’</w:t>
        </w:r>
      </w:hyperlink>
    </w:p>
  </w:footnote>
  <w:footnote w:id="34">
    <w:p w14:paraId="5B3F9CEC" w14:textId="4B7C9513" w:rsidR="00DC0074" w:rsidRDefault="00DC0074" w:rsidP="00A04937">
      <w:pPr>
        <w:pStyle w:val="FootnoteText"/>
        <w:spacing w:after="40"/>
        <w:ind w:left="284" w:hanging="284"/>
      </w:pPr>
      <w:r>
        <w:rPr>
          <w:rStyle w:val="FootnoteReference"/>
        </w:rPr>
        <w:footnoteRef/>
      </w:r>
      <w:r>
        <w:t xml:space="preserve"> </w:t>
      </w:r>
      <w:r w:rsidR="00A04937">
        <w:tab/>
      </w:r>
      <w:r w:rsidRPr="00E50A59">
        <w:rPr>
          <w:iCs/>
        </w:rPr>
        <w:t>FMT News (2018)</w:t>
      </w:r>
      <w:r w:rsidRPr="00191D6A">
        <w:t xml:space="preserve"> </w:t>
      </w:r>
      <w:hyperlink r:id="rId24" w:history="1">
        <w:r w:rsidRPr="005A5B49">
          <w:rPr>
            <w:rStyle w:val="Hyperlink"/>
            <w:sz w:val="18"/>
          </w:rPr>
          <w:t>Permits to import plastic waste for 114 factories revoked</w:t>
        </w:r>
      </w:hyperlink>
    </w:p>
  </w:footnote>
  <w:footnote w:id="35">
    <w:p w14:paraId="3360C413" w14:textId="056FE833" w:rsidR="00DC0074" w:rsidRPr="00105F0F" w:rsidRDefault="00DC0074" w:rsidP="00A04937">
      <w:pPr>
        <w:pStyle w:val="Notes"/>
        <w:spacing w:after="40"/>
        <w:ind w:left="284" w:hanging="284"/>
        <w:rPr>
          <w:i w:val="0"/>
          <w:sz w:val="18"/>
        </w:rPr>
      </w:pPr>
      <w:r w:rsidRPr="00E50A59">
        <w:rPr>
          <w:rStyle w:val="FootnoteReference"/>
          <w:i w:val="0"/>
          <w:color w:val="auto"/>
        </w:rPr>
        <w:footnoteRef/>
      </w:r>
      <w:r>
        <w:t xml:space="preserve"> </w:t>
      </w:r>
      <w:r w:rsidR="00A04937">
        <w:tab/>
      </w:r>
      <w:r w:rsidRPr="00E50A59">
        <w:rPr>
          <w:i w:val="0"/>
          <w:color w:val="auto"/>
          <w:sz w:val="18"/>
        </w:rPr>
        <w:t xml:space="preserve">The Star Online (2018) </w:t>
      </w:r>
      <w:hyperlink r:id="rId25" w:history="1">
        <w:r w:rsidRPr="0020021B">
          <w:rPr>
            <w:rStyle w:val="Hyperlink"/>
            <w:i/>
            <w:sz w:val="18"/>
          </w:rPr>
          <w:t>Govt to ban import of all non-recyclable waste</w:t>
        </w:r>
      </w:hyperlink>
      <w:r w:rsidRPr="002D5CF7">
        <w:rPr>
          <w:i w:val="0"/>
          <w:sz w:val="18"/>
        </w:rPr>
        <w:t xml:space="preserve"> </w:t>
      </w:r>
    </w:p>
  </w:footnote>
  <w:footnote w:id="36">
    <w:p w14:paraId="224ED390" w14:textId="312BAE64" w:rsidR="00DC0074" w:rsidRDefault="00DC0074" w:rsidP="00A04937">
      <w:pPr>
        <w:pStyle w:val="FootnoteText"/>
        <w:spacing w:after="40"/>
        <w:ind w:left="284" w:hanging="284"/>
      </w:pPr>
      <w:r>
        <w:rPr>
          <w:rStyle w:val="FootnoteReference"/>
        </w:rPr>
        <w:footnoteRef/>
      </w:r>
      <w:r>
        <w:t xml:space="preserve"> </w:t>
      </w:r>
      <w:r w:rsidR="00A04937">
        <w:tab/>
      </w:r>
      <w:r w:rsidRPr="00CA1E1A">
        <w:rPr>
          <w:iCs/>
        </w:rPr>
        <w:t>The Australian (2019)</w:t>
      </w:r>
      <w:r w:rsidRPr="00CA1E1A">
        <w:rPr>
          <w:i/>
        </w:rPr>
        <w:t xml:space="preserve"> </w:t>
      </w:r>
      <w:hyperlink r:id="rId26" w:history="1">
        <w:r w:rsidRPr="00CA1E1A">
          <w:rPr>
            <w:rStyle w:val="Hyperlink"/>
            <w:sz w:val="18"/>
          </w:rPr>
          <w:t>Australia would vet any waste returns, says Ley</w:t>
        </w:r>
      </w:hyperlink>
      <w:r>
        <w:t xml:space="preserve"> </w:t>
      </w:r>
    </w:p>
  </w:footnote>
  <w:footnote w:id="37">
    <w:p w14:paraId="4516F9CD" w14:textId="73CDFF34" w:rsidR="00DC0074" w:rsidRDefault="00DC0074" w:rsidP="00A04937">
      <w:pPr>
        <w:pStyle w:val="FootnoteText"/>
        <w:spacing w:after="40"/>
        <w:ind w:left="284" w:hanging="284"/>
      </w:pPr>
      <w:r>
        <w:rPr>
          <w:rStyle w:val="FootnoteReference"/>
        </w:rPr>
        <w:footnoteRef/>
      </w:r>
      <w:r>
        <w:t xml:space="preserve"> </w:t>
      </w:r>
      <w:r w:rsidR="00A04937">
        <w:tab/>
      </w:r>
      <w:r>
        <w:t xml:space="preserve">Malaymail (2019) </w:t>
      </w:r>
      <w:hyperlink r:id="rId27" w:history="1">
        <w:r w:rsidRPr="00CA1E1A">
          <w:rPr>
            <w:rStyle w:val="Hyperlink"/>
            <w:sz w:val="18"/>
          </w:rPr>
          <w:t>Yeo Bee Yin moots RM1,500 charge per shipping container to cut illegal imported plastic waste</w:t>
        </w:r>
      </w:hyperlink>
      <w:r>
        <w:t xml:space="preserve"> </w:t>
      </w:r>
    </w:p>
  </w:footnote>
  <w:footnote w:id="38">
    <w:p w14:paraId="1D7A1A0C" w14:textId="40C455AB" w:rsidR="00DC0074" w:rsidRDefault="00DC0074" w:rsidP="00A04937">
      <w:pPr>
        <w:pStyle w:val="FootnoteText"/>
        <w:spacing w:after="40"/>
        <w:ind w:left="284" w:hanging="284"/>
      </w:pPr>
      <w:r>
        <w:rPr>
          <w:rStyle w:val="FootnoteReference"/>
        </w:rPr>
        <w:footnoteRef/>
      </w:r>
      <w:r>
        <w:t xml:space="preserve"> </w:t>
      </w:r>
      <w:r w:rsidR="00A04937">
        <w:tab/>
      </w:r>
      <w:r>
        <w:t>EcoWatch</w:t>
      </w:r>
      <w:r w:rsidRPr="007A1452">
        <w:t xml:space="preserve"> (21 January 2020)</w:t>
      </w:r>
      <w:r>
        <w:t xml:space="preserve"> </w:t>
      </w:r>
      <w:hyperlink r:id="rId28" w:history="1">
        <w:r w:rsidRPr="007A1452">
          <w:rPr>
            <w:rStyle w:val="Hyperlink"/>
            <w:sz w:val="18"/>
          </w:rPr>
          <w:t>Malaysia sends plastic waste back to 13 wealthy countries, says it won’t be ‘the rubbish dump of the world’</w:t>
        </w:r>
      </w:hyperlink>
      <w:r w:rsidRPr="007A1452">
        <w:t>.</w:t>
      </w:r>
    </w:p>
  </w:footnote>
  <w:footnote w:id="39">
    <w:p w14:paraId="7045F966" w14:textId="47174AA0" w:rsidR="00DC0074" w:rsidRDefault="00DC0074" w:rsidP="00A04937">
      <w:pPr>
        <w:pStyle w:val="FootnoteText"/>
        <w:spacing w:after="40"/>
        <w:ind w:left="284" w:hanging="284"/>
      </w:pPr>
      <w:r>
        <w:rPr>
          <w:rStyle w:val="FootnoteReference"/>
        </w:rPr>
        <w:footnoteRef/>
      </w:r>
      <w:r>
        <w:t xml:space="preserve"> </w:t>
      </w:r>
      <w:r w:rsidR="00A04937">
        <w:tab/>
      </w:r>
      <w:r w:rsidRPr="00191D6A">
        <w:rPr>
          <w:i/>
        </w:rPr>
        <w:t xml:space="preserve">The Nation (2018) </w:t>
      </w:r>
      <w:hyperlink r:id="rId29" w:history="1">
        <w:r w:rsidRPr="00105F0F">
          <w:rPr>
            <w:rStyle w:val="Hyperlink"/>
            <w:sz w:val="18"/>
          </w:rPr>
          <w:t>Import of plastic waste banned</w:t>
        </w:r>
      </w:hyperlink>
      <w:r w:rsidRPr="00191D6A">
        <w:rPr>
          <w:i/>
        </w:rPr>
        <w:t xml:space="preserve"> </w:t>
      </w:r>
    </w:p>
  </w:footnote>
  <w:footnote w:id="40">
    <w:p w14:paraId="477DC35A" w14:textId="6396BD3B" w:rsidR="00DC0074" w:rsidRPr="00105F0F" w:rsidRDefault="00DC0074" w:rsidP="00A04937">
      <w:pPr>
        <w:pStyle w:val="Notes"/>
        <w:spacing w:after="40"/>
        <w:ind w:left="284" w:hanging="284"/>
        <w:rPr>
          <w:i w:val="0"/>
          <w:sz w:val="18"/>
        </w:rPr>
      </w:pPr>
      <w:r w:rsidRPr="00E50A59">
        <w:rPr>
          <w:rStyle w:val="FootnoteReference"/>
          <w:i w:val="0"/>
          <w:color w:val="auto"/>
          <w:sz w:val="18"/>
        </w:rPr>
        <w:footnoteRef/>
      </w:r>
      <w:r w:rsidRPr="00E50A59">
        <w:rPr>
          <w:i w:val="0"/>
          <w:color w:val="auto"/>
          <w:sz w:val="18"/>
        </w:rPr>
        <w:t xml:space="preserve"> </w:t>
      </w:r>
      <w:r w:rsidR="00A04937">
        <w:rPr>
          <w:i w:val="0"/>
          <w:color w:val="auto"/>
          <w:sz w:val="18"/>
        </w:rPr>
        <w:tab/>
      </w:r>
      <w:r w:rsidRPr="00E50A59">
        <w:rPr>
          <w:i w:val="0"/>
          <w:color w:val="auto"/>
          <w:sz w:val="18"/>
        </w:rPr>
        <w:t xml:space="preserve">CIWM (2018) </w:t>
      </w:r>
      <w:hyperlink r:id="rId30" w:history="1">
        <w:r w:rsidRPr="0020021B">
          <w:rPr>
            <w:rStyle w:val="Hyperlink"/>
            <w:i/>
            <w:sz w:val="18"/>
          </w:rPr>
          <w:t>Thailand set to ban plastic waste imports by 2021</w:t>
        </w:r>
      </w:hyperlink>
      <w:r>
        <w:rPr>
          <w:i w:val="0"/>
          <w:sz w:val="18"/>
        </w:rPr>
        <w:t xml:space="preserve"> </w:t>
      </w:r>
    </w:p>
  </w:footnote>
  <w:footnote w:id="41">
    <w:p w14:paraId="3EBC32EE" w14:textId="28E669DC" w:rsidR="00DC0074" w:rsidRDefault="00DC0074" w:rsidP="00A04937">
      <w:pPr>
        <w:pStyle w:val="FootnoteText"/>
        <w:spacing w:after="40"/>
        <w:ind w:left="284" w:hanging="284"/>
      </w:pPr>
      <w:r>
        <w:rPr>
          <w:rStyle w:val="FootnoteReference"/>
        </w:rPr>
        <w:footnoteRef/>
      </w:r>
      <w:r>
        <w:t xml:space="preserve"> </w:t>
      </w:r>
      <w:r w:rsidR="00A04937">
        <w:tab/>
      </w:r>
      <w:hyperlink r:id="rId31" w:history="1">
        <w:r w:rsidRPr="00105F0F">
          <w:rPr>
            <w:rStyle w:val="Hyperlink"/>
            <w:sz w:val="18"/>
          </w:rPr>
          <w:t>Government Gazette Thailand</w:t>
        </w:r>
      </w:hyperlink>
      <w:r w:rsidRPr="00191D6A">
        <w:t xml:space="preserve"> (2018) </w:t>
      </w:r>
    </w:p>
  </w:footnote>
  <w:footnote w:id="42">
    <w:p w14:paraId="54FAA921" w14:textId="2A77E634" w:rsidR="00DC0074" w:rsidRDefault="00DC0074" w:rsidP="00A04937">
      <w:pPr>
        <w:pStyle w:val="FootnoteText"/>
        <w:spacing w:after="40"/>
        <w:ind w:left="284" w:hanging="284"/>
      </w:pPr>
      <w:r>
        <w:rPr>
          <w:rStyle w:val="FootnoteReference"/>
        </w:rPr>
        <w:footnoteRef/>
      </w:r>
      <w:r>
        <w:t xml:space="preserve"> </w:t>
      </w:r>
      <w:r w:rsidR="00A04937">
        <w:tab/>
      </w:r>
      <w:r>
        <w:t xml:space="preserve">Bangkok Post (2020) </w:t>
      </w:r>
      <w:hyperlink r:id="rId32" w:history="1">
        <w:r w:rsidRPr="00745AB9">
          <w:rPr>
            <w:rStyle w:val="Hyperlink"/>
            <w:sz w:val="18"/>
          </w:rPr>
          <w:t>Waste plastic imports ‘to be banned’</w:t>
        </w:r>
      </w:hyperlink>
    </w:p>
  </w:footnote>
  <w:footnote w:id="43">
    <w:p w14:paraId="2F373A92" w14:textId="54C72517" w:rsidR="00DC0074" w:rsidRDefault="00DC0074" w:rsidP="00A04937">
      <w:pPr>
        <w:pStyle w:val="FootnoteText"/>
        <w:spacing w:after="40"/>
        <w:ind w:left="284" w:hanging="284"/>
      </w:pPr>
      <w:r>
        <w:rPr>
          <w:rStyle w:val="FootnoteReference"/>
        </w:rPr>
        <w:footnoteRef/>
      </w:r>
      <w:r>
        <w:t xml:space="preserve"> </w:t>
      </w:r>
      <w:r w:rsidR="00A04937">
        <w:tab/>
      </w:r>
      <w:r>
        <w:t xml:space="preserve">The Korea Times (2020) </w:t>
      </w:r>
      <w:hyperlink r:id="rId33" w:history="1">
        <w:r w:rsidRPr="00496C7A">
          <w:rPr>
            <w:rStyle w:val="Hyperlink"/>
            <w:sz w:val="18"/>
          </w:rPr>
          <w:t>Plastic waste imports banned in Korea amid mounting local trash</w:t>
        </w:r>
      </w:hyperlink>
    </w:p>
  </w:footnote>
  <w:footnote w:id="44">
    <w:p w14:paraId="74CEB5DF" w14:textId="76E6D924" w:rsidR="00DC0074" w:rsidRPr="00105F0F" w:rsidRDefault="00DC0074" w:rsidP="00A04937">
      <w:pPr>
        <w:pStyle w:val="FootnoteText"/>
        <w:spacing w:after="40"/>
        <w:ind w:left="284" w:hanging="284"/>
        <w:rPr>
          <w:i/>
        </w:rPr>
      </w:pPr>
      <w:r>
        <w:rPr>
          <w:rStyle w:val="FootnoteReference"/>
        </w:rPr>
        <w:footnoteRef/>
      </w:r>
      <w:r>
        <w:t xml:space="preserve"> </w:t>
      </w:r>
      <w:r w:rsidR="00A04937">
        <w:tab/>
      </w:r>
      <w:r w:rsidRPr="00105F0F">
        <w:rPr>
          <w:rStyle w:val="Hyperlink"/>
          <w:i w:val="0"/>
          <w:color w:val="auto"/>
          <w:sz w:val="18"/>
          <w:u w:val="none"/>
        </w:rPr>
        <w:t>Taipei Times (2018)</w:t>
      </w:r>
      <w:r>
        <w:rPr>
          <w:rStyle w:val="Hyperlink"/>
          <w:i w:val="0"/>
          <w:color w:val="auto"/>
          <w:sz w:val="18"/>
          <w:u w:val="none"/>
        </w:rPr>
        <w:t xml:space="preserve"> </w:t>
      </w:r>
      <w:hyperlink r:id="rId34" w:history="1">
        <w:r w:rsidRPr="0020021B">
          <w:rPr>
            <w:rStyle w:val="Hyperlink"/>
            <w:sz w:val="18"/>
          </w:rPr>
          <w:t>New waste plastic, paper import rules to take effect</w:t>
        </w:r>
      </w:hyperlink>
    </w:p>
  </w:footnote>
  <w:footnote w:id="45">
    <w:p w14:paraId="39242D1D" w14:textId="1125289A" w:rsidR="00DC0074" w:rsidRDefault="00DC0074" w:rsidP="00A04937">
      <w:pPr>
        <w:pStyle w:val="FootnoteText"/>
        <w:spacing w:after="0"/>
        <w:ind w:left="284" w:hanging="284"/>
      </w:pPr>
      <w:r>
        <w:rPr>
          <w:rStyle w:val="FootnoteReference"/>
        </w:rPr>
        <w:footnoteRef/>
      </w:r>
      <w:r>
        <w:t xml:space="preserve"> </w:t>
      </w:r>
      <w:r w:rsidR="00A04937">
        <w:tab/>
      </w:r>
      <w:r>
        <w:t xml:space="preserve">Pakistan Today (2020) </w:t>
      </w:r>
      <w:hyperlink r:id="rId35" w:history="1">
        <w:r w:rsidRPr="00B67BC5">
          <w:rPr>
            <w:rStyle w:val="Hyperlink"/>
            <w:sz w:val="18"/>
          </w:rPr>
          <w:t>Import of hazardous plastic scrap surges to 65,000 tonnes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5526E" w14:textId="77777777" w:rsidR="00DC0074" w:rsidRDefault="00DC0074" w:rsidP="00F255F5">
    <w:pPr>
      <w:pStyle w:val="Header"/>
      <w:jc w:val="right"/>
    </w:pPr>
    <w:r>
      <w:rPr>
        <w:noProof/>
        <w:lang w:eastAsia="en-AU"/>
      </w:rPr>
      <w:drawing>
        <wp:inline distT="0" distB="0" distL="0" distR="0" wp14:anchorId="02A8A251" wp14:editId="1A67B819">
          <wp:extent cx="1692000" cy="291600"/>
          <wp:effectExtent l="0" t="0" r="3810" b="0"/>
          <wp:docPr id="26" name="Picture 26" descr="C:\Users\sarah\AppData\Local\Microsoft\Windows\INetCache\Content.Word\BE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AppData\Local\Microsoft\Windows\INetCache\Content.Word\BE logo 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000" cy="291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E181C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4EB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B4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46F2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AA68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812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60B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FEAD92"/>
    <w:lvl w:ilvl="0">
      <w:start w:val="1"/>
      <w:numFmt w:val="bullet"/>
      <w:lvlText w:val="○"/>
      <w:lvlJc w:val="left"/>
      <w:pPr>
        <w:ind w:left="717" w:hanging="360"/>
      </w:pPr>
      <w:rPr>
        <w:rFonts w:ascii="Calibri" w:hAnsi="Calibri" w:hint="default"/>
        <w:color w:val="3C58A7"/>
        <w:sz w:val="18"/>
      </w:rPr>
    </w:lvl>
  </w:abstractNum>
  <w:abstractNum w:abstractNumId="8" w15:restartNumberingAfterBreak="0">
    <w:nsid w:val="FFFFFF88"/>
    <w:multiLevelType w:val="singleLevel"/>
    <w:tmpl w:val="D0BEC7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44150A"/>
    <w:lvl w:ilvl="0">
      <w:start w:val="1"/>
      <w:numFmt w:val="bullet"/>
      <w:lvlText w:val=""/>
      <w:lvlJc w:val="left"/>
      <w:pPr>
        <w:ind w:left="360" w:hanging="360"/>
      </w:pPr>
      <w:rPr>
        <w:rFonts w:ascii="Symbol" w:hAnsi="Symbol" w:hint="default"/>
        <w:color w:val="3C58A7"/>
        <w:u w:color="3C58A7"/>
      </w:rPr>
    </w:lvl>
  </w:abstractNum>
  <w:abstractNum w:abstractNumId="10" w15:restartNumberingAfterBreak="0">
    <w:nsid w:val="000B4EB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562312"/>
    <w:multiLevelType w:val="hybridMultilevel"/>
    <w:tmpl w:val="5A82C838"/>
    <w:lvl w:ilvl="0" w:tplc="28C096DC">
      <w:start w:val="1"/>
      <w:numFmt w:val="upperLetter"/>
      <w:pStyle w:val="AppendixHeading"/>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446652A"/>
    <w:multiLevelType w:val="hybridMultilevel"/>
    <w:tmpl w:val="F7AE89B6"/>
    <w:lvl w:ilvl="0" w:tplc="787A42DA">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3" w15:restartNumberingAfterBreak="0">
    <w:nsid w:val="24A929CF"/>
    <w:multiLevelType w:val="multilevel"/>
    <w:tmpl w:val="463CD5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Restart w:val="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C154EEA"/>
    <w:multiLevelType w:val="hybridMultilevel"/>
    <w:tmpl w:val="35DCA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165189"/>
    <w:multiLevelType w:val="hybridMultilevel"/>
    <w:tmpl w:val="65E68F60"/>
    <w:lvl w:ilvl="0" w:tplc="7834CB86">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D33497"/>
    <w:multiLevelType w:val="hybridMultilevel"/>
    <w:tmpl w:val="AEC0866A"/>
    <w:lvl w:ilvl="0" w:tplc="9A44B946">
      <w:start w:val="1"/>
      <w:numFmt w:val="bullet"/>
      <w:lvlText w:val="-"/>
      <w:lvlJc w:val="left"/>
      <w:pPr>
        <w:ind w:left="720" w:hanging="360"/>
      </w:pPr>
      <w:rPr>
        <w:rFonts w:ascii="Courier New" w:hAnsi="Courier New" w:hint="default"/>
      </w:rPr>
    </w:lvl>
    <w:lvl w:ilvl="1" w:tplc="A916488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F95756"/>
    <w:multiLevelType w:val="multilevel"/>
    <w:tmpl w:val="DCDA1470"/>
    <w:lvl w:ilvl="0">
      <w:start w:val="1"/>
      <w:numFmt w:val="bullet"/>
      <w:pStyle w:val="Bullet1"/>
      <w:lvlText w:val=""/>
      <w:lvlJc w:val="left"/>
      <w:pPr>
        <w:ind w:left="425" w:hanging="425"/>
      </w:pPr>
      <w:rPr>
        <w:rFonts w:ascii="Symbol" w:hAnsi="Symbol" w:hint="default"/>
      </w:rPr>
    </w:lvl>
    <w:lvl w:ilvl="1">
      <w:start w:val="1"/>
      <w:numFmt w:val="bullet"/>
      <w:pStyle w:val="Bullet2"/>
      <w:lvlText w:val="-"/>
      <w:lvlJc w:val="left"/>
      <w:pPr>
        <w:ind w:left="851" w:hanging="426"/>
      </w:pPr>
      <w:rPr>
        <w:rFonts w:ascii="Courier New" w:hAnsi="Courier New" w:hint="default"/>
      </w:rPr>
    </w:lvl>
    <w:lvl w:ilvl="2">
      <w:start w:val="1"/>
      <w:numFmt w:val="bullet"/>
      <w:pStyle w:val="Bullet3"/>
      <w:lvlText w:val="o"/>
      <w:lvlJc w:val="left"/>
      <w:pPr>
        <w:ind w:left="1276" w:hanging="425"/>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6662F7A"/>
    <w:multiLevelType w:val="multilevel"/>
    <w:tmpl w:val="06E0383A"/>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7971374E"/>
    <w:multiLevelType w:val="multilevel"/>
    <w:tmpl w:val="580C4DF4"/>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A9876E0"/>
    <w:multiLevelType w:val="hybridMultilevel"/>
    <w:tmpl w:val="9B1875D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21" w15:restartNumberingAfterBreak="0">
    <w:nsid w:val="7BFB2423"/>
    <w:multiLevelType w:val="multilevel"/>
    <w:tmpl w:val="BA82B626"/>
    <w:lvl w:ilvl="0">
      <w:start w:val="1"/>
      <w:numFmt w:val="decimal"/>
      <w:pStyle w:val="Number1"/>
      <w:lvlText w:val="%1."/>
      <w:lvlJc w:val="left"/>
      <w:pPr>
        <w:ind w:left="425" w:hanging="425"/>
      </w:pPr>
      <w:rPr>
        <w:rFonts w:hint="default"/>
      </w:rPr>
    </w:lvl>
    <w:lvl w:ilvl="1">
      <w:start w:val="1"/>
      <w:numFmt w:val="lowerLetter"/>
      <w:pStyle w:val="Number2"/>
      <w:lvlText w:val="%2)"/>
      <w:lvlJc w:val="left"/>
      <w:pPr>
        <w:ind w:left="851" w:hanging="426"/>
      </w:pPr>
      <w:rPr>
        <w:rFonts w:hint="default"/>
      </w:rPr>
    </w:lvl>
    <w:lvl w:ilvl="2">
      <w:start w:val="1"/>
      <w:numFmt w:val="lowerRoman"/>
      <w:pStyle w:val="Number3"/>
      <w:lvlText w:val="(%3)"/>
      <w:lvlJc w:val="right"/>
      <w:pPr>
        <w:ind w:left="1276" w:hanging="425"/>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9"/>
  </w:num>
  <w:num w:numId="2">
    <w:abstractNumId w:val="8"/>
  </w:num>
  <w:num w:numId="3">
    <w:abstractNumId w:val="7"/>
  </w:num>
  <w:num w:numId="4">
    <w:abstractNumId w:val="8"/>
    <w:lvlOverride w:ilvl="0">
      <w:startOverride w:val="1"/>
    </w:lvlOverride>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21"/>
  </w:num>
  <w:num w:numId="15">
    <w:abstractNumId w:val="21"/>
    <w:lvlOverride w:ilvl="0">
      <w:startOverride w:val="1"/>
    </w:lvlOverride>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3"/>
  </w:num>
  <w:num w:numId="20">
    <w:abstractNumId w:val="15"/>
  </w:num>
  <w:num w:numId="21">
    <w:abstractNumId w:val="10"/>
  </w:num>
  <w:num w:numId="22">
    <w:abstractNumId w:val="1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99"/>
    <w:rsid w:val="000012F6"/>
    <w:rsid w:val="000023DB"/>
    <w:rsid w:val="0000743A"/>
    <w:rsid w:val="00011412"/>
    <w:rsid w:val="00013771"/>
    <w:rsid w:val="00014661"/>
    <w:rsid w:val="00015F2D"/>
    <w:rsid w:val="00016958"/>
    <w:rsid w:val="00017797"/>
    <w:rsid w:val="00017EF1"/>
    <w:rsid w:val="00021717"/>
    <w:rsid w:val="00026005"/>
    <w:rsid w:val="00026573"/>
    <w:rsid w:val="00026B75"/>
    <w:rsid w:val="00027BF6"/>
    <w:rsid w:val="00030869"/>
    <w:rsid w:val="00031B15"/>
    <w:rsid w:val="00034E49"/>
    <w:rsid w:val="00036377"/>
    <w:rsid w:val="00036682"/>
    <w:rsid w:val="00042E1F"/>
    <w:rsid w:val="00043891"/>
    <w:rsid w:val="0004799E"/>
    <w:rsid w:val="00050375"/>
    <w:rsid w:val="0005121D"/>
    <w:rsid w:val="00051315"/>
    <w:rsid w:val="000522BD"/>
    <w:rsid w:val="00052583"/>
    <w:rsid w:val="00053C5A"/>
    <w:rsid w:val="00061E72"/>
    <w:rsid w:val="00062017"/>
    <w:rsid w:val="00064051"/>
    <w:rsid w:val="00065F58"/>
    <w:rsid w:val="00066339"/>
    <w:rsid w:val="00066C1F"/>
    <w:rsid w:val="0007368B"/>
    <w:rsid w:val="000742A2"/>
    <w:rsid w:val="00075276"/>
    <w:rsid w:val="00081835"/>
    <w:rsid w:val="00084A66"/>
    <w:rsid w:val="000A1680"/>
    <w:rsid w:val="000A27BA"/>
    <w:rsid w:val="000A2F2A"/>
    <w:rsid w:val="000A4714"/>
    <w:rsid w:val="000A4A9B"/>
    <w:rsid w:val="000A5184"/>
    <w:rsid w:val="000B02D2"/>
    <w:rsid w:val="000B05D8"/>
    <w:rsid w:val="000B1B45"/>
    <w:rsid w:val="000B1D5B"/>
    <w:rsid w:val="000B3F9B"/>
    <w:rsid w:val="000B4CAE"/>
    <w:rsid w:val="000B4F72"/>
    <w:rsid w:val="000B67BA"/>
    <w:rsid w:val="000B769A"/>
    <w:rsid w:val="000B7D6D"/>
    <w:rsid w:val="000C11B0"/>
    <w:rsid w:val="000C1ABC"/>
    <w:rsid w:val="000C349B"/>
    <w:rsid w:val="000C66D1"/>
    <w:rsid w:val="000C746C"/>
    <w:rsid w:val="000C77CA"/>
    <w:rsid w:val="000D055C"/>
    <w:rsid w:val="000D3645"/>
    <w:rsid w:val="000D59D5"/>
    <w:rsid w:val="000E25E2"/>
    <w:rsid w:val="000E3E96"/>
    <w:rsid w:val="000E4D5F"/>
    <w:rsid w:val="000E58CE"/>
    <w:rsid w:val="000E66E1"/>
    <w:rsid w:val="000E7EAE"/>
    <w:rsid w:val="000F15FC"/>
    <w:rsid w:val="000F52F6"/>
    <w:rsid w:val="000F5E99"/>
    <w:rsid w:val="000F7B61"/>
    <w:rsid w:val="001004C1"/>
    <w:rsid w:val="00100D27"/>
    <w:rsid w:val="00102842"/>
    <w:rsid w:val="0010344D"/>
    <w:rsid w:val="00104563"/>
    <w:rsid w:val="00104E96"/>
    <w:rsid w:val="001061CA"/>
    <w:rsid w:val="001115A9"/>
    <w:rsid w:val="001116FD"/>
    <w:rsid w:val="00112820"/>
    <w:rsid w:val="001146A9"/>
    <w:rsid w:val="001148A0"/>
    <w:rsid w:val="00116EF5"/>
    <w:rsid w:val="00122A4F"/>
    <w:rsid w:val="00122D86"/>
    <w:rsid w:val="00123654"/>
    <w:rsid w:val="00123943"/>
    <w:rsid w:val="001244F8"/>
    <w:rsid w:val="0012567E"/>
    <w:rsid w:val="0013029F"/>
    <w:rsid w:val="00131654"/>
    <w:rsid w:val="001329AB"/>
    <w:rsid w:val="0013471A"/>
    <w:rsid w:val="001366C5"/>
    <w:rsid w:val="00136CCB"/>
    <w:rsid w:val="001375D7"/>
    <w:rsid w:val="00142670"/>
    <w:rsid w:val="001426E1"/>
    <w:rsid w:val="00143570"/>
    <w:rsid w:val="00144EAA"/>
    <w:rsid w:val="001451A8"/>
    <w:rsid w:val="001505CF"/>
    <w:rsid w:val="00153E95"/>
    <w:rsid w:val="0015519B"/>
    <w:rsid w:val="001553AE"/>
    <w:rsid w:val="00155AEC"/>
    <w:rsid w:val="001572A8"/>
    <w:rsid w:val="00157C85"/>
    <w:rsid w:val="0016119B"/>
    <w:rsid w:val="00163937"/>
    <w:rsid w:val="00163E05"/>
    <w:rsid w:val="001656C3"/>
    <w:rsid w:val="001669DF"/>
    <w:rsid w:val="00166AFA"/>
    <w:rsid w:val="00166F3F"/>
    <w:rsid w:val="00170EF0"/>
    <w:rsid w:val="001710F8"/>
    <w:rsid w:val="00171328"/>
    <w:rsid w:val="00171848"/>
    <w:rsid w:val="00171DC7"/>
    <w:rsid w:val="00173C4D"/>
    <w:rsid w:val="0017623C"/>
    <w:rsid w:val="001769E4"/>
    <w:rsid w:val="00176BCD"/>
    <w:rsid w:val="00176D89"/>
    <w:rsid w:val="00177AEA"/>
    <w:rsid w:val="00177EC5"/>
    <w:rsid w:val="00180708"/>
    <w:rsid w:val="0018220D"/>
    <w:rsid w:val="00182224"/>
    <w:rsid w:val="001927C6"/>
    <w:rsid w:val="00194C0F"/>
    <w:rsid w:val="00194F22"/>
    <w:rsid w:val="0019594A"/>
    <w:rsid w:val="00195AAC"/>
    <w:rsid w:val="001970F8"/>
    <w:rsid w:val="00197139"/>
    <w:rsid w:val="001A0554"/>
    <w:rsid w:val="001A1494"/>
    <w:rsid w:val="001A2FCD"/>
    <w:rsid w:val="001A714F"/>
    <w:rsid w:val="001B0604"/>
    <w:rsid w:val="001B1601"/>
    <w:rsid w:val="001B3845"/>
    <w:rsid w:val="001B40C7"/>
    <w:rsid w:val="001B4275"/>
    <w:rsid w:val="001B6294"/>
    <w:rsid w:val="001B6499"/>
    <w:rsid w:val="001B6DB7"/>
    <w:rsid w:val="001C14CD"/>
    <w:rsid w:val="001C39D1"/>
    <w:rsid w:val="001D0320"/>
    <w:rsid w:val="001D0ACC"/>
    <w:rsid w:val="001D3272"/>
    <w:rsid w:val="001D3F64"/>
    <w:rsid w:val="001D4217"/>
    <w:rsid w:val="001E0B3F"/>
    <w:rsid w:val="001E1321"/>
    <w:rsid w:val="001E1ACF"/>
    <w:rsid w:val="001E21F6"/>
    <w:rsid w:val="001E2C16"/>
    <w:rsid w:val="001E3C4C"/>
    <w:rsid w:val="001E50EB"/>
    <w:rsid w:val="001E6B7B"/>
    <w:rsid w:val="001E7812"/>
    <w:rsid w:val="001F137E"/>
    <w:rsid w:val="001F17C8"/>
    <w:rsid w:val="001F1F2C"/>
    <w:rsid w:val="001F5FF8"/>
    <w:rsid w:val="001F7B08"/>
    <w:rsid w:val="001F7BB2"/>
    <w:rsid w:val="00200A99"/>
    <w:rsid w:val="00202222"/>
    <w:rsid w:val="0020366B"/>
    <w:rsid w:val="00203C9F"/>
    <w:rsid w:val="00204BF9"/>
    <w:rsid w:val="00204F7A"/>
    <w:rsid w:val="00207874"/>
    <w:rsid w:val="0021020D"/>
    <w:rsid w:val="00210FB2"/>
    <w:rsid w:val="00216FE0"/>
    <w:rsid w:val="00217DFA"/>
    <w:rsid w:val="00221618"/>
    <w:rsid w:val="002216DF"/>
    <w:rsid w:val="00221CBF"/>
    <w:rsid w:val="00223FDF"/>
    <w:rsid w:val="00224AEA"/>
    <w:rsid w:val="00224EA3"/>
    <w:rsid w:val="0023197E"/>
    <w:rsid w:val="00231B6A"/>
    <w:rsid w:val="00231FF3"/>
    <w:rsid w:val="00233281"/>
    <w:rsid w:val="00237618"/>
    <w:rsid w:val="002412C5"/>
    <w:rsid w:val="00241ADA"/>
    <w:rsid w:val="00241F9D"/>
    <w:rsid w:val="00242426"/>
    <w:rsid w:val="00243155"/>
    <w:rsid w:val="002456AA"/>
    <w:rsid w:val="002477EA"/>
    <w:rsid w:val="00247D3A"/>
    <w:rsid w:val="002501E1"/>
    <w:rsid w:val="00252079"/>
    <w:rsid w:val="00253E7C"/>
    <w:rsid w:val="00255081"/>
    <w:rsid w:val="002563F5"/>
    <w:rsid w:val="00256665"/>
    <w:rsid w:val="00262776"/>
    <w:rsid w:val="002645CA"/>
    <w:rsid w:val="00266398"/>
    <w:rsid w:val="002671B4"/>
    <w:rsid w:val="0027261E"/>
    <w:rsid w:val="00276C0F"/>
    <w:rsid w:val="00277E9A"/>
    <w:rsid w:val="00280540"/>
    <w:rsid w:val="0028399E"/>
    <w:rsid w:val="00284AF0"/>
    <w:rsid w:val="0029322D"/>
    <w:rsid w:val="0029695A"/>
    <w:rsid w:val="002A04C7"/>
    <w:rsid w:val="002A3EEE"/>
    <w:rsid w:val="002A5376"/>
    <w:rsid w:val="002A6BD6"/>
    <w:rsid w:val="002A7D62"/>
    <w:rsid w:val="002A7FC6"/>
    <w:rsid w:val="002B0A12"/>
    <w:rsid w:val="002B0A1C"/>
    <w:rsid w:val="002B2C82"/>
    <w:rsid w:val="002B4A71"/>
    <w:rsid w:val="002B5A71"/>
    <w:rsid w:val="002B6B42"/>
    <w:rsid w:val="002C1F08"/>
    <w:rsid w:val="002C22A8"/>
    <w:rsid w:val="002C363A"/>
    <w:rsid w:val="002C6AE0"/>
    <w:rsid w:val="002C7FCC"/>
    <w:rsid w:val="002D05F7"/>
    <w:rsid w:val="002D301F"/>
    <w:rsid w:val="002D3048"/>
    <w:rsid w:val="002D3B24"/>
    <w:rsid w:val="002D3CBB"/>
    <w:rsid w:val="002D5EC9"/>
    <w:rsid w:val="002E0839"/>
    <w:rsid w:val="002E3BAB"/>
    <w:rsid w:val="002E413D"/>
    <w:rsid w:val="002E5092"/>
    <w:rsid w:val="002E50A2"/>
    <w:rsid w:val="002E5472"/>
    <w:rsid w:val="002E73CE"/>
    <w:rsid w:val="002E7692"/>
    <w:rsid w:val="002F01D1"/>
    <w:rsid w:val="002F27D4"/>
    <w:rsid w:val="002F3DD7"/>
    <w:rsid w:val="002F63DB"/>
    <w:rsid w:val="002F6ADD"/>
    <w:rsid w:val="002F6E47"/>
    <w:rsid w:val="0030202E"/>
    <w:rsid w:val="00304F93"/>
    <w:rsid w:val="00306728"/>
    <w:rsid w:val="00307417"/>
    <w:rsid w:val="003109EB"/>
    <w:rsid w:val="00311AB3"/>
    <w:rsid w:val="00312216"/>
    <w:rsid w:val="00313D56"/>
    <w:rsid w:val="00313ED4"/>
    <w:rsid w:val="00315E8E"/>
    <w:rsid w:val="003174AC"/>
    <w:rsid w:val="00323827"/>
    <w:rsid w:val="00324216"/>
    <w:rsid w:val="00327334"/>
    <w:rsid w:val="00327AFC"/>
    <w:rsid w:val="00327FE9"/>
    <w:rsid w:val="003318A6"/>
    <w:rsid w:val="003325EC"/>
    <w:rsid w:val="00333956"/>
    <w:rsid w:val="0033455F"/>
    <w:rsid w:val="00334EDF"/>
    <w:rsid w:val="003364C6"/>
    <w:rsid w:val="003364F6"/>
    <w:rsid w:val="00336883"/>
    <w:rsid w:val="00344366"/>
    <w:rsid w:val="00344B64"/>
    <w:rsid w:val="0035035C"/>
    <w:rsid w:val="003505F9"/>
    <w:rsid w:val="0035086C"/>
    <w:rsid w:val="00350FC9"/>
    <w:rsid w:val="00351B5D"/>
    <w:rsid w:val="0035211C"/>
    <w:rsid w:val="003523A3"/>
    <w:rsid w:val="00354F01"/>
    <w:rsid w:val="00355123"/>
    <w:rsid w:val="0036013B"/>
    <w:rsid w:val="003609B9"/>
    <w:rsid w:val="00361CA1"/>
    <w:rsid w:val="003628C3"/>
    <w:rsid w:val="00362AAD"/>
    <w:rsid w:val="00362B00"/>
    <w:rsid w:val="003636B8"/>
    <w:rsid w:val="00370946"/>
    <w:rsid w:val="00370989"/>
    <w:rsid w:val="003719CE"/>
    <w:rsid w:val="00371D9E"/>
    <w:rsid w:val="003726B0"/>
    <w:rsid w:val="00372C43"/>
    <w:rsid w:val="00373AC9"/>
    <w:rsid w:val="00373DD5"/>
    <w:rsid w:val="00373F48"/>
    <w:rsid w:val="00374AD2"/>
    <w:rsid w:val="0037529A"/>
    <w:rsid w:val="003759CE"/>
    <w:rsid w:val="00375DE2"/>
    <w:rsid w:val="00376768"/>
    <w:rsid w:val="003767F8"/>
    <w:rsid w:val="003773DF"/>
    <w:rsid w:val="003836B5"/>
    <w:rsid w:val="00385392"/>
    <w:rsid w:val="003865B3"/>
    <w:rsid w:val="00393BB8"/>
    <w:rsid w:val="0039652B"/>
    <w:rsid w:val="003968A7"/>
    <w:rsid w:val="003A1BF0"/>
    <w:rsid w:val="003A470E"/>
    <w:rsid w:val="003A4F41"/>
    <w:rsid w:val="003A67D8"/>
    <w:rsid w:val="003A7898"/>
    <w:rsid w:val="003B3436"/>
    <w:rsid w:val="003B3CFA"/>
    <w:rsid w:val="003B443A"/>
    <w:rsid w:val="003C1F67"/>
    <w:rsid w:val="003C2317"/>
    <w:rsid w:val="003C2585"/>
    <w:rsid w:val="003C38C1"/>
    <w:rsid w:val="003C4D4E"/>
    <w:rsid w:val="003C6AC7"/>
    <w:rsid w:val="003C7F80"/>
    <w:rsid w:val="003D1A4F"/>
    <w:rsid w:val="003D2880"/>
    <w:rsid w:val="003D33AB"/>
    <w:rsid w:val="003D3E2E"/>
    <w:rsid w:val="003D4044"/>
    <w:rsid w:val="003E20DE"/>
    <w:rsid w:val="003E212B"/>
    <w:rsid w:val="003E2351"/>
    <w:rsid w:val="003E25A3"/>
    <w:rsid w:val="003E3241"/>
    <w:rsid w:val="003E3381"/>
    <w:rsid w:val="003E41C1"/>
    <w:rsid w:val="003E59EA"/>
    <w:rsid w:val="003F0185"/>
    <w:rsid w:val="003F3AD3"/>
    <w:rsid w:val="003F494C"/>
    <w:rsid w:val="003F4FB0"/>
    <w:rsid w:val="004017A1"/>
    <w:rsid w:val="00401DFB"/>
    <w:rsid w:val="00401F1A"/>
    <w:rsid w:val="004021F8"/>
    <w:rsid w:val="0040291C"/>
    <w:rsid w:val="004036E4"/>
    <w:rsid w:val="00404092"/>
    <w:rsid w:val="004049FC"/>
    <w:rsid w:val="00404DD7"/>
    <w:rsid w:val="00410421"/>
    <w:rsid w:val="0041430C"/>
    <w:rsid w:val="004301B5"/>
    <w:rsid w:val="00430BDB"/>
    <w:rsid w:val="004329A2"/>
    <w:rsid w:val="00434520"/>
    <w:rsid w:val="004346EF"/>
    <w:rsid w:val="00434E15"/>
    <w:rsid w:val="00436591"/>
    <w:rsid w:val="00437187"/>
    <w:rsid w:val="00437FF2"/>
    <w:rsid w:val="004408F6"/>
    <w:rsid w:val="00441087"/>
    <w:rsid w:val="00441371"/>
    <w:rsid w:val="004415CD"/>
    <w:rsid w:val="00446397"/>
    <w:rsid w:val="00447D77"/>
    <w:rsid w:val="004505C1"/>
    <w:rsid w:val="00454BCE"/>
    <w:rsid w:val="00464795"/>
    <w:rsid w:val="00464FC7"/>
    <w:rsid w:val="00465F75"/>
    <w:rsid w:val="004667E8"/>
    <w:rsid w:val="00471095"/>
    <w:rsid w:val="004713B0"/>
    <w:rsid w:val="00477147"/>
    <w:rsid w:val="00477AA0"/>
    <w:rsid w:val="00477F9B"/>
    <w:rsid w:val="00480D94"/>
    <w:rsid w:val="00480F2F"/>
    <w:rsid w:val="004814AC"/>
    <w:rsid w:val="004815B1"/>
    <w:rsid w:val="00481E0F"/>
    <w:rsid w:val="004820DA"/>
    <w:rsid w:val="0048299E"/>
    <w:rsid w:val="00482BE5"/>
    <w:rsid w:val="004831DC"/>
    <w:rsid w:val="00486A41"/>
    <w:rsid w:val="004900CC"/>
    <w:rsid w:val="00490D7E"/>
    <w:rsid w:val="00491214"/>
    <w:rsid w:val="00493FA0"/>
    <w:rsid w:val="004967FE"/>
    <w:rsid w:val="00496CD5"/>
    <w:rsid w:val="004A46E3"/>
    <w:rsid w:val="004A6B41"/>
    <w:rsid w:val="004B2732"/>
    <w:rsid w:val="004B4353"/>
    <w:rsid w:val="004B6823"/>
    <w:rsid w:val="004C1D5F"/>
    <w:rsid w:val="004C29BB"/>
    <w:rsid w:val="004C5A2C"/>
    <w:rsid w:val="004C7A6A"/>
    <w:rsid w:val="004D0434"/>
    <w:rsid w:val="004D07E0"/>
    <w:rsid w:val="004D234B"/>
    <w:rsid w:val="004D4A33"/>
    <w:rsid w:val="004D5093"/>
    <w:rsid w:val="004E315C"/>
    <w:rsid w:val="004E374A"/>
    <w:rsid w:val="004E3EC0"/>
    <w:rsid w:val="004E688C"/>
    <w:rsid w:val="004F0BDB"/>
    <w:rsid w:val="004F107B"/>
    <w:rsid w:val="004F19D5"/>
    <w:rsid w:val="004F1F9A"/>
    <w:rsid w:val="004F329B"/>
    <w:rsid w:val="004F3A94"/>
    <w:rsid w:val="004F4E2F"/>
    <w:rsid w:val="004F53FB"/>
    <w:rsid w:val="004F7A87"/>
    <w:rsid w:val="00501E45"/>
    <w:rsid w:val="00504672"/>
    <w:rsid w:val="00504F34"/>
    <w:rsid w:val="00507143"/>
    <w:rsid w:val="005103CD"/>
    <w:rsid w:val="00511140"/>
    <w:rsid w:val="005117F0"/>
    <w:rsid w:val="005121E7"/>
    <w:rsid w:val="005130B0"/>
    <w:rsid w:val="005130B5"/>
    <w:rsid w:val="00513EC7"/>
    <w:rsid w:val="00515626"/>
    <w:rsid w:val="00516295"/>
    <w:rsid w:val="005172DB"/>
    <w:rsid w:val="0052052F"/>
    <w:rsid w:val="00520FC2"/>
    <w:rsid w:val="00521AE2"/>
    <w:rsid w:val="00522E9D"/>
    <w:rsid w:val="005245BD"/>
    <w:rsid w:val="005262CD"/>
    <w:rsid w:val="005277C3"/>
    <w:rsid w:val="00527ADA"/>
    <w:rsid w:val="00527B62"/>
    <w:rsid w:val="00537D30"/>
    <w:rsid w:val="00543B80"/>
    <w:rsid w:val="0054460D"/>
    <w:rsid w:val="00545999"/>
    <w:rsid w:val="00547891"/>
    <w:rsid w:val="00547C1A"/>
    <w:rsid w:val="00552693"/>
    <w:rsid w:val="00552D4C"/>
    <w:rsid w:val="00552FE4"/>
    <w:rsid w:val="005539C7"/>
    <w:rsid w:val="00553D3C"/>
    <w:rsid w:val="00554DE4"/>
    <w:rsid w:val="00557B1F"/>
    <w:rsid w:val="0056030E"/>
    <w:rsid w:val="0056283E"/>
    <w:rsid w:val="00562DE7"/>
    <w:rsid w:val="0056340D"/>
    <w:rsid w:val="00565389"/>
    <w:rsid w:val="0056554C"/>
    <w:rsid w:val="0056599B"/>
    <w:rsid w:val="005665E6"/>
    <w:rsid w:val="0056710B"/>
    <w:rsid w:val="005709A3"/>
    <w:rsid w:val="00570A0A"/>
    <w:rsid w:val="00571A19"/>
    <w:rsid w:val="0057287B"/>
    <w:rsid w:val="00576B04"/>
    <w:rsid w:val="00576CA1"/>
    <w:rsid w:val="00577B2B"/>
    <w:rsid w:val="00580908"/>
    <w:rsid w:val="00582440"/>
    <w:rsid w:val="00582874"/>
    <w:rsid w:val="00583905"/>
    <w:rsid w:val="00586128"/>
    <w:rsid w:val="005867BE"/>
    <w:rsid w:val="00587919"/>
    <w:rsid w:val="00591FF1"/>
    <w:rsid w:val="00595644"/>
    <w:rsid w:val="005976AD"/>
    <w:rsid w:val="005A1860"/>
    <w:rsid w:val="005A25E5"/>
    <w:rsid w:val="005A5719"/>
    <w:rsid w:val="005B0D45"/>
    <w:rsid w:val="005B449C"/>
    <w:rsid w:val="005B55C0"/>
    <w:rsid w:val="005B5B88"/>
    <w:rsid w:val="005B731E"/>
    <w:rsid w:val="005B7C7F"/>
    <w:rsid w:val="005C1254"/>
    <w:rsid w:val="005C3B74"/>
    <w:rsid w:val="005C521B"/>
    <w:rsid w:val="005C5ADE"/>
    <w:rsid w:val="005D0755"/>
    <w:rsid w:val="005D178B"/>
    <w:rsid w:val="005D1801"/>
    <w:rsid w:val="005D2265"/>
    <w:rsid w:val="005D617C"/>
    <w:rsid w:val="005D7FF8"/>
    <w:rsid w:val="005E04BE"/>
    <w:rsid w:val="005E0C28"/>
    <w:rsid w:val="005E12C6"/>
    <w:rsid w:val="005E15D4"/>
    <w:rsid w:val="005E2206"/>
    <w:rsid w:val="005E2F1E"/>
    <w:rsid w:val="005E31FF"/>
    <w:rsid w:val="005E4799"/>
    <w:rsid w:val="005E4B0D"/>
    <w:rsid w:val="005E59B0"/>
    <w:rsid w:val="005E5A3C"/>
    <w:rsid w:val="005E6235"/>
    <w:rsid w:val="005E67D2"/>
    <w:rsid w:val="005E79BE"/>
    <w:rsid w:val="005E7F09"/>
    <w:rsid w:val="005F0B7B"/>
    <w:rsid w:val="005F3DA4"/>
    <w:rsid w:val="005F4829"/>
    <w:rsid w:val="005F4BDB"/>
    <w:rsid w:val="005F693F"/>
    <w:rsid w:val="005F7EEB"/>
    <w:rsid w:val="00602E72"/>
    <w:rsid w:val="0060601B"/>
    <w:rsid w:val="00610014"/>
    <w:rsid w:val="00612D59"/>
    <w:rsid w:val="00612DC5"/>
    <w:rsid w:val="00612E9F"/>
    <w:rsid w:val="00612EF0"/>
    <w:rsid w:val="0061561F"/>
    <w:rsid w:val="006159D1"/>
    <w:rsid w:val="00622C0F"/>
    <w:rsid w:val="00623B71"/>
    <w:rsid w:val="00625053"/>
    <w:rsid w:val="00632DE1"/>
    <w:rsid w:val="00633329"/>
    <w:rsid w:val="00634366"/>
    <w:rsid w:val="006345C1"/>
    <w:rsid w:val="006366DB"/>
    <w:rsid w:val="006423B4"/>
    <w:rsid w:val="006447BF"/>
    <w:rsid w:val="006475A9"/>
    <w:rsid w:val="006476D3"/>
    <w:rsid w:val="00650CD8"/>
    <w:rsid w:val="00651DFE"/>
    <w:rsid w:val="006547CD"/>
    <w:rsid w:val="0065614F"/>
    <w:rsid w:val="006561A1"/>
    <w:rsid w:val="00656518"/>
    <w:rsid w:val="00660AC1"/>
    <w:rsid w:val="006631D5"/>
    <w:rsid w:val="006632F3"/>
    <w:rsid w:val="006638E0"/>
    <w:rsid w:val="00663C3A"/>
    <w:rsid w:val="00664414"/>
    <w:rsid w:val="00667706"/>
    <w:rsid w:val="0067118E"/>
    <w:rsid w:val="006711DF"/>
    <w:rsid w:val="0067167A"/>
    <w:rsid w:val="00672009"/>
    <w:rsid w:val="006737A1"/>
    <w:rsid w:val="00675083"/>
    <w:rsid w:val="00675759"/>
    <w:rsid w:val="00680278"/>
    <w:rsid w:val="00680F8C"/>
    <w:rsid w:val="006811D1"/>
    <w:rsid w:val="0068174D"/>
    <w:rsid w:val="00682C69"/>
    <w:rsid w:val="0068558A"/>
    <w:rsid w:val="006866C8"/>
    <w:rsid w:val="00686D9E"/>
    <w:rsid w:val="006901E8"/>
    <w:rsid w:val="0069160F"/>
    <w:rsid w:val="0069547F"/>
    <w:rsid w:val="00695DC1"/>
    <w:rsid w:val="006964C0"/>
    <w:rsid w:val="006A0847"/>
    <w:rsid w:val="006A14D1"/>
    <w:rsid w:val="006A4985"/>
    <w:rsid w:val="006A6849"/>
    <w:rsid w:val="006A725A"/>
    <w:rsid w:val="006A739D"/>
    <w:rsid w:val="006B0D83"/>
    <w:rsid w:val="006B238A"/>
    <w:rsid w:val="006B2EC2"/>
    <w:rsid w:val="006B437D"/>
    <w:rsid w:val="006B6591"/>
    <w:rsid w:val="006B76BB"/>
    <w:rsid w:val="006C24FE"/>
    <w:rsid w:val="006C4090"/>
    <w:rsid w:val="006C5A00"/>
    <w:rsid w:val="006D11BA"/>
    <w:rsid w:val="006D29AB"/>
    <w:rsid w:val="006D47A8"/>
    <w:rsid w:val="006D5FA9"/>
    <w:rsid w:val="006D67A7"/>
    <w:rsid w:val="006E03D8"/>
    <w:rsid w:val="006E0DB6"/>
    <w:rsid w:val="006E1638"/>
    <w:rsid w:val="006E1779"/>
    <w:rsid w:val="006E2FF0"/>
    <w:rsid w:val="006E4B05"/>
    <w:rsid w:val="006E6BD6"/>
    <w:rsid w:val="006E704E"/>
    <w:rsid w:val="006F24C9"/>
    <w:rsid w:val="006F31B4"/>
    <w:rsid w:val="006F5217"/>
    <w:rsid w:val="00703F4D"/>
    <w:rsid w:val="00704FE7"/>
    <w:rsid w:val="007055D4"/>
    <w:rsid w:val="00707EF4"/>
    <w:rsid w:val="00712583"/>
    <w:rsid w:val="007139FE"/>
    <w:rsid w:val="00713D44"/>
    <w:rsid w:val="00713FAF"/>
    <w:rsid w:val="00715A1B"/>
    <w:rsid w:val="00716423"/>
    <w:rsid w:val="0071690A"/>
    <w:rsid w:val="00717791"/>
    <w:rsid w:val="00720C59"/>
    <w:rsid w:val="00721AB7"/>
    <w:rsid w:val="00723D0A"/>
    <w:rsid w:val="0073030C"/>
    <w:rsid w:val="0073416B"/>
    <w:rsid w:val="007374F2"/>
    <w:rsid w:val="00740031"/>
    <w:rsid w:val="00742215"/>
    <w:rsid w:val="00742904"/>
    <w:rsid w:val="00743E07"/>
    <w:rsid w:val="00743E66"/>
    <w:rsid w:val="007441AD"/>
    <w:rsid w:val="00745106"/>
    <w:rsid w:val="00746AD4"/>
    <w:rsid w:val="00750819"/>
    <w:rsid w:val="0075393B"/>
    <w:rsid w:val="007546EA"/>
    <w:rsid w:val="00757EA5"/>
    <w:rsid w:val="007616D6"/>
    <w:rsid w:val="007648D5"/>
    <w:rsid w:val="00766E01"/>
    <w:rsid w:val="00767A7C"/>
    <w:rsid w:val="0077002F"/>
    <w:rsid w:val="00772B74"/>
    <w:rsid w:val="00773058"/>
    <w:rsid w:val="0077452F"/>
    <w:rsid w:val="0077462F"/>
    <w:rsid w:val="0077628E"/>
    <w:rsid w:val="00777F34"/>
    <w:rsid w:val="00780AE3"/>
    <w:rsid w:val="0078200D"/>
    <w:rsid w:val="00783169"/>
    <w:rsid w:val="00785B0C"/>
    <w:rsid w:val="00787F56"/>
    <w:rsid w:val="0079066C"/>
    <w:rsid w:val="00790EED"/>
    <w:rsid w:val="0079206B"/>
    <w:rsid w:val="007947EB"/>
    <w:rsid w:val="007949F6"/>
    <w:rsid w:val="00795D05"/>
    <w:rsid w:val="0079778C"/>
    <w:rsid w:val="0079781A"/>
    <w:rsid w:val="007A1857"/>
    <w:rsid w:val="007A43BA"/>
    <w:rsid w:val="007A5207"/>
    <w:rsid w:val="007A6D36"/>
    <w:rsid w:val="007A7E21"/>
    <w:rsid w:val="007B10CF"/>
    <w:rsid w:val="007B3A98"/>
    <w:rsid w:val="007B5656"/>
    <w:rsid w:val="007C0BC4"/>
    <w:rsid w:val="007C1276"/>
    <w:rsid w:val="007C4044"/>
    <w:rsid w:val="007C4488"/>
    <w:rsid w:val="007C68B6"/>
    <w:rsid w:val="007D2161"/>
    <w:rsid w:val="007D24C3"/>
    <w:rsid w:val="007D355C"/>
    <w:rsid w:val="007D6336"/>
    <w:rsid w:val="007D635B"/>
    <w:rsid w:val="007F0155"/>
    <w:rsid w:val="007F028E"/>
    <w:rsid w:val="007F0339"/>
    <w:rsid w:val="007F145E"/>
    <w:rsid w:val="007F2123"/>
    <w:rsid w:val="007F3865"/>
    <w:rsid w:val="007F5F45"/>
    <w:rsid w:val="007F670A"/>
    <w:rsid w:val="0080052F"/>
    <w:rsid w:val="00801789"/>
    <w:rsid w:val="00802241"/>
    <w:rsid w:val="0080386A"/>
    <w:rsid w:val="00807842"/>
    <w:rsid w:val="00810727"/>
    <w:rsid w:val="00810C58"/>
    <w:rsid w:val="0081209B"/>
    <w:rsid w:val="00821195"/>
    <w:rsid w:val="008214EB"/>
    <w:rsid w:val="00822F84"/>
    <w:rsid w:val="00823EFD"/>
    <w:rsid w:val="008247D1"/>
    <w:rsid w:val="00824C07"/>
    <w:rsid w:val="00825A4A"/>
    <w:rsid w:val="00826B02"/>
    <w:rsid w:val="00827E2D"/>
    <w:rsid w:val="00831286"/>
    <w:rsid w:val="00831C4E"/>
    <w:rsid w:val="00831ED3"/>
    <w:rsid w:val="00833B7E"/>
    <w:rsid w:val="0083490A"/>
    <w:rsid w:val="0083650A"/>
    <w:rsid w:val="008369EC"/>
    <w:rsid w:val="00843E85"/>
    <w:rsid w:val="00845EAB"/>
    <w:rsid w:val="0084606E"/>
    <w:rsid w:val="00846447"/>
    <w:rsid w:val="00847BBC"/>
    <w:rsid w:val="0085170E"/>
    <w:rsid w:val="00852B79"/>
    <w:rsid w:val="0085443C"/>
    <w:rsid w:val="00855F59"/>
    <w:rsid w:val="008606EB"/>
    <w:rsid w:val="00861687"/>
    <w:rsid w:val="00861E89"/>
    <w:rsid w:val="00862033"/>
    <w:rsid w:val="00863038"/>
    <w:rsid w:val="008716C5"/>
    <w:rsid w:val="00871CD9"/>
    <w:rsid w:val="00872896"/>
    <w:rsid w:val="008730BF"/>
    <w:rsid w:val="008737FF"/>
    <w:rsid w:val="00874868"/>
    <w:rsid w:val="00876684"/>
    <w:rsid w:val="00876F3A"/>
    <w:rsid w:val="00877F04"/>
    <w:rsid w:val="008807B5"/>
    <w:rsid w:val="00883A80"/>
    <w:rsid w:val="00884766"/>
    <w:rsid w:val="00884BC1"/>
    <w:rsid w:val="0088626F"/>
    <w:rsid w:val="008879E5"/>
    <w:rsid w:val="0089059C"/>
    <w:rsid w:val="00890E05"/>
    <w:rsid w:val="00892FC5"/>
    <w:rsid w:val="008937A4"/>
    <w:rsid w:val="00895804"/>
    <w:rsid w:val="00896F85"/>
    <w:rsid w:val="00897C74"/>
    <w:rsid w:val="008A0D3C"/>
    <w:rsid w:val="008A1B1E"/>
    <w:rsid w:val="008A49C3"/>
    <w:rsid w:val="008A603C"/>
    <w:rsid w:val="008A634F"/>
    <w:rsid w:val="008B21A5"/>
    <w:rsid w:val="008B2655"/>
    <w:rsid w:val="008B2ABF"/>
    <w:rsid w:val="008B619D"/>
    <w:rsid w:val="008B6593"/>
    <w:rsid w:val="008C0048"/>
    <w:rsid w:val="008C017B"/>
    <w:rsid w:val="008C1B19"/>
    <w:rsid w:val="008C1D47"/>
    <w:rsid w:val="008C3558"/>
    <w:rsid w:val="008C6031"/>
    <w:rsid w:val="008C7057"/>
    <w:rsid w:val="008D307E"/>
    <w:rsid w:val="008D516F"/>
    <w:rsid w:val="008D77C5"/>
    <w:rsid w:val="008D7C70"/>
    <w:rsid w:val="008E5F9C"/>
    <w:rsid w:val="008E7262"/>
    <w:rsid w:val="008F041B"/>
    <w:rsid w:val="008F121D"/>
    <w:rsid w:val="008F1ED6"/>
    <w:rsid w:val="008F26D9"/>
    <w:rsid w:val="008F31FE"/>
    <w:rsid w:val="008F5145"/>
    <w:rsid w:val="008F7A17"/>
    <w:rsid w:val="0090278C"/>
    <w:rsid w:val="0090288B"/>
    <w:rsid w:val="00902A7D"/>
    <w:rsid w:val="00904189"/>
    <w:rsid w:val="0090645E"/>
    <w:rsid w:val="00910B32"/>
    <w:rsid w:val="009114DF"/>
    <w:rsid w:val="00912286"/>
    <w:rsid w:val="009122C2"/>
    <w:rsid w:val="00912A2D"/>
    <w:rsid w:val="00914028"/>
    <w:rsid w:val="009165A1"/>
    <w:rsid w:val="009223D9"/>
    <w:rsid w:val="00922B5B"/>
    <w:rsid w:val="00925B34"/>
    <w:rsid w:val="009303CF"/>
    <w:rsid w:val="009310B0"/>
    <w:rsid w:val="00931A41"/>
    <w:rsid w:val="00932F89"/>
    <w:rsid w:val="009350B9"/>
    <w:rsid w:val="0093510B"/>
    <w:rsid w:val="00935BC8"/>
    <w:rsid w:val="00940D53"/>
    <w:rsid w:val="0094285D"/>
    <w:rsid w:val="00944C76"/>
    <w:rsid w:val="00947FCD"/>
    <w:rsid w:val="0095026E"/>
    <w:rsid w:val="009516CA"/>
    <w:rsid w:val="00960FF7"/>
    <w:rsid w:val="00963D2C"/>
    <w:rsid w:val="00964AB4"/>
    <w:rsid w:val="00965509"/>
    <w:rsid w:val="00966006"/>
    <w:rsid w:val="00971C28"/>
    <w:rsid w:val="00972579"/>
    <w:rsid w:val="00973E3D"/>
    <w:rsid w:val="009741F3"/>
    <w:rsid w:val="00975522"/>
    <w:rsid w:val="00976A27"/>
    <w:rsid w:val="00976D0A"/>
    <w:rsid w:val="0098029D"/>
    <w:rsid w:val="009806B1"/>
    <w:rsid w:val="0098093D"/>
    <w:rsid w:val="00984B2E"/>
    <w:rsid w:val="009863A9"/>
    <w:rsid w:val="009864C7"/>
    <w:rsid w:val="00986A3B"/>
    <w:rsid w:val="00986D01"/>
    <w:rsid w:val="00987346"/>
    <w:rsid w:val="00987416"/>
    <w:rsid w:val="00991B38"/>
    <w:rsid w:val="009924CA"/>
    <w:rsid w:val="009949AE"/>
    <w:rsid w:val="00996685"/>
    <w:rsid w:val="00997A7D"/>
    <w:rsid w:val="009A103F"/>
    <w:rsid w:val="009A18DD"/>
    <w:rsid w:val="009A1B33"/>
    <w:rsid w:val="009A4157"/>
    <w:rsid w:val="009A4DB5"/>
    <w:rsid w:val="009A5030"/>
    <w:rsid w:val="009A50E1"/>
    <w:rsid w:val="009A56EF"/>
    <w:rsid w:val="009A65C5"/>
    <w:rsid w:val="009A7161"/>
    <w:rsid w:val="009B063C"/>
    <w:rsid w:val="009B0BC4"/>
    <w:rsid w:val="009B0E43"/>
    <w:rsid w:val="009B1776"/>
    <w:rsid w:val="009B3681"/>
    <w:rsid w:val="009B3A9E"/>
    <w:rsid w:val="009B61C8"/>
    <w:rsid w:val="009B772A"/>
    <w:rsid w:val="009C17B0"/>
    <w:rsid w:val="009C1852"/>
    <w:rsid w:val="009C3CB6"/>
    <w:rsid w:val="009C4FED"/>
    <w:rsid w:val="009D0BDF"/>
    <w:rsid w:val="009D2229"/>
    <w:rsid w:val="009D334E"/>
    <w:rsid w:val="009D4596"/>
    <w:rsid w:val="009E4A7D"/>
    <w:rsid w:val="009E56D2"/>
    <w:rsid w:val="009E6E33"/>
    <w:rsid w:val="009E6EAE"/>
    <w:rsid w:val="009E7115"/>
    <w:rsid w:val="009E7228"/>
    <w:rsid w:val="009E7525"/>
    <w:rsid w:val="009E7581"/>
    <w:rsid w:val="009E7694"/>
    <w:rsid w:val="009F07B7"/>
    <w:rsid w:val="009F5258"/>
    <w:rsid w:val="009F560F"/>
    <w:rsid w:val="009F614F"/>
    <w:rsid w:val="00A0016D"/>
    <w:rsid w:val="00A03473"/>
    <w:rsid w:val="00A04528"/>
    <w:rsid w:val="00A04937"/>
    <w:rsid w:val="00A07E14"/>
    <w:rsid w:val="00A1119F"/>
    <w:rsid w:val="00A1122A"/>
    <w:rsid w:val="00A134CA"/>
    <w:rsid w:val="00A151C3"/>
    <w:rsid w:val="00A16B0B"/>
    <w:rsid w:val="00A176B0"/>
    <w:rsid w:val="00A23B8D"/>
    <w:rsid w:val="00A32078"/>
    <w:rsid w:val="00A34DD3"/>
    <w:rsid w:val="00A362C6"/>
    <w:rsid w:val="00A362ED"/>
    <w:rsid w:val="00A420D2"/>
    <w:rsid w:val="00A435B5"/>
    <w:rsid w:val="00A4384D"/>
    <w:rsid w:val="00A45909"/>
    <w:rsid w:val="00A45AE5"/>
    <w:rsid w:val="00A47AD6"/>
    <w:rsid w:val="00A5001F"/>
    <w:rsid w:val="00A517CF"/>
    <w:rsid w:val="00A53393"/>
    <w:rsid w:val="00A578A3"/>
    <w:rsid w:val="00A57EDF"/>
    <w:rsid w:val="00A600A6"/>
    <w:rsid w:val="00A612F7"/>
    <w:rsid w:val="00A6449D"/>
    <w:rsid w:val="00A64E2F"/>
    <w:rsid w:val="00A669F1"/>
    <w:rsid w:val="00A66C52"/>
    <w:rsid w:val="00A66C71"/>
    <w:rsid w:val="00A71807"/>
    <w:rsid w:val="00A73D3E"/>
    <w:rsid w:val="00A7504E"/>
    <w:rsid w:val="00A77E8B"/>
    <w:rsid w:val="00A817B1"/>
    <w:rsid w:val="00A81990"/>
    <w:rsid w:val="00A85C7C"/>
    <w:rsid w:val="00A8638A"/>
    <w:rsid w:val="00A87921"/>
    <w:rsid w:val="00A87F15"/>
    <w:rsid w:val="00A94175"/>
    <w:rsid w:val="00A95735"/>
    <w:rsid w:val="00A9619C"/>
    <w:rsid w:val="00A969E3"/>
    <w:rsid w:val="00A97879"/>
    <w:rsid w:val="00AA0BBF"/>
    <w:rsid w:val="00AA1576"/>
    <w:rsid w:val="00AA1FD3"/>
    <w:rsid w:val="00AA2363"/>
    <w:rsid w:val="00AA308F"/>
    <w:rsid w:val="00AA3FA5"/>
    <w:rsid w:val="00AA4A07"/>
    <w:rsid w:val="00AA58FF"/>
    <w:rsid w:val="00AA632E"/>
    <w:rsid w:val="00AB0D59"/>
    <w:rsid w:val="00AB1473"/>
    <w:rsid w:val="00AB236F"/>
    <w:rsid w:val="00AC14A5"/>
    <w:rsid w:val="00AC2CB2"/>
    <w:rsid w:val="00AC5947"/>
    <w:rsid w:val="00AC6F91"/>
    <w:rsid w:val="00AC7E20"/>
    <w:rsid w:val="00AD0B13"/>
    <w:rsid w:val="00AD37F7"/>
    <w:rsid w:val="00AD3D97"/>
    <w:rsid w:val="00AD5A35"/>
    <w:rsid w:val="00AD5E6D"/>
    <w:rsid w:val="00AD62B9"/>
    <w:rsid w:val="00AD63A7"/>
    <w:rsid w:val="00AD79A2"/>
    <w:rsid w:val="00AE086E"/>
    <w:rsid w:val="00AE1086"/>
    <w:rsid w:val="00AE5AC8"/>
    <w:rsid w:val="00AE626C"/>
    <w:rsid w:val="00AF0B0A"/>
    <w:rsid w:val="00AF26D0"/>
    <w:rsid w:val="00AF2D03"/>
    <w:rsid w:val="00AF3436"/>
    <w:rsid w:val="00AF4310"/>
    <w:rsid w:val="00AF5D0E"/>
    <w:rsid w:val="00AF7578"/>
    <w:rsid w:val="00AF7A55"/>
    <w:rsid w:val="00B05754"/>
    <w:rsid w:val="00B06277"/>
    <w:rsid w:val="00B06BE4"/>
    <w:rsid w:val="00B0700A"/>
    <w:rsid w:val="00B11172"/>
    <w:rsid w:val="00B145AC"/>
    <w:rsid w:val="00B15279"/>
    <w:rsid w:val="00B16888"/>
    <w:rsid w:val="00B16914"/>
    <w:rsid w:val="00B1719C"/>
    <w:rsid w:val="00B23386"/>
    <w:rsid w:val="00B25C64"/>
    <w:rsid w:val="00B27C38"/>
    <w:rsid w:val="00B30C90"/>
    <w:rsid w:val="00B34167"/>
    <w:rsid w:val="00B34A3B"/>
    <w:rsid w:val="00B34C41"/>
    <w:rsid w:val="00B35626"/>
    <w:rsid w:val="00B40272"/>
    <w:rsid w:val="00B41A51"/>
    <w:rsid w:val="00B43145"/>
    <w:rsid w:val="00B47CDD"/>
    <w:rsid w:val="00B50476"/>
    <w:rsid w:val="00B50BE7"/>
    <w:rsid w:val="00B53831"/>
    <w:rsid w:val="00B60941"/>
    <w:rsid w:val="00B615CE"/>
    <w:rsid w:val="00B61EAE"/>
    <w:rsid w:val="00B63531"/>
    <w:rsid w:val="00B64A5B"/>
    <w:rsid w:val="00B65019"/>
    <w:rsid w:val="00B66614"/>
    <w:rsid w:val="00B668E8"/>
    <w:rsid w:val="00B7053C"/>
    <w:rsid w:val="00B70EF1"/>
    <w:rsid w:val="00B71CDE"/>
    <w:rsid w:val="00B72250"/>
    <w:rsid w:val="00B731C3"/>
    <w:rsid w:val="00B7403A"/>
    <w:rsid w:val="00B750B2"/>
    <w:rsid w:val="00B75B2F"/>
    <w:rsid w:val="00B80063"/>
    <w:rsid w:val="00B80137"/>
    <w:rsid w:val="00B802FF"/>
    <w:rsid w:val="00B81344"/>
    <w:rsid w:val="00B82F1E"/>
    <w:rsid w:val="00B851E6"/>
    <w:rsid w:val="00B86F3F"/>
    <w:rsid w:val="00B878A7"/>
    <w:rsid w:val="00B87C9E"/>
    <w:rsid w:val="00B9046D"/>
    <w:rsid w:val="00B90899"/>
    <w:rsid w:val="00B914B5"/>
    <w:rsid w:val="00BA00B7"/>
    <w:rsid w:val="00BA0569"/>
    <w:rsid w:val="00BA1A7B"/>
    <w:rsid w:val="00BA1E28"/>
    <w:rsid w:val="00BB05A8"/>
    <w:rsid w:val="00BB1500"/>
    <w:rsid w:val="00BB1AAB"/>
    <w:rsid w:val="00BB23AE"/>
    <w:rsid w:val="00BB4CCC"/>
    <w:rsid w:val="00BB546E"/>
    <w:rsid w:val="00BC0E3A"/>
    <w:rsid w:val="00BC2D18"/>
    <w:rsid w:val="00BC4446"/>
    <w:rsid w:val="00BC53F5"/>
    <w:rsid w:val="00BD0C94"/>
    <w:rsid w:val="00BD16B3"/>
    <w:rsid w:val="00BD62B7"/>
    <w:rsid w:val="00BE2496"/>
    <w:rsid w:val="00BE38E3"/>
    <w:rsid w:val="00BE4484"/>
    <w:rsid w:val="00BE591E"/>
    <w:rsid w:val="00BE5EC8"/>
    <w:rsid w:val="00BE650A"/>
    <w:rsid w:val="00BE68D2"/>
    <w:rsid w:val="00BF1A01"/>
    <w:rsid w:val="00BF1AC4"/>
    <w:rsid w:val="00BF20D4"/>
    <w:rsid w:val="00C0284E"/>
    <w:rsid w:val="00C03B0F"/>
    <w:rsid w:val="00C03E48"/>
    <w:rsid w:val="00C07895"/>
    <w:rsid w:val="00C1042B"/>
    <w:rsid w:val="00C12FCF"/>
    <w:rsid w:val="00C149A9"/>
    <w:rsid w:val="00C157CE"/>
    <w:rsid w:val="00C15929"/>
    <w:rsid w:val="00C16B72"/>
    <w:rsid w:val="00C16E27"/>
    <w:rsid w:val="00C17DA5"/>
    <w:rsid w:val="00C270CB"/>
    <w:rsid w:val="00C27AA1"/>
    <w:rsid w:val="00C30151"/>
    <w:rsid w:val="00C31AA9"/>
    <w:rsid w:val="00C323EB"/>
    <w:rsid w:val="00C32AAA"/>
    <w:rsid w:val="00C32BAF"/>
    <w:rsid w:val="00C33528"/>
    <w:rsid w:val="00C33951"/>
    <w:rsid w:val="00C35732"/>
    <w:rsid w:val="00C40AA5"/>
    <w:rsid w:val="00C456A8"/>
    <w:rsid w:val="00C51A7C"/>
    <w:rsid w:val="00C52AA5"/>
    <w:rsid w:val="00C57F76"/>
    <w:rsid w:val="00C62564"/>
    <w:rsid w:val="00C627DA"/>
    <w:rsid w:val="00C650E9"/>
    <w:rsid w:val="00C66BAD"/>
    <w:rsid w:val="00C71C2C"/>
    <w:rsid w:val="00C75007"/>
    <w:rsid w:val="00C75525"/>
    <w:rsid w:val="00C764CC"/>
    <w:rsid w:val="00C770C0"/>
    <w:rsid w:val="00C77A3A"/>
    <w:rsid w:val="00C77CC3"/>
    <w:rsid w:val="00C84522"/>
    <w:rsid w:val="00C84962"/>
    <w:rsid w:val="00C874C2"/>
    <w:rsid w:val="00C875EE"/>
    <w:rsid w:val="00C9076F"/>
    <w:rsid w:val="00C91874"/>
    <w:rsid w:val="00C92105"/>
    <w:rsid w:val="00C92126"/>
    <w:rsid w:val="00C95AF1"/>
    <w:rsid w:val="00C96013"/>
    <w:rsid w:val="00CA2D35"/>
    <w:rsid w:val="00CA3031"/>
    <w:rsid w:val="00CA6391"/>
    <w:rsid w:val="00CA639D"/>
    <w:rsid w:val="00CA7904"/>
    <w:rsid w:val="00CB2175"/>
    <w:rsid w:val="00CB3C05"/>
    <w:rsid w:val="00CB41BD"/>
    <w:rsid w:val="00CB4291"/>
    <w:rsid w:val="00CB43BE"/>
    <w:rsid w:val="00CB5862"/>
    <w:rsid w:val="00CB5EAF"/>
    <w:rsid w:val="00CB61F8"/>
    <w:rsid w:val="00CB6630"/>
    <w:rsid w:val="00CC02C9"/>
    <w:rsid w:val="00CC0B24"/>
    <w:rsid w:val="00CC0C7C"/>
    <w:rsid w:val="00CC4CC2"/>
    <w:rsid w:val="00CC7B6F"/>
    <w:rsid w:val="00CD15A6"/>
    <w:rsid w:val="00CD1D4D"/>
    <w:rsid w:val="00CD6484"/>
    <w:rsid w:val="00CD6F48"/>
    <w:rsid w:val="00CD7582"/>
    <w:rsid w:val="00CD7CC6"/>
    <w:rsid w:val="00CE181A"/>
    <w:rsid w:val="00CE18DB"/>
    <w:rsid w:val="00CE1D25"/>
    <w:rsid w:val="00CE31CB"/>
    <w:rsid w:val="00CE458C"/>
    <w:rsid w:val="00CE61BB"/>
    <w:rsid w:val="00CE6853"/>
    <w:rsid w:val="00CE6C43"/>
    <w:rsid w:val="00CE79C7"/>
    <w:rsid w:val="00CF3418"/>
    <w:rsid w:val="00CF3E7A"/>
    <w:rsid w:val="00CF4C19"/>
    <w:rsid w:val="00CF4C43"/>
    <w:rsid w:val="00D019B6"/>
    <w:rsid w:val="00D03655"/>
    <w:rsid w:val="00D05681"/>
    <w:rsid w:val="00D05CBD"/>
    <w:rsid w:val="00D06147"/>
    <w:rsid w:val="00D061EA"/>
    <w:rsid w:val="00D068CA"/>
    <w:rsid w:val="00D07276"/>
    <w:rsid w:val="00D075A3"/>
    <w:rsid w:val="00D07834"/>
    <w:rsid w:val="00D13C61"/>
    <w:rsid w:val="00D14670"/>
    <w:rsid w:val="00D14ED6"/>
    <w:rsid w:val="00D1532D"/>
    <w:rsid w:val="00D16D80"/>
    <w:rsid w:val="00D20D70"/>
    <w:rsid w:val="00D22CE2"/>
    <w:rsid w:val="00D24493"/>
    <w:rsid w:val="00D30A18"/>
    <w:rsid w:val="00D30D74"/>
    <w:rsid w:val="00D30F47"/>
    <w:rsid w:val="00D31113"/>
    <w:rsid w:val="00D31569"/>
    <w:rsid w:val="00D3162E"/>
    <w:rsid w:val="00D320AB"/>
    <w:rsid w:val="00D33738"/>
    <w:rsid w:val="00D348A0"/>
    <w:rsid w:val="00D36D38"/>
    <w:rsid w:val="00D3704A"/>
    <w:rsid w:val="00D370D7"/>
    <w:rsid w:val="00D40AAB"/>
    <w:rsid w:val="00D4164A"/>
    <w:rsid w:val="00D42623"/>
    <w:rsid w:val="00D43383"/>
    <w:rsid w:val="00D43E18"/>
    <w:rsid w:val="00D44B37"/>
    <w:rsid w:val="00D468F6"/>
    <w:rsid w:val="00D475D1"/>
    <w:rsid w:val="00D47FE8"/>
    <w:rsid w:val="00D50804"/>
    <w:rsid w:val="00D50981"/>
    <w:rsid w:val="00D5236B"/>
    <w:rsid w:val="00D5311C"/>
    <w:rsid w:val="00D56ABC"/>
    <w:rsid w:val="00D57743"/>
    <w:rsid w:val="00D5794B"/>
    <w:rsid w:val="00D67151"/>
    <w:rsid w:val="00D67F6C"/>
    <w:rsid w:val="00D76EE6"/>
    <w:rsid w:val="00D776E8"/>
    <w:rsid w:val="00D77F74"/>
    <w:rsid w:val="00D84D73"/>
    <w:rsid w:val="00D85B7F"/>
    <w:rsid w:val="00D85E30"/>
    <w:rsid w:val="00D87EF2"/>
    <w:rsid w:val="00D90017"/>
    <w:rsid w:val="00D90A39"/>
    <w:rsid w:val="00D93AFF"/>
    <w:rsid w:val="00D944AF"/>
    <w:rsid w:val="00D95308"/>
    <w:rsid w:val="00D96499"/>
    <w:rsid w:val="00DA0DE0"/>
    <w:rsid w:val="00DA23AA"/>
    <w:rsid w:val="00DA2744"/>
    <w:rsid w:val="00DA2CD0"/>
    <w:rsid w:val="00DA3A28"/>
    <w:rsid w:val="00DA3F37"/>
    <w:rsid w:val="00DA773F"/>
    <w:rsid w:val="00DB1B5B"/>
    <w:rsid w:val="00DB1E54"/>
    <w:rsid w:val="00DB265F"/>
    <w:rsid w:val="00DB2972"/>
    <w:rsid w:val="00DB39E5"/>
    <w:rsid w:val="00DB5905"/>
    <w:rsid w:val="00DB651A"/>
    <w:rsid w:val="00DB6FAC"/>
    <w:rsid w:val="00DC0074"/>
    <w:rsid w:val="00DC088C"/>
    <w:rsid w:val="00DC0D6D"/>
    <w:rsid w:val="00DC0E69"/>
    <w:rsid w:val="00DC187F"/>
    <w:rsid w:val="00DC2A8A"/>
    <w:rsid w:val="00DC406E"/>
    <w:rsid w:val="00DC537F"/>
    <w:rsid w:val="00DC5799"/>
    <w:rsid w:val="00DC7F8D"/>
    <w:rsid w:val="00DD2151"/>
    <w:rsid w:val="00DD3110"/>
    <w:rsid w:val="00DD4F04"/>
    <w:rsid w:val="00DD533E"/>
    <w:rsid w:val="00DE0256"/>
    <w:rsid w:val="00DE582D"/>
    <w:rsid w:val="00DE71E6"/>
    <w:rsid w:val="00DF2CC6"/>
    <w:rsid w:val="00DF3DC4"/>
    <w:rsid w:val="00E0170F"/>
    <w:rsid w:val="00E074CD"/>
    <w:rsid w:val="00E07BFC"/>
    <w:rsid w:val="00E13219"/>
    <w:rsid w:val="00E13C21"/>
    <w:rsid w:val="00E155D5"/>
    <w:rsid w:val="00E16399"/>
    <w:rsid w:val="00E16416"/>
    <w:rsid w:val="00E16781"/>
    <w:rsid w:val="00E2288D"/>
    <w:rsid w:val="00E22FDB"/>
    <w:rsid w:val="00E248B6"/>
    <w:rsid w:val="00E258DC"/>
    <w:rsid w:val="00E30A0E"/>
    <w:rsid w:val="00E31255"/>
    <w:rsid w:val="00E36076"/>
    <w:rsid w:val="00E4130C"/>
    <w:rsid w:val="00E42416"/>
    <w:rsid w:val="00E430B6"/>
    <w:rsid w:val="00E44679"/>
    <w:rsid w:val="00E46584"/>
    <w:rsid w:val="00E46B94"/>
    <w:rsid w:val="00E46F3E"/>
    <w:rsid w:val="00E47B3E"/>
    <w:rsid w:val="00E514AB"/>
    <w:rsid w:val="00E52752"/>
    <w:rsid w:val="00E53DE0"/>
    <w:rsid w:val="00E54D77"/>
    <w:rsid w:val="00E56FA1"/>
    <w:rsid w:val="00E60889"/>
    <w:rsid w:val="00E613FF"/>
    <w:rsid w:val="00E61E00"/>
    <w:rsid w:val="00E62223"/>
    <w:rsid w:val="00E6499B"/>
    <w:rsid w:val="00E64AF5"/>
    <w:rsid w:val="00E67BF7"/>
    <w:rsid w:val="00E715E4"/>
    <w:rsid w:val="00E71C67"/>
    <w:rsid w:val="00E724ED"/>
    <w:rsid w:val="00E81A07"/>
    <w:rsid w:val="00E82EA1"/>
    <w:rsid w:val="00E847F7"/>
    <w:rsid w:val="00E853E2"/>
    <w:rsid w:val="00E863EB"/>
    <w:rsid w:val="00E8731C"/>
    <w:rsid w:val="00E87A86"/>
    <w:rsid w:val="00E87F08"/>
    <w:rsid w:val="00E912B1"/>
    <w:rsid w:val="00E937A1"/>
    <w:rsid w:val="00EA4543"/>
    <w:rsid w:val="00EA5A96"/>
    <w:rsid w:val="00EB018B"/>
    <w:rsid w:val="00EB11D8"/>
    <w:rsid w:val="00EB1829"/>
    <w:rsid w:val="00EC00EE"/>
    <w:rsid w:val="00EC208E"/>
    <w:rsid w:val="00EC3E48"/>
    <w:rsid w:val="00EC4999"/>
    <w:rsid w:val="00EC54DD"/>
    <w:rsid w:val="00ED1815"/>
    <w:rsid w:val="00ED2545"/>
    <w:rsid w:val="00ED3E03"/>
    <w:rsid w:val="00EE58BB"/>
    <w:rsid w:val="00EE6708"/>
    <w:rsid w:val="00EF1EA0"/>
    <w:rsid w:val="00EF32B1"/>
    <w:rsid w:val="00EF409F"/>
    <w:rsid w:val="00EF64B4"/>
    <w:rsid w:val="00EF6CBE"/>
    <w:rsid w:val="00EF7F16"/>
    <w:rsid w:val="00F00FE1"/>
    <w:rsid w:val="00F02E7C"/>
    <w:rsid w:val="00F032E7"/>
    <w:rsid w:val="00F0345F"/>
    <w:rsid w:val="00F03FAB"/>
    <w:rsid w:val="00F04E08"/>
    <w:rsid w:val="00F07936"/>
    <w:rsid w:val="00F122EA"/>
    <w:rsid w:val="00F122FA"/>
    <w:rsid w:val="00F154F6"/>
    <w:rsid w:val="00F16F44"/>
    <w:rsid w:val="00F179B8"/>
    <w:rsid w:val="00F22361"/>
    <w:rsid w:val="00F23D15"/>
    <w:rsid w:val="00F255F5"/>
    <w:rsid w:val="00F256AC"/>
    <w:rsid w:val="00F278C0"/>
    <w:rsid w:val="00F303B6"/>
    <w:rsid w:val="00F30424"/>
    <w:rsid w:val="00F34298"/>
    <w:rsid w:val="00F34664"/>
    <w:rsid w:val="00F35E68"/>
    <w:rsid w:val="00F4065B"/>
    <w:rsid w:val="00F40948"/>
    <w:rsid w:val="00F40ADA"/>
    <w:rsid w:val="00F40BD9"/>
    <w:rsid w:val="00F43351"/>
    <w:rsid w:val="00F44573"/>
    <w:rsid w:val="00F45E78"/>
    <w:rsid w:val="00F46A91"/>
    <w:rsid w:val="00F53E98"/>
    <w:rsid w:val="00F55DDB"/>
    <w:rsid w:val="00F57A59"/>
    <w:rsid w:val="00F61336"/>
    <w:rsid w:val="00F61A8E"/>
    <w:rsid w:val="00F6248D"/>
    <w:rsid w:val="00F651B1"/>
    <w:rsid w:val="00F658C3"/>
    <w:rsid w:val="00F72106"/>
    <w:rsid w:val="00F72A39"/>
    <w:rsid w:val="00F73530"/>
    <w:rsid w:val="00F7455E"/>
    <w:rsid w:val="00F745DF"/>
    <w:rsid w:val="00F7496C"/>
    <w:rsid w:val="00F76C7A"/>
    <w:rsid w:val="00F80132"/>
    <w:rsid w:val="00F804F3"/>
    <w:rsid w:val="00F82953"/>
    <w:rsid w:val="00F83DCF"/>
    <w:rsid w:val="00F84FD3"/>
    <w:rsid w:val="00F85C3E"/>
    <w:rsid w:val="00F87F00"/>
    <w:rsid w:val="00F901F5"/>
    <w:rsid w:val="00F91E7D"/>
    <w:rsid w:val="00F92360"/>
    <w:rsid w:val="00F93124"/>
    <w:rsid w:val="00F96E69"/>
    <w:rsid w:val="00F972EE"/>
    <w:rsid w:val="00FA3010"/>
    <w:rsid w:val="00FA396B"/>
    <w:rsid w:val="00FA5E63"/>
    <w:rsid w:val="00FA60FD"/>
    <w:rsid w:val="00FA7288"/>
    <w:rsid w:val="00FA7B29"/>
    <w:rsid w:val="00FB1A92"/>
    <w:rsid w:val="00FB1FDE"/>
    <w:rsid w:val="00FB2896"/>
    <w:rsid w:val="00FB3068"/>
    <w:rsid w:val="00FB393E"/>
    <w:rsid w:val="00FC0100"/>
    <w:rsid w:val="00FC04C1"/>
    <w:rsid w:val="00FC184A"/>
    <w:rsid w:val="00FC21B5"/>
    <w:rsid w:val="00FC3528"/>
    <w:rsid w:val="00FC64CD"/>
    <w:rsid w:val="00FC70F3"/>
    <w:rsid w:val="00FC734D"/>
    <w:rsid w:val="00FD1ECF"/>
    <w:rsid w:val="00FD207D"/>
    <w:rsid w:val="00FD31C5"/>
    <w:rsid w:val="00FD590E"/>
    <w:rsid w:val="00FD64A7"/>
    <w:rsid w:val="00FE192D"/>
    <w:rsid w:val="00FE2477"/>
    <w:rsid w:val="00FE55FD"/>
    <w:rsid w:val="00FE6E24"/>
    <w:rsid w:val="00FE708C"/>
    <w:rsid w:val="00FE76A1"/>
    <w:rsid w:val="00FF2464"/>
    <w:rsid w:val="00FF5621"/>
    <w:rsid w:val="00FF570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9C9C0"/>
  <w15:docId w15:val="{04D2975A-02E0-42E6-BBF0-7383BC20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AU" w:eastAsia="en-US" w:bidi="ar-SA"/>
      </w:rPr>
    </w:rPrDefault>
    <w:pPrDefault/>
  </w:docDefaults>
  <w:latentStyles w:defLockedState="1" w:defUIPriority="99" w:defSemiHidden="0" w:defUnhideWhenUsed="0" w:defQFormat="0" w:count="376">
    <w:lsdException w:name="Normal" w:locked="0" w:uiPriority="0"/>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uiPriority="0"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rsid w:val="00401DFB"/>
  </w:style>
  <w:style w:type="paragraph" w:styleId="Heading1">
    <w:name w:val="heading 1"/>
    <w:basedOn w:val="Normal"/>
    <w:next w:val="BodyText"/>
    <w:link w:val="Heading1Char"/>
    <w:uiPriority w:val="1"/>
    <w:qFormat/>
    <w:rsid w:val="009D2229"/>
    <w:pPr>
      <w:widowControl w:val="0"/>
      <w:numPr>
        <w:numId w:val="16"/>
      </w:numPr>
      <w:spacing w:after="240"/>
      <w:ind w:left="567" w:hanging="567"/>
      <w:outlineLvl w:val="0"/>
    </w:pPr>
    <w:rPr>
      <w:rFonts w:eastAsiaTheme="majorEastAsia" w:cstheme="majorBidi"/>
      <w:b/>
      <w:color w:val="37378B" w:themeColor="accent1" w:themeShade="BF"/>
      <w:sz w:val="28"/>
    </w:rPr>
  </w:style>
  <w:style w:type="paragraph" w:styleId="Heading2">
    <w:name w:val="heading 2"/>
    <w:basedOn w:val="Heading1"/>
    <w:next w:val="BodyText"/>
    <w:link w:val="Heading2Char"/>
    <w:uiPriority w:val="3"/>
    <w:qFormat/>
    <w:rsid w:val="00E430B6"/>
    <w:pPr>
      <w:numPr>
        <w:ilvl w:val="1"/>
      </w:numPr>
      <w:outlineLvl w:val="1"/>
    </w:pPr>
    <w:rPr>
      <w:color w:val="4D4DB8"/>
      <w:szCs w:val="26"/>
      <w14:textFill>
        <w14:solidFill>
          <w14:srgbClr w14:val="4D4DB8">
            <w14:lumMod w14:val="75000"/>
          </w14:srgbClr>
        </w14:solidFill>
      </w14:textFill>
    </w:rPr>
  </w:style>
  <w:style w:type="paragraph" w:styleId="Heading3">
    <w:name w:val="heading 3"/>
    <w:basedOn w:val="Heading2"/>
    <w:next w:val="BodyText"/>
    <w:link w:val="Heading3Char"/>
    <w:uiPriority w:val="5"/>
    <w:qFormat/>
    <w:rsid w:val="00E430B6"/>
    <w:pPr>
      <w:numPr>
        <w:ilvl w:val="2"/>
      </w:numPr>
      <w:spacing w:after="120"/>
      <w:outlineLvl w:val="2"/>
    </w:pPr>
    <w:rPr>
      <w:sz w:val="24"/>
    </w:rPr>
  </w:style>
  <w:style w:type="paragraph" w:styleId="Heading4">
    <w:name w:val="heading 4"/>
    <w:basedOn w:val="Heading3"/>
    <w:next w:val="Normal"/>
    <w:link w:val="Heading4Char"/>
    <w:uiPriority w:val="99"/>
    <w:semiHidden/>
    <w:locked/>
    <w:rsid w:val="002D5EC9"/>
    <w:pPr>
      <w:keepNext/>
      <w:keepLines/>
      <w:numPr>
        <w:ilvl w:val="3"/>
      </w:numPr>
      <w:spacing w:before="40" w:after="0"/>
      <w:outlineLvl w:val="3"/>
    </w:pPr>
    <w:rPr>
      <w:i/>
      <w:iCs/>
    </w:rPr>
  </w:style>
  <w:style w:type="paragraph" w:styleId="Heading5">
    <w:name w:val="heading 5"/>
    <w:basedOn w:val="Heading4"/>
    <w:next w:val="Normal"/>
    <w:link w:val="Heading5Char"/>
    <w:uiPriority w:val="99"/>
    <w:semiHidden/>
    <w:locked/>
    <w:rsid w:val="002D5EC9"/>
    <w:pPr>
      <w:numPr>
        <w:ilvl w:val="4"/>
      </w:numPr>
      <w:outlineLvl w:val="4"/>
    </w:pPr>
    <w:rPr>
      <w:i w:val="0"/>
      <w:sz w:val="20"/>
    </w:rPr>
  </w:style>
  <w:style w:type="paragraph" w:styleId="Heading6">
    <w:name w:val="heading 6"/>
    <w:basedOn w:val="Heading5"/>
    <w:next w:val="Normal"/>
    <w:link w:val="Heading6Char"/>
    <w:uiPriority w:val="99"/>
    <w:semiHidden/>
    <w:locked/>
    <w:rsid w:val="002D5EC9"/>
    <w:pPr>
      <w:numPr>
        <w:ilvl w:val="5"/>
      </w:numPr>
      <w:outlineLvl w:val="5"/>
    </w:pPr>
    <w:rPr>
      <w:i/>
    </w:rPr>
  </w:style>
  <w:style w:type="paragraph" w:styleId="Heading7">
    <w:name w:val="heading 7"/>
    <w:basedOn w:val="Heading6"/>
    <w:next w:val="Normal"/>
    <w:link w:val="Heading7Char"/>
    <w:uiPriority w:val="99"/>
    <w:semiHidden/>
    <w:locked/>
    <w:rsid w:val="002D5EC9"/>
    <w:pPr>
      <w:numPr>
        <w:ilvl w:val="6"/>
      </w:numPr>
      <w:outlineLvl w:val="6"/>
    </w:pPr>
    <w:rPr>
      <w:i w:val="0"/>
      <w:iCs w:val="0"/>
    </w:rPr>
  </w:style>
  <w:style w:type="paragraph" w:styleId="Heading8">
    <w:name w:val="heading 8"/>
    <w:basedOn w:val="Heading7"/>
    <w:next w:val="Normal"/>
    <w:link w:val="Heading8Char"/>
    <w:uiPriority w:val="99"/>
    <w:semiHidden/>
    <w:locked/>
    <w:rsid w:val="002D5EC9"/>
    <w:pPr>
      <w:numPr>
        <w:ilvl w:val="7"/>
      </w:numPr>
      <w:outlineLvl w:val="7"/>
    </w:pPr>
    <w:rPr>
      <w:b w:val="0"/>
      <w:szCs w:val="21"/>
    </w:rPr>
  </w:style>
  <w:style w:type="paragraph" w:styleId="Heading9">
    <w:name w:val="heading 9"/>
    <w:basedOn w:val="Heading8"/>
    <w:next w:val="Normal"/>
    <w:link w:val="Heading9Char"/>
    <w:uiPriority w:val="99"/>
    <w:semiHidden/>
    <w:locked/>
    <w:rsid w:val="002D5EC9"/>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locked/>
    <w:rsid w:val="00547C1A"/>
    <w:pPr>
      <w:tabs>
        <w:tab w:val="center" w:pos="4513"/>
        <w:tab w:val="right" w:pos="9026"/>
      </w:tabs>
    </w:pPr>
  </w:style>
  <w:style w:type="character" w:customStyle="1" w:styleId="HeaderChar">
    <w:name w:val="Header Char"/>
    <w:basedOn w:val="DefaultParagraphFont"/>
    <w:link w:val="Header"/>
    <w:uiPriority w:val="99"/>
    <w:semiHidden/>
    <w:rsid w:val="00A7504E"/>
    <w:rPr>
      <w:rFonts w:ascii="Calibri" w:hAnsi="Calibri"/>
    </w:rPr>
  </w:style>
  <w:style w:type="paragraph" w:styleId="Footer">
    <w:name w:val="footer"/>
    <w:basedOn w:val="Normal"/>
    <w:link w:val="FooterChar"/>
    <w:uiPriority w:val="99"/>
    <w:locked/>
    <w:rsid w:val="0060601B"/>
    <w:pPr>
      <w:pBdr>
        <w:top w:val="single" w:sz="8" w:space="6" w:color="7F7F7F" w:themeColor="text1" w:themeTint="80"/>
      </w:pBdr>
      <w:tabs>
        <w:tab w:val="right" w:pos="9072"/>
      </w:tabs>
      <w:spacing w:after="60"/>
    </w:pPr>
    <w:rPr>
      <w:rFonts w:ascii="Arial" w:hAnsi="Arial"/>
      <w:color w:val="7F7F7F"/>
      <w:sz w:val="16"/>
    </w:rPr>
  </w:style>
  <w:style w:type="character" w:customStyle="1" w:styleId="FooterChar">
    <w:name w:val="Footer Char"/>
    <w:basedOn w:val="DefaultParagraphFont"/>
    <w:link w:val="Footer"/>
    <w:uiPriority w:val="99"/>
    <w:rsid w:val="00A7504E"/>
    <w:rPr>
      <w:rFonts w:ascii="Arial" w:hAnsi="Arial"/>
      <w:color w:val="7F7F7F"/>
      <w:sz w:val="16"/>
    </w:rPr>
  </w:style>
  <w:style w:type="table" w:styleId="TableGrid">
    <w:name w:val="Table Grid"/>
    <w:basedOn w:val="TableNormal"/>
    <w:uiPriority w:val="39"/>
    <w:locked/>
    <w:rsid w:val="003E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Date"/>
    <w:link w:val="TitleChar"/>
    <w:uiPriority w:val="99"/>
    <w:semiHidden/>
    <w:qFormat/>
    <w:locked/>
    <w:rsid w:val="00FB3068"/>
    <w:pPr>
      <w:spacing w:line="760" w:lineRule="atLeast"/>
      <w:contextualSpacing/>
    </w:pPr>
    <w:rPr>
      <w:rFonts w:eastAsiaTheme="majorEastAsia" w:cstheme="majorBidi"/>
      <w:b/>
      <w:color w:val="000099"/>
      <w:spacing w:val="-10"/>
      <w:kern w:val="28"/>
      <w:sz w:val="80"/>
      <w:szCs w:val="56"/>
    </w:rPr>
  </w:style>
  <w:style w:type="character" w:customStyle="1" w:styleId="TitleChar">
    <w:name w:val="Title Char"/>
    <w:basedOn w:val="DefaultParagraphFont"/>
    <w:link w:val="Title"/>
    <w:uiPriority w:val="99"/>
    <w:semiHidden/>
    <w:rsid w:val="00A7504E"/>
    <w:rPr>
      <w:rFonts w:ascii="Calibri" w:eastAsiaTheme="majorEastAsia" w:hAnsi="Calibri" w:cstheme="majorBidi"/>
      <w:b/>
      <w:color w:val="000099"/>
      <w:spacing w:val="-10"/>
      <w:kern w:val="28"/>
      <w:sz w:val="80"/>
      <w:szCs w:val="56"/>
    </w:rPr>
  </w:style>
  <w:style w:type="paragraph" w:styleId="Subtitle">
    <w:name w:val="Subtitle"/>
    <w:basedOn w:val="Normal"/>
    <w:next w:val="Title"/>
    <w:link w:val="SubtitleChar"/>
    <w:uiPriority w:val="99"/>
    <w:semiHidden/>
    <w:qFormat/>
    <w:locked/>
    <w:rsid w:val="00FB3068"/>
    <w:pPr>
      <w:numPr>
        <w:ilvl w:val="1"/>
      </w:numPr>
    </w:pPr>
    <w:rPr>
      <w:rFonts w:eastAsiaTheme="minorEastAsia"/>
      <w:color w:val="7F7F7F"/>
      <w:spacing w:val="15"/>
      <w:sz w:val="36"/>
    </w:rPr>
  </w:style>
  <w:style w:type="character" w:customStyle="1" w:styleId="SubtitleChar">
    <w:name w:val="Subtitle Char"/>
    <w:basedOn w:val="DefaultParagraphFont"/>
    <w:link w:val="Subtitle"/>
    <w:uiPriority w:val="99"/>
    <w:semiHidden/>
    <w:rsid w:val="00A7504E"/>
    <w:rPr>
      <w:rFonts w:ascii="Calibri" w:eastAsiaTheme="minorEastAsia" w:hAnsi="Calibri"/>
      <w:color w:val="7F7F7F"/>
      <w:spacing w:val="15"/>
      <w:sz w:val="36"/>
    </w:rPr>
  </w:style>
  <w:style w:type="character" w:styleId="PageNumber">
    <w:name w:val="page number"/>
    <w:basedOn w:val="DefaultParagraphFont"/>
    <w:uiPriority w:val="99"/>
    <w:locked/>
    <w:rsid w:val="00FB3068"/>
    <w:rPr>
      <w:rFonts w:ascii="Calibri" w:hAnsi="Calibri"/>
      <w:b/>
      <w:noProof w:val="0"/>
      <w:color w:val="4D4DB8" w:themeColor="accent1"/>
      <w:sz w:val="20"/>
      <w:lang w:val="en-AU"/>
    </w:rPr>
  </w:style>
  <w:style w:type="character" w:styleId="Hyperlink">
    <w:name w:val="Hyperlink"/>
    <w:basedOn w:val="SmartHyperlink1"/>
    <w:uiPriority w:val="99"/>
    <w:semiHidden/>
    <w:qFormat/>
    <w:locked/>
    <w:rsid w:val="00B72250"/>
    <w:rPr>
      <w:rFonts w:ascii="Calibri" w:hAnsi="Calibri"/>
      <w:i/>
      <w:color w:val="0000FF"/>
      <w:sz w:val="22"/>
      <w:u w:val="single"/>
    </w:rPr>
  </w:style>
  <w:style w:type="paragraph" w:styleId="FootnoteText">
    <w:name w:val="footnote text"/>
    <w:basedOn w:val="Normal"/>
    <w:link w:val="FootnoteTextChar"/>
    <w:uiPriority w:val="99"/>
    <w:semiHidden/>
    <w:qFormat/>
    <w:locked/>
    <w:rsid w:val="0033455F"/>
    <w:pPr>
      <w:spacing w:after="60"/>
    </w:pPr>
    <w:rPr>
      <w:rFonts w:eastAsia="Times New Roman" w:cs="Arial"/>
      <w:sz w:val="18"/>
      <w:szCs w:val="18"/>
    </w:rPr>
  </w:style>
  <w:style w:type="character" w:customStyle="1" w:styleId="FootnoteTextChar">
    <w:name w:val="Footnote Text Char"/>
    <w:basedOn w:val="DefaultParagraphFont"/>
    <w:link w:val="FootnoteText"/>
    <w:uiPriority w:val="99"/>
    <w:semiHidden/>
    <w:rsid w:val="00A7504E"/>
    <w:rPr>
      <w:rFonts w:ascii="Calibri" w:eastAsia="Times New Roman" w:hAnsi="Calibri" w:cs="Arial"/>
      <w:sz w:val="18"/>
      <w:szCs w:val="18"/>
    </w:rPr>
  </w:style>
  <w:style w:type="paragraph" w:styleId="Date">
    <w:name w:val="Date"/>
    <w:basedOn w:val="Subtitle"/>
    <w:next w:val="Normal"/>
    <w:link w:val="DateChar"/>
    <w:uiPriority w:val="99"/>
    <w:semiHidden/>
    <w:locked/>
    <w:rsid w:val="00FB3068"/>
    <w:rPr>
      <w:caps/>
      <w:sz w:val="24"/>
      <w:szCs w:val="24"/>
    </w:rPr>
  </w:style>
  <w:style w:type="character" w:customStyle="1" w:styleId="DateChar">
    <w:name w:val="Date Char"/>
    <w:basedOn w:val="DefaultParagraphFont"/>
    <w:link w:val="Date"/>
    <w:uiPriority w:val="99"/>
    <w:semiHidden/>
    <w:rsid w:val="00A7504E"/>
    <w:rPr>
      <w:rFonts w:ascii="Calibri" w:eastAsiaTheme="minorEastAsia" w:hAnsi="Calibri"/>
      <w:caps/>
      <w:color w:val="7F7F7F"/>
      <w:spacing w:val="15"/>
      <w:sz w:val="24"/>
      <w:szCs w:val="24"/>
    </w:rPr>
  </w:style>
  <w:style w:type="paragraph" w:customStyle="1" w:styleId="Disclaimer">
    <w:name w:val="Disclaimer"/>
    <w:basedOn w:val="FootnoteText"/>
    <w:uiPriority w:val="99"/>
    <w:semiHidden/>
    <w:locked/>
    <w:rsid w:val="00FB3068"/>
    <w:pPr>
      <w:spacing w:after="120"/>
    </w:pPr>
  </w:style>
  <w:style w:type="paragraph" w:customStyle="1" w:styleId="Address">
    <w:name w:val="Address"/>
    <w:basedOn w:val="Normal"/>
    <w:uiPriority w:val="99"/>
    <w:semiHidden/>
    <w:locked/>
    <w:rsid w:val="00FB3068"/>
    <w:rPr>
      <w:color w:val="7F7F7F"/>
      <w:sz w:val="18"/>
    </w:rPr>
  </w:style>
  <w:style w:type="character" w:customStyle="1" w:styleId="Heading1Char">
    <w:name w:val="Heading 1 Char"/>
    <w:basedOn w:val="DefaultParagraphFont"/>
    <w:link w:val="Heading1"/>
    <w:uiPriority w:val="1"/>
    <w:rsid w:val="009D2229"/>
    <w:rPr>
      <w:rFonts w:eastAsiaTheme="majorEastAsia" w:cstheme="majorBidi"/>
      <w:b/>
      <w:color w:val="37378B" w:themeColor="accent1" w:themeShade="BF"/>
      <w:sz w:val="28"/>
    </w:rPr>
  </w:style>
  <w:style w:type="character" w:customStyle="1" w:styleId="Heading2Char">
    <w:name w:val="Heading 2 Char"/>
    <w:basedOn w:val="DefaultParagraphFont"/>
    <w:link w:val="Heading2"/>
    <w:uiPriority w:val="3"/>
    <w:rsid w:val="00E430B6"/>
    <w:rPr>
      <w:rFonts w:ascii="Calibri" w:eastAsiaTheme="majorEastAsia" w:hAnsi="Calibri" w:cstheme="majorBidi"/>
      <w:b/>
      <w:color w:val="4D4DB8"/>
      <w:sz w:val="28"/>
      <w:szCs w:val="26"/>
    </w:rPr>
  </w:style>
  <w:style w:type="paragraph" w:styleId="List">
    <w:name w:val="List"/>
    <w:basedOn w:val="Normal"/>
    <w:uiPriority w:val="99"/>
    <w:semiHidden/>
    <w:locked/>
    <w:rsid w:val="00580908"/>
    <w:pPr>
      <w:ind w:left="283" w:hanging="283"/>
      <w:contextualSpacing/>
    </w:pPr>
  </w:style>
  <w:style w:type="paragraph" w:styleId="ListNumber">
    <w:name w:val="List Number"/>
    <w:basedOn w:val="Normal"/>
    <w:uiPriority w:val="99"/>
    <w:semiHidden/>
    <w:locked/>
    <w:rsid w:val="00D67F6C"/>
    <w:pPr>
      <w:numPr>
        <w:numId w:val="2"/>
      </w:numPr>
      <w:ind w:left="357" w:hanging="357"/>
    </w:pPr>
  </w:style>
  <w:style w:type="character" w:customStyle="1" w:styleId="Heading3Char">
    <w:name w:val="Heading 3 Char"/>
    <w:basedOn w:val="DefaultParagraphFont"/>
    <w:link w:val="Heading3"/>
    <w:uiPriority w:val="5"/>
    <w:rsid w:val="00E430B6"/>
    <w:rPr>
      <w:rFonts w:ascii="Calibri" w:eastAsiaTheme="majorEastAsia" w:hAnsi="Calibri" w:cstheme="majorBidi"/>
      <w:b/>
      <w:color w:val="4D4DB8"/>
      <w:sz w:val="24"/>
      <w:szCs w:val="26"/>
    </w:rPr>
  </w:style>
  <w:style w:type="paragraph" w:styleId="ListBullet">
    <w:name w:val="List Bullet"/>
    <w:basedOn w:val="Bullet1"/>
    <w:uiPriority w:val="99"/>
    <w:semiHidden/>
    <w:locked/>
    <w:rsid w:val="006476D3"/>
    <w:rPr>
      <w:noProof/>
    </w:rPr>
  </w:style>
  <w:style w:type="paragraph" w:styleId="ListBullet2">
    <w:name w:val="List Bullet 2"/>
    <w:basedOn w:val="Bullet2"/>
    <w:uiPriority w:val="99"/>
    <w:semiHidden/>
    <w:locked/>
    <w:rsid w:val="006476D3"/>
    <w:rPr>
      <w:noProof/>
    </w:rPr>
  </w:style>
  <w:style w:type="paragraph" w:customStyle="1" w:styleId="BreakoutBoxText">
    <w:name w:val="Breakout Box Text"/>
    <w:basedOn w:val="Normal"/>
    <w:uiPriority w:val="99"/>
    <w:semiHidden/>
    <w:qFormat/>
    <w:locked/>
    <w:rsid w:val="00FB3068"/>
    <w:pPr>
      <w:spacing w:line="300" w:lineRule="atLeast"/>
    </w:pPr>
    <w:rPr>
      <w:color w:val="808080" w:themeColor="background1" w:themeShade="80"/>
    </w:rPr>
  </w:style>
  <w:style w:type="paragraph" w:customStyle="1" w:styleId="BreakoutBoxHeading">
    <w:name w:val="Breakout Box Heading"/>
    <w:basedOn w:val="Normal"/>
    <w:uiPriority w:val="99"/>
    <w:locked/>
    <w:rsid w:val="00FB3068"/>
    <w:rPr>
      <w:rFonts w:eastAsiaTheme="majorEastAsia" w:cstheme="majorBidi"/>
      <w:caps/>
      <w:color w:val="191919" w:themeColor="text1" w:themeTint="E6"/>
      <w:sz w:val="28"/>
      <w:szCs w:val="36"/>
    </w:rPr>
  </w:style>
  <w:style w:type="paragraph" w:styleId="Caption">
    <w:name w:val="caption"/>
    <w:basedOn w:val="Normal"/>
    <w:next w:val="BodyText"/>
    <w:uiPriority w:val="99"/>
    <w:semiHidden/>
    <w:locked/>
    <w:rsid w:val="008B21A5"/>
    <w:pPr>
      <w:spacing w:before="240"/>
      <w:ind w:left="1077" w:hanging="1077"/>
    </w:pPr>
    <w:rPr>
      <w:i/>
      <w:iCs/>
      <w:color w:val="4D4DB8"/>
      <w:szCs w:val="18"/>
    </w:rPr>
  </w:style>
  <w:style w:type="paragraph" w:customStyle="1" w:styleId="Notes">
    <w:name w:val="Notes"/>
    <w:basedOn w:val="Caption"/>
    <w:uiPriority w:val="13"/>
    <w:qFormat/>
    <w:rsid w:val="00D57743"/>
    <w:pPr>
      <w:spacing w:before="0"/>
    </w:pPr>
    <w:rPr>
      <w:sz w:val="20"/>
    </w:rPr>
  </w:style>
  <w:style w:type="character" w:styleId="FootnoteReference">
    <w:name w:val="footnote reference"/>
    <w:basedOn w:val="DefaultParagraphFont"/>
    <w:uiPriority w:val="99"/>
    <w:semiHidden/>
    <w:locked/>
    <w:rsid w:val="00493FA0"/>
    <w:rPr>
      <w:vertAlign w:val="superscript"/>
    </w:rPr>
  </w:style>
  <w:style w:type="paragraph" w:styleId="TOAHeading">
    <w:name w:val="toa heading"/>
    <w:basedOn w:val="Heading1"/>
    <w:next w:val="Normal"/>
    <w:uiPriority w:val="99"/>
    <w:semiHidden/>
    <w:locked/>
    <w:rsid w:val="00FB3068"/>
    <w:pPr>
      <w:numPr>
        <w:numId w:val="0"/>
      </w:numPr>
    </w:pPr>
  </w:style>
  <w:style w:type="paragraph" w:styleId="TOC1">
    <w:name w:val="toc 1"/>
    <w:basedOn w:val="Normal"/>
    <w:uiPriority w:val="39"/>
    <w:locked/>
    <w:rsid w:val="006D29AB"/>
    <w:pPr>
      <w:tabs>
        <w:tab w:val="left" w:pos="482"/>
        <w:tab w:val="right" w:leader="dot" w:pos="9072"/>
      </w:tabs>
      <w:spacing w:before="240"/>
    </w:pPr>
    <w:rPr>
      <w:b/>
      <w:color w:val="000099"/>
    </w:rPr>
  </w:style>
  <w:style w:type="paragraph" w:styleId="TOC2">
    <w:name w:val="toc 2"/>
    <w:basedOn w:val="TOC1"/>
    <w:uiPriority w:val="39"/>
    <w:locked/>
    <w:rsid w:val="00C66BAD"/>
    <w:pPr>
      <w:tabs>
        <w:tab w:val="clear" w:pos="482"/>
      </w:tabs>
      <w:spacing w:before="0"/>
      <w:ind w:left="238"/>
    </w:pPr>
    <w:rPr>
      <w:b w:val="0"/>
      <w:color w:val="4D4DB8"/>
    </w:rPr>
  </w:style>
  <w:style w:type="paragraph" w:styleId="TOC3">
    <w:name w:val="toc 3"/>
    <w:basedOn w:val="TOC2"/>
    <w:uiPriority w:val="99"/>
    <w:semiHidden/>
    <w:qFormat/>
    <w:locked/>
    <w:rsid w:val="009A4DB5"/>
  </w:style>
  <w:style w:type="paragraph" w:styleId="TableofFigures">
    <w:name w:val="table of figures"/>
    <w:basedOn w:val="TOC2"/>
    <w:uiPriority w:val="99"/>
    <w:semiHidden/>
    <w:locked/>
    <w:rsid w:val="00C31AA9"/>
    <w:pPr>
      <w:ind w:left="1276" w:hanging="1038"/>
    </w:pPr>
    <w:rPr>
      <w:noProof/>
    </w:rPr>
  </w:style>
  <w:style w:type="paragraph" w:styleId="BalloonText">
    <w:name w:val="Balloon Text"/>
    <w:basedOn w:val="Normal"/>
    <w:link w:val="BalloonTextChar"/>
    <w:uiPriority w:val="99"/>
    <w:semiHidden/>
    <w:locked/>
    <w:rsid w:val="00C875EE"/>
    <w:rPr>
      <w:rFonts w:ascii="Tahoma" w:hAnsi="Tahoma" w:cs="Tahoma"/>
      <w:sz w:val="16"/>
      <w:szCs w:val="16"/>
    </w:rPr>
  </w:style>
  <w:style w:type="character" w:customStyle="1" w:styleId="BalloonTextChar">
    <w:name w:val="Balloon Text Char"/>
    <w:basedOn w:val="DefaultParagraphFont"/>
    <w:link w:val="BalloonText"/>
    <w:uiPriority w:val="99"/>
    <w:semiHidden/>
    <w:rsid w:val="00A7504E"/>
    <w:rPr>
      <w:rFonts w:ascii="Tahoma" w:hAnsi="Tahoma" w:cs="Tahoma"/>
      <w:sz w:val="16"/>
      <w:szCs w:val="16"/>
    </w:rPr>
  </w:style>
  <w:style w:type="paragraph" w:styleId="TOCHeading">
    <w:name w:val="TOC Heading"/>
    <w:basedOn w:val="TOAHeading"/>
    <w:next w:val="Normal"/>
    <w:uiPriority w:val="99"/>
    <w:semiHidden/>
    <w:qFormat/>
    <w:locked/>
    <w:rsid w:val="00FB3068"/>
  </w:style>
  <w:style w:type="paragraph" w:customStyle="1" w:styleId="Bullet1">
    <w:name w:val="Bullet 1"/>
    <w:basedOn w:val="ListParagraph"/>
    <w:link w:val="Bullet1Char"/>
    <w:uiPriority w:val="7"/>
    <w:qFormat/>
    <w:rsid w:val="00BF1A01"/>
    <w:pPr>
      <w:numPr>
        <w:numId w:val="12"/>
      </w:numPr>
      <w:spacing w:before="60"/>
      <w:contextualSpacing w:val="0"/>
    </w:pPr>
    <w:rPr>
      <w:rFonts w:eastAsia="Times New Roman" w:cstheme="minorHAnsi"/>
    </w:rPr>
  </w:style>
  <w:style w:type="character" w:customStyle="1" w:styleId="Bullet1Char">
    <w:name w:val="Bullet 1 Char"/>
    <w:basedOn w:val="DefaultParagraphFont"/>
    <w:link w:val="Bullet1"/>
    <w:uiPriority w:val="7"/>
    <w:rsid w:val="007A43BA"/>
    <w:rPr>
      <w:rFonts w:ascii="Calibri" w:eastAsia="Times New Roman" w:hAnsi="Calibri" w:cstheme="minorHAnsi"/>
    </w:rPr>
  </w:style>
  <w:style w:type="paragraph" w:styleId="ListParagraph">
    <w:name w:val="List Paragraph"/>
    <w:basedOn w:val="Normal"/>
    <w:uiPriority w:val="99"/>
    <w:semiHidden/>
    <w:locked/>
    <w:rsid w:val="006476D3"/>
    <w:pPr>
      <w:ind w:left="720"/>
      <w:contextualSpacing/>
    </w:pPr>
  </w:style>
  <w:style w:type="paragraph" w:customStyle="1" w:styleId="Bullet2">
    <w:name w:val="Bullet 2"/>
    <w:basedOn w:val="Bullet1"/>
    <w:link w:val="Bullet2Char1"/>
    <w:uiPriority w:val="8"/>
    <w:qFormat/>
    <w:rsid w:val="00336883"/>
    <w:pPr>
      <w:numPr>
        <w:ilvl w:val="1"/>
      </w:numPr>
      <w:spacing w:before="0"/>
    </w:pPr>
  </w:style>
  <w:style w:type="paragraph" w:customStyle="1" w:styleId="Bullet3">
    <w:name w:val="Bullet 3"/>
    <w:basedOn w:val="Bullet2"/>
    <w:link w:val="Bullet3Char"/>
    <w:uiPriority w:val="9"/>
    <w:qFormat/>
    <w:rsid w:val="00B11172"/>
    <w:pPr>
      <w:numPr>
        <w:ilvl w:val="2"/>
      </w:numPr>
      <w:tabs>
        <w:tab w:val="num" w:pos="360"/>
      </w:tabs>
    </w:pPr>
  </w:style>
  <w:style w:type="character" w:customStyle="1" w:styleId="Bullet2Char1">
    <w:name w:val="Bullet 2 Char1"/>
    <w:basedOn w:val="DefaultParagraphFont"/>
    <w:link w:val="Bullet2"/>
    <w:uiPriority w:val="8"/>
    <w:rsid w:val="007A43BA"/>
    <w:rPr>
      <w:rFonts w:ascii="Calibri" w:eastAsia="Times New Roman" w:hAnsi="Calibri" w:cstheme="minorHAnsi"/>
    </w:rPr>
  </w:style>
  <w:style w:type="character" w:customStyle="1" w:styleId="Bullet3Char">
    <w:name w:val="Bullet 3 Char"/>
    <w:basedOn w:val="Bullet2Char1"/>
    <w:link w:val="Bullet3"/>
    <w:uiPriority w:val="9"/>
    <w:rsid w:val="00B11172"/>
    <w:rPr>
      <w:rFonts w:ascii="Calibri" w:eastAsia="Times New Roman" w:hAnsi="Calibri" w:cstheme="minorHAnsi"/>
    </w:rPr>
  </w:style>
  <w:style w:type="paragraph" w:styleId="ListBullet3">
    <w:name w:val="List Bullet 3"/>
    <w:basedOn w:val="Bullet3"/>
    <w:uiPriority w:val="99"/>
    <w:semiHidden/>
    <w:locked/>
    <w:rsid w:val="006476D3"/>
    <w:pPr>
      <w:tabs>
        <w:tab w:val="clear" w:pos="360"/>
      </w:tabs>
    </w:pPr>
    <w:rPr>
      <w:noProof/>
    </w:rPr>
  </w:style>
  <w:style w:type="paragraph" w:customStyle="1" w:styleId="Number1">
    <w:name w:val="Number 1"/>
    <w:basedOn w:val="ListParagraph"/>
    <w:link w:val="Number1Char"/>
    <w:uiPriority w:val="10"/>
    <w:qFormat/>
    <w:rsid w:val="002A7D62"/>
    <w:pPr>
      <w:numPr>
        <w:numId w:val="14"/>
      </w:numPr>
      <w:spacing w:before="60"/>
      <w:contextualSpacing w:val="0"/>
    </w:pPr>
    <w:rPr>
      <w:rFonts w:eastAsia="Times New Roman" w:cstheme="minorHAnsi"/>
    </w:rPr>
  </w:style>
  <w:style w:type="paragraph" w:customStyle="1" w:styleId="Number2">
    <w:name w:val="Number 2"/>
    <w:basedOn w:val="Number1"/>
    <w:uiPriority w:val="11"/>
    <w:qFormat/>
    <w:rsid w:val="002A7D62"/>
    <w:pPr>
      <w:numPr>
        <w:ilvl w:val="1"/>
      </w:numPr>
      <w:spacing w:before="0"/>
    </w:pPr>
  </w:style>
  <w:style w:type="character" w:customStyle="1" w:styleId="Number1Char">
    <w:name w:val="Number 1 Char"/>
    <w:basedOn w:val="DefaultParagraphFont"/>
    <w:link w:val="Number1"/>
    <w:uiPriority w:val="10"/>
    <w:rsid w:val="002A7D62"/>
    <w:rPr>
      <w:rFonts w:ascii="Calibri" w:eastAsia="Times New Roman" w:hAnsi="Calibri" w:cstheme="minorHAnsi"/>
    </w:rPr>
  </w:style>
  <w:style w:type="paragraph" w:customStyle="1" w:styleId="Number3">
    <w:name w:val="Number 3"/>
    <w:basedOn w:val="Number2"/>
    <w:uiPriority w:val="12"/>
    <w:qFormat/>
    <w:rsid w:val="005172DB"/>
    <w:pPr>
      <w:numPr>
        <w:ilvl w:val="2"/>
      </w:numPr>
      <w:ind w:hanging="272"/>
    </w:pPr>
  </w:style>
  <w:style w:type="paragraph" w:customStyle="1" w:styleId="ClientName">
    <w:name w:val="Client Name"/>
    <w:basedOn w:val="Normal"/>
    <w:uiPriority w:val="99"/>
    <w:semiHidden/>
    <w:locked/>
    <w:rsid w:val="00FB3068"/>
    <w:rPr>
      <w:rFonts w:cstheme="minorHAnsi"/>
      <w:sz w:val="36"/>
      <w:szCs w:val="36"/>
    </w:rPr>
  </w:style>
  <w:style w:type="character" w:customStyle="1" w:styleId="Heading4Char">
    <w:name w:val="Heading 4 Char"/>
    <w:basedOn w:val="DefaultParagraphFont"/>
    <w:link w:val="Heading4"/>
    <w:uiPriority w:val="99"/>
    <w:semiHidden/>
    <w:rsid w:val="00A7504E"/>
    <w:rPr>
      <w:rFonts w:ascii="Calibri" w:eastAsiaTheme="majorEastAsia" w:hAnsi="Calibri" w:cstheme="majorBidi"/>
      <w:b/>
      <w:i/>
      <w:iCs/>
      <w:color w:val="4D4DB8"/>
      <w:sz w:val="24"/>
      <w:szCs w:val="26"/>
    </w:rPr>
  </w:style>
  <w:style w:type="character" w:customStyle="1" w:styleId="Heading5Char">
    <w:name w:val="Heading 5 Char"/>
    <w:basedOn w:val="DefaultParagraphFont"/>
    <w:link w:val="Heading5"/>
    <w:uiPriority w:val="99"/>
    <w:semiHidden/>
    <w:rsid w:val="00A7504E"/>
    <w:rPr>
      <w:rFonts w:ascii="Calibri" w:eastAsiaTheme="majorEastAsia" w:hAnsi="Calibri" w:cstheme="majorBidi"/>
      <w:b/>
      <w:iCs/>
      <w:color w:val="4D4DB8"/>
      <w:sz w:val="20"/>
      <w:szCs w:val="26"/>
    </w:rPr>
  </w:style>
  <w:style w:type="character" w:customStyle="1" w:styleId="Heading6Char">
    <w:name w:val="Heading 6 Char"/>
    <w:basedOn w:val="DefaultParagraphFont"/>
    <w:link w:val="Heading6"/>
    <w:uiPriority w:val="99"/>
    <w:semiHidden/>
    <w:rsid w:val="00A7504E"/>
    <w:rPr>
      <w:rFonts w:ascii="Calibri" w:eastAsiaTheme="majorEastAsia" w:hAnsi="Calibri" w:cstheme="majorBidi"/>
      <w:b/>
      <w:i/>
      <w:iCs/>
      <w:color w:val="4D4DB8"/>
      <w:sz w:val="20"/>
      <w:szCs w:val="26"/>
    </w:rPr>
  </w:style>
  <w:style w:type="character" w:customStyle="1" w:styleId="Heading7Char">
    <w:name w:val="Heading 7 Char"/>
    <w:basedOn w:val="DefaultParagraphFont"/>
    <w:link w:val="Heading7"/>
    <w:uiPriority w:val="99"/>
    <w:semiHidden/>
    <w:rsid w:val="00A7504E"/>
    <w:rPr>
      <w:rFonts w:ascii="Calibri" w:eastAsiaTheme="majorEastAsia" w:hAnsi="Calibri" w:cstheme="majorBidi"/>
      <w:b/>
      <w:color w:val="4D4DB8"/>
      <w:sz w:val="20"/>
      <w:szCs w:val="26"/>
    </w:rPr>
  </w:style>
  <w:style w:type="character" w:customStyle="1" w:styleId="Heading8Char">
    <w:name w:val="Heading 8 Char"/>
    <w:basedOn w:val="DefaultParagraphFont"/>
    <w:link w:val="Heading8"/>
    <w:uiPriority w:val="99"/>
    <w:semiHidden/>
    <w:rsid w:val="00A7504E"/>
    <w:rPr>
      <w:rFonts w:ascii="Calibri" w:eastAsiaTheme="majorEastAsia" w:hAnsi="Calibri" w:cstheme="majorBidi"/>
      <w:color w:val="4D4DB8"/>
      <w:sz w:val="20"/>
      <w:szCs w:val="21"/>
    </w:rPr>
  </w:style>
  <w:style w:type="character" w:customStyle="1" w:styleId="Heading9Char">
    <w:name w:val="Heading 9 Char"/>
    <w:basedOn w:val="DefaultParagraphFont"/>
    <w:link w:val="Heading9"/>
    <w:uiPriority w:val="99"/>
    <w:semiHidden/>
    <w:rsid w:val="00A7504E"/>
    <w:rPr>
      <w:rFonts w:ascii="Calibri" w:eastAsiaTheme="majorEastAsia" w:hAnsi="Calibri" w:cstheme="majorBidi"/>
      <w:iCs/>
      <w:color w:val="4D4DB8"/>
      <w:sz w:val="20"/>
      <w:szCs w:val="21"/>
    </w:rPr>
  </w:style>
  <w:style w:type="paragraph" w:customStyle="1" w:styleId="Heading1nonumber">
    <w:name w:val="Heading 1 no number"/>
    <w:basedOn w:val="Heading1"/>
    <w:next w:val="BodyText"/>
    <w:link w:val="Heading1nonumberChar"/>
    <w:uiPriority w:val="2"/>
    <w:qFormat/>
    <w:rsid w:val="00FB3068"/>
    <w:pPr>
      <w:numPr>
        <w:numId w:val="0"/>
      </w:numPr>
    </w:pPr>
  </w:style>
  <w:style w:type="paragraph" w:customStyle="1" w:styleId="Heading2nonumber">
    <w:name w:val="Heading 2 no number"/>
    <w:basedOn w:val="Heading2"/>
    <w:next w:val="BodyText"/>
    <w:uiPriority w:val="4"/>
    <w:qFormat/>
    <w:rsid w:val="00C66BAD"/>
    <w:pPr>
      <w:numPr>
        <w:ilvl w:val="0"/>
        <w:numId w:val="0"/>
      </w:numPr>
    </w:pPr>
  </w:style>
  <w:style w:type="paragraph" w:customStyle="1" w:styleId="Appendix">
    <w:name w:val="Appendix"/>
    <w:basedOn w:val="Heading1"/>
    <w:uiPriority w:val="99"/>
    <w:semiHidden/>
    <w:qFormat/>
    <w:locked/>
    <w:rsid w:val="0033455F"/>
    <w:pPr>
      <w:numPr>
        <w:numId w:val="18"/>
      </w:numPr>
      <w:spacing w:after="0"/>
    </w:pPr>
  </w:style>
  <w:style w:type="character" w:styleId="PlaceholderText">
    <w:name w:val="Placeholder Text"/>
    <w:basedOn w:val="DefaultParagraphFont"/>
    <w:uiPriority w:val="99"/>
    <w:semiHidden/>
    <w:locked/>
    <w:rsid w:val="00720C59"/>
    <w:rPr>
      <w:color w:val="808080"/>
    </w:rPr>
  </w:style>
  <w:style w:type="paragraph" w:customStyle="1" w:styleId="TableHeading">
    <w:name w:val="Table Heading"/>
    <w:basedOn w:val="Normal"/>
    <w:uiPriority w:val="99"/>
    <w:semiHidden/>
    <w:qFormat/>
    <w:locked/>
    <w:rsid w:val="00401DFB"/>
    <w:pPr>
      <w:framePr w:hSpace="181" w:wrap="around" w:vAnchor="text" w:hAnchor="text" w:y="1"/>
      <w:suppressOverlap/>
    </w:pPr>
    <w:rPr>
      <w:rFonts w:cs="Calibri"/>
      <w:b/>
      <w:color w:val="FFFFFF" w:themeColor="background1"/>
      <w:sz w:val="20"/>
    </w:rPr>
  </w:style>
  <w:style w:type="paragraph" w:customStyle="1" w:styleId="AppendixHeading1">
    <w:name w:val="Appendix Heading 1"/>
    <w:basedOn w:val="Heading1nonumber"/>
    <w:next w:val="Normal"/>
    <w:uiPriority w:val="99"/>
    <w:semiHidden/>
    <w:locked/>
    <w:rsid w:val="009E6EAE"/>
  </w:style>
  <w:style w:type="paragraph" w:styleId="BodyText">
    <w:name w:val="Body Text"/>
    <w:basedOn w:val="Normal"/>
    <w:link w:val="BodyTextChar"/>
    <w:qFormat/>
    <w:rsid w:val="001F17C8"/>
  </w:style>
  <w:style w:type="character" w:customStyle="1" w:styleId="BodyTextChar">
    <w:name w:val="Body Text Char"/>
    <w:basedOn w:val="DefaultParagraphFont"/>
    <w:link w:val="BodyText"/>
    <w:rsid w:val="007A43BA"/>
    <w:rPr>
      <w:rFonts w:ascii="Calibri" w:hAnsi="Calibri"/>
    </w:rPr>
  </w:style>
  <w:style w:type="paragraph" w:customStyle="1" w:styleId="AppendixHeading">
    <w:name w:val="Appendix Heading"/>
    <w:basedOn w:val="AppendixSubheadings"/>
    <w:link w:val="AppendixHeadingChar"/>
    <w:uiPriority w:val="99"/>
    <w:semiHidden/>
    <w:qFormat/>
    <w:locked/>
    <w:rsid w:val="00BA00B7"/>
    <w:pPr>
      <w:numPr>
        <w:numId w:val="22"/>
      </w:numPr>
    </w:pPr>
    <w:rPr>
      <w:szCs w:val="28"/>
    </w:rPr>
  </w:style>
  <w:style w:type="character" w:customStyle="1" w:styleId="Heading1nonumberChar">
    <w:name w:val="Heading 1 no number Char"/>
    <w:basedOn w:val="Heading1Char"/>
    <w:link w:val="Heading1nonumber"/>
    <w:uiPriority w:val="2"/>
    <w:rsid w:val="007A43BA"/>
    <w:rPr>
      <w:rFonts w:ascii="Calibri" w:eastAsiaTheme="majorEastAsia" w:hAnsi="Calibri" w:cstheme="majorBidi"/>
      <w:b/>
      <w:color w:val="000099"/>
      <w:sz w:val="40"/>
      <w:szCs w:val="32"/>
    </w:rPr>
  </w:style>
  <w:style w:type="character" w:customStyle="1" w:styleId="AppendixHeadingChar">
    <w:name w:val="Appendix Heading Char"/>
    <w:basedOn w:val="Heading1nonumberChar"/>
    <w:link w:val="AppendixHeading"/>
    <w:uiPriority w:val="99"/>
    <w:semiHidden/>
    <w:rsid w:val="00A7504E"/>
    <w:rPr>
      <w:rFonts w:ascii="Calibri" w:eastAsiaTheme="majorEastAsia" w:hAnsi="Calibri" w:cstheme="majorBidi"/>
      <w:b/>
      <w:color w:val="000099"/>
      <w:sz w:val="28"/>
      <w:szCs w:val="28"/>
    </w:rPr>
  </w:style>
  <w:style w:type="character" w:customStyle="1" w:styleId="Mention1">
    <w:name w:val="Mention1"/>
    <w:basedOn w:val="DefaultParagraphFont"/>
    <w:uiPriority w:val="99"/>
    <w:semiHidden/>
    <w:locked/>
    <w:rsid w:val="00D776E8"/>
    <w:rPr>
      <w:color w:val="2B579A"/>
      <w:shd w:val="clear" w:color="auto" w:fill="E6E6E6"/>
    </w:rPr>
  </w:style>
  <w:style w:type="paragraph" w:customStyle="1" w:styleId="AppendixSubheadings">
    <w:name w:val="Appendix Sub headings"/>
    <w:basedOn w:val="Normal"/>
    <w:next w:val="AppendixHeading1"/>
    <w:link w:val="AppendixSubheadingsChar"/>
    <w:uiPriority w:val="99"/>
    <w:semiHidden/>
    <w:locked/>
    <w:rsid w:val="009E6EAE"/>
    <w:rPr>
      <w:b/>
      <w:color w:val="000099"/>
      <w:sz w:val="28"/>
    </w:rPr>
  </w:style>
  <w:style w:type="character" w:customStyle="1" w:styleId="AppendixSubheadingsChar">
    <w:name w:val="Appendix Sub headings Char"/>
    <w:basedOn w:val="DefaultParagraphFont"/>
    <w:link w:val="AppendixSubheadings"/>
    <w:uiPriority w:val="99"/>
    <w:semiHidden/>
    <w:rsid w:val="00A7504E"/>
    <w:rPr>
      <w:rFonts w:ascii="Calibri" w:hAnsi="Calibri"/>
      <w:b/>
      <w:color w:val="000099"/>
      <w:sz w:val="28"/>
    </w:rPr>
  </w:style>
  <w:style w:type="character" w:customStyle="1" w:styleId="Mention2">
    <w:name w:val="Mention2"/>
    <w:basedOn w:val="DefaultParagraphFont"/>
    <w:uiPriority w:val="99"/>
    <w:semiHidden/>
    <w:locked/>
    <w:rsid w:val="007A1857"/>
    <w:rPr>
      <w:color w:val="2B579A"/>
      <w:shd w:val="clear" w:color="auto" w:fill="E6E6E6"/>
    </w:rPr>
  </w:style>
  <w:style w:type="character" w:styleId="FollowedHyperlink">
    <w:name w:val="FollowedHyperlink"/>
    <w:basedOn w:val="Hyperlink"/>
    <w:uiPriority w:val="99"/>
    <w:semiHidden/>
    <w:locked/>
    <w:rsid w:val="00964AB4"/>
    <w:rPr>
      <w:rFonts w:ascii="Calibri" w:hAnsi="Calibri"/>
      <w:i/>
      <w:color w:val="0000FF"/>
      <w:sz w:val="22"/>
      <w:u w:val="single"/>
    </w:rPr>
  </w:style>
  <w:style w:type="paragraph" w:customStyle="1" w:styleId="B-Table-portrait">
    <w:name w:val="B - Table - portrait"/>
    <w:basedOn w:val="TableHeading"/>
    <w:next w:val="BodyText"/>
    <w:uiPriority w:val="99"/>
    <w:semiHidden/>
    <w:locked/>
    <w:rsid w:val="00C03B0F"/>
    <w:pPr>
      <w:framePr w:wrap="around"/>
    </w:pPr>
  </w:style>
  <w:style w:type="character" w:customStyle="1" w:styleId="SmartHyperlink1">
    <w:name w:val="Smart Hyperlink1"/>
    <w:basedOn w:val="DefaultParagraphFont"/>
    <w:uiPriority w:val="99"/>
    <w:semiHidden/>
    <w:locked/>
    <w:rsid w:val="00D22CE2"/>
    <w:rPr>
      <w:u w:val="dotted"/>
    </w:rPr>
  </w:style>
  <w:style w:type="paragraph" w:customStyle="1" w:styleId="Heading3-nonumber">
    <w:name w:val="Heading 3 - no number"/>
    <w:basedOn w:val="Heading3"/>
    <w:next w:val="BodyText"/>
    <w:link w:val="Heading3-nonumberChar"/>
    <w:uiPriority w:val="6"/>
    <w:qFormat/>
    <w:rsid w:val="00C33951"/>
    <w:pPr>
      <w:numPr>
        <w:ilvl w:val="0"/>
        <w:numId w:val="0"/>
      </w:numPr>
    </w:pPr>
  </w:style>
  <w:style w:type="paragraph" w:customStyle="1" w:styleId="TextStyle-new">
    <w:name w:val="Text Style - new"/>
    <w:basedOn w:val="BodyText"/>
    <w:link w:val="TextStyle-newChar"/>
    <w:uiPriority w:val="99"/>
    <w:semiHidden/>
    <w:qFormat/>
    <w:locked/>
    <w:rsid w:val="00E30A0E"/>
    <w:pPr>
      <w:spacing w:before="60" w:after="60"/>
    </w:pPr>
    <w:rPr>
      <w:sz w:val="20"/>
    </w:rPr>
  </w:style>
  <w:style w:type="character" w:customStyle="1" w:styleId="Heading3-nonumberChar">
    <w:name w:val="Heading 3 - no number Char"/>
    <w:basedOn w:val="Heading3Char"/>
    <w:link w:val="Heading3-nonumber"/>
    <w:uiPriority w:val="6"/>
    <w:rsid w:val="007A43BA"/>
    <w:rPr>
      <w:rFonts w:ascii="Calibri" w:eastAsiaTheme="majorEastAsia" w:hAnsi="Calibri" w:cstheme="majorBidi"/>
      <w:b/>
      <w:color w:val="4D4DB8"/>
      <w:sz w:val="24"/>
      <w:szCs w:val="26"/>
    </w:rPr>
  </w:style>
  <w:style w:type="character" w:customStyle="1" w:styleId="TextStyle-newChar">
    <w:name w:val="Text Style - new Char"/>
    <w:basedOn w:val="BodyTextChar"/>
    <w:link w:val="TextStyle-new"/>
    <w:uiPriority w:val="99"/>
    <w:semiHidden/>
    <w:rsid w:val="00A7504E"/>
    <w:rPr>
      <w:rFonts w:ascii="Calibri" w:hAnsi="Calibri"/>
      <w:sz w:val="20"/>
    </w:rPr>
  </w:style>
  <w:style w:type="paragraph" w:customStyle="1" w:styleId="AppendixToC">
    <w:name w:val="Appendix ToC"/>
    <w:basedOn w:val="TOC1"/>
    <w:uiPriority w:val="99"/>
    <w:semiHidden/>
    <w:locked/>
    <w:rsid w:val="00A77E8B"/>
    <w:pPr>
      <w:tabs>
        <w:tab w:val="clear" w:pos="482"/>
      </w:tabs>
      <w:ind w:left="1276" w:hanging="1038"/>
    </w:pPr>
    <w:rPr>
      <w:b w:val="0"/>
      <w:noProof/>
      <w:color w:val="4D4DB8"/>
    </w:rPr>
  </w:style>
  <w:style w:type="paragraph" w:styleId="TOC4">
    <w:name w:val="toc 4"/>
    <w:aliases w:val="Table of appendices"/>
    <w:basedOn w:val="Normal"/>
    <w:next w:val="Normal"/>
    <w:autoRedefine/>
    <w:uiPriority w:val="39"/>
    <w:locked/>
    <w:rsid w:val="00496CD5"/>
    <w:pPr>
      <w:tabs>
        <w:tab w:val="left" w:pos="1540"/>
        <w:tab w:val="right" w:leader="dot" w:pos="9022"/>
      </w:tabs>
      <w:spacing w:after="100"/>
      <w:ind w:left="1276" w:hanging="1276"/>
    </w:pPr>
    <w:rPr>
      <w:noProof/>
      <w:color w:val="4D4DB8"/>
    </w:rPr>
  </w:style>
  <w:style w:type="table" w:customStyle="1" w:styleId="BE-table">
    <w:name w:val="BE - table"/>
    <w:basedOn w:val="TableGrid"/>
    <w:uiPriority w:val="99"/>
    <w:rsid w:val="002B0A12"/>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bottom w:val="single" w:sz="4" w:space="0" w:color="B7B7E2" w:themeColor="accent1" w:themeTint="66"/>
          <w:tl2br w:val="none" w:sz="0" w:space="0" w:color="auto"/>
          <w:tr2bl w:val="none" w:sz="0" w:space="0" w:color="auto"/>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1B42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7F670A"/>
    <w:rPr>
      <w:color w:val="808080"/>
      <w:shd w:val="clear" w:color="auto" w:fill="E6E6E6"/>
    </w:rPr>
  </w:style>
  <w:style w:type="character" w:styleId="CommentReference">
    <w:name w:val="annotation reference"/>
    <w:basedOn w:val="DefaultParagraphFont"/>
    <w:uiPriority w:val="99"/>
    <w:semiHidden/>
    <w:locked/>
    <w:rsid w:val="00EF1EA0"/>
    <w:rPr>
      <w:sz w:val="16"/>
      <w:szCs w:val="16"/>
    </w:rPr>
  </w:style>
  <w:style w:type="paragraph" w:styleId="CommentText">
    <w:name w:val="annotation text"/>
    <w:basedOn w:val="Normal"/>
    <w:link w:val="CommentTextChar"/>
    <w:uiPriority w:val="99"/>
    <w:semiHidden/>
    <w:locked/>
    <w:rsid w:val="00EF1EA0"/>
    <w:rPr>
      <w:sz w:val="20"/>
      <w:szCs w:val="20"/>
    </w:rPr>
  </w:style>
  <w:style w:type="character" w:customStyle="1" w:styleId="CommentTextChar">
    <w:name w:val="Comment Text Char"/>
    <w:basedOn w:val="DefaultParagraphFont"/>
    <w:link w:val="CommentText"/>
    <w:uiPriority w:val="99"/>
    <w:semiHidden/>
    <w:rsid w:val="00EF1EA0"/>
    <w:rPr>
      <w:sz w:val="20"/>
      <w:szCs w:val="20"/>
    </w:rPr>
  </w:style>
  <w:style w:type="paragraph" w:styleId="CommentSubject">
    <w:name w:val="annotation subject"/>
    <w:basedOn w:val="CommentText"/>
    <w:next w:val="CommentText"/>
    <w:link w:val="CommentSubjectChar"/>
    <w:uiPriority w:val="99"/>
    <w:semiHidden/>
    <w:locked/>
    <w:rsid w:val="00EF1EA0"/>
    <w:rPr>
      <w:b/>
      <w:bCs/>
    </w:rPr>
  </w:style>
  <w:style w:type="character" w:customStyle="1" w:styleId="CommentSubjectChar">
    <w:name w:val="Comment Subject Char"/>
    <w:basedOn w:val="CommentTextChar"/>
    <w:link w:val="CommentSubject"/>
    <w:uiPriority w:val="99"/>
    <w:semiHidden/>
    <w:rsid w:val="00EF1EA0"/>
    <w:rPr>
      <w:b/>
      <w:bCs/>
      <w:sz w:val="20"/>
      <w:szCs w:val="20"/>
    </w:rPr>
  </w:style>
  <w:style w:type="character" w:customStyle="1" w:styleId="UnresolvedMention2">
    <w:name w:val="Unresolved Mention2"/>
    <w:basedOn w:val="DefaultParagraphFont"/>
    <w:uiPriority w:val="99"/>
    <w:semiHidden/>
    <w:unhideWhenUsed/>
    <w:rsid w:val="000C1ABC"/>
    <w:rPr>
      <w:color w:val="605E5C"/>
      <w:shd w:val="clear" w:color="auto" w:fill="E1DFDD"/>
    </w:rPr>
  </w:style>
  <w:style w:type="paragraph" w:styleId="Revision">
    <w:name w:val="Revision"/>
    <w:hidden/>
    <w:uiPriority w:val="99"/>
    <w:semiHidden/>
    <w:rsid w:val="001C14CD"/>
  </w:style>
  <w:style w:type="paragraph" w:customStyle="1" w:styleId="Default">
    <w:name w:val="Default"/>
    <w:rsid w:val="00AA3FA5"/>
    <w:pPr>
      <w:autoSpaceDE w:val="0"/>
      <w:autoSpaceDN w:val="0"/>
      <w:adjustRightInd w:val="0"/>
    </w:pPr>
    <w:rPr>
      <w:rFonts w:cs="Calibri"/>
      <w:color w:val="000000"/>
      <w:sz w:val="24"/>
      <w:szCs w:val="24"/>
    </w:rPr>
  </w:style>
  <w:style w:type="character" w:styleId="UnresolvedMention">
    <w:name w:val="Unresolved Mention"/>
    <w:basedOn w:val="DefaultParagraphFont"/>
    <w:uiPriority w:val="99"/>
    <w:semiHidden/>
    <w:unhideWhenUsed/>
    <w:rsid w:val="00166AFA"/>
    <w:rPr>
      <w:color w:val="605E5C"/>
      <w:shd w:val="clear" w:color="auto" w:fill="E1DFDD"/>
    </w:rPr>
  </w:style>
  <w:style w:type="paragraph" w:customStyle="1" w:styleId="xmsonormal">
    <w:name w:val="x_msonormal"/>
    <w:basedOn w:val="Normal"/>
    <w:rsid w:val="0057287B"/>
    <w:pPr>
      <w:spacing w:before="100" w:beforeAutospacing="1" w:after="100" w:afterAutospacing="1"/>
    </w:pPr>
    <w:rPr>
      <w:rFonts w:ascii="Times New Roman" w:eastAsia="Times New Roman" w:hAnsi="Times New Roman" w:cs="Times New Roman"/>
      <w:sz w:val="24"/>
      <w:szCs w:val="24"/>
      <w:lang w:val="en-US"/>
    </w:rPr>
  </w:style>
  <w:style w:type="table" w:customStyle="1" w:styleId="BE-table1">
    <w:name w:val="BE - table1"/>
    <w:basedOn w:val="TableNormal"/>
    <w:uiPriority w:val="99"/>
    <w:rsid w:val="004900CC"/>
    <w:rPr>
      <w:sz w:val="20"/>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rPr>
        <w:b/>
        <w:i w:val="0"/>
        <w:color w:val="FFFFFF" w:themeColor="background1"/>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il"/>
          <w:tr2bl w:val="nil"/>
        </w:tcBorders>
        <w:shd w:val="clear" w:color="auto" w:fill="B7B7E2" w:themeFill="accent1" w:themeFillTint="66"/>
        <w:vAlign w:val="bottom"/>
      </w:tcPr>
    </w:tblStylePr>
  </w:style>
  <w:style w:type="table" w:customStyle="1" w:styleId="BE-table2">
    <w:name w:val="BE - table2"/>
    <w:basedOn w:val="TableGrid"/>
    <w:uiPriority w:val="99"/>
    <w:rsid w:val="007616D6"/>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bottom w:val="single" w:sz="4" w:space="0" w:color="B7B7E2" w:themeColor="accent1" w:themeTint="66"/>
          <w:tl2br w:val="none" w:sz="0" w:space="0" w:color="auto"/>
          <w:tr2bl w:val="none" w:sz="0" w:space="0" w:color="auto"/>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73D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6376648">
      <w:bodyDiv w:val="1"/>
      <w:marLeft w:val="0"/>
      <w:marRight w:val="0"/>
      <w:marTop w:val="0"/>
      <w:marBottom w:val="0"/>
      <w:divBdr>
        <w:top w:val="none" w:sz="0" w:space="0" w:color="auto"/>
        <w:left w:val="none" w:sz="0" w:space="0" w:color="auto"/>
        <w:bottom w:val="none" w:sz="0" w:space="0" w:color="auto"/>
        <w:right w:val="none" w:sz="0" w:space="0" w:color="auto"/>
      </w:divBdr>
    </w:div>
    <w:div w:id="749814299">
      <w:bodyDiv w:val="1"/>
      <w:marLeft w:val="0"/>
      <w:marRight w:val="0"/>
      <w:marTop w:val="0"/>
      <w:marBottom w:val="0"/>
      <w:divBdr>
        <w:top w:val="none" w:sz="0" w:space="0" w:color="auto"/>
        <w:left w:val="none" w:sz="0" w:space="0" w:color="auto"/>
        <w:bottom w:val="none" w:sz="0" w:space="0" w:color="auto"/>
        <w:right w:val="none" w:sz="0" w:space="0" w:color="auto"/>
      </w:divBdr>
    </w:div>
    <w:div w:id="830948454">
      <w:bodyDiv w:val="1"/>
      <w:marLeft w:val="0"/>
      <w:marRight w:val="0"/>
      <w:marTop w:val="0"/>
      <w:marBottom w:val="0"/>
      <w:divBdr>
        <w:top w:val="none" w:sz="0" w:space="0" w:color="auto"/>
        <w:left w:val="none" w:sz="0" w:space="0" w:color="auto"/>
        <w:bottom w:val="none" w:sz="0" w:space="0" w:color="auto"/>
        <w:right w:val="none" w:sz="0" w:space="0" w:color="auto"/>
      </w:divBdr>
    </w:div>
    <w:div w:id="1730610319">
      <w:bodyDiv w:val="1"/>
      <w:marLeft w:val="0"/>
      <w:marRight w:val="0"/>
      <w:marTop w:val="0"/>
      <w:marBottom w:val="0"/>
      <w:divBdr>
        <w:top w:val="none" w:sz="0" w:space="0" w:color="auto"/>
        <w:left w:val="none" w:sz="0" w:space="0" w:color="auto"/>
        <w:bottom w:val="none" w:sz="0" w:space="0" w:color="auto"/>
        <w:right w:val="none" w:sz="0" w:space="0" w:color="auto"/>
      </w:divBdr>
    </w:div>
    <w:div w:id="1743480122">
      <w:bodyDiv w:val="1"/>
      <w:marLeft w:val="0"/>
      <w:marRight w:val="0"/>
      <w:marTop w:val="0"/>
      <w:marBottom w:val="0"/>
      <w:divBdr>
        <w:top w:val="none" w:sz="0" w:space="0" w:color="auto"/>
        <w:left w:val="none" w:sz="0" w:space="0" w:color="auto"/>
        <w:bottom w:val="none" w:sz="0" w:space="0" w:color="auto"/>
        <w:right w:val="none" w:sz="0" w:space="0" w:color="auto"/>
      </w:divBdr>
    </w:div>
    <w:div w:id="1999841245">
      <w:bodyDiv w:val="1"/>
      <w:marLeft w:val="0"/>
      <w:marRight w:val="0"/>
      <w:marTop w:val="0"/>
      <w:marBottom w:val="0"/>
      <w:divBdr>
        <w:top w:val="none" w:sz="0" w:space="0" w:color="auto"/>
        <w:left w:val="none" w:sz="0" w:space="0" w:color="auto"/>
        <w:bottom w:val="none" w:sz="0" w:space="0" w:color="auto"/>
        <w:right w:val="none" w:sz="0" w:space="0" w:color="auto"/>
      </w:divBdr>
    </w:div>
    <w:div w:id="207673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businesstoday.in/current/policy/india-bans-import-of-plastic-waste-from-august-this-year-to-curb-pollution/story/358778.html" TargetMode="External"/><Relationship Id="rId13" Type="http://schemas.openxmlformats.org/officeDocument/2006/relationships/hyperlink" Target="https://www.tyreandrubberrecycling.com/latest-news/posts/2019/september/indian-ban-imminent/" TargetMode="External"/><Relationship Id="rId18" Type="http://schemas.openxmlformats.org/officeDocument/2006/relationships/hyperlink" Target="https://www.spglobal.com/platts/en/market-insights/latest-news/metals/022019-vietnams-jan-scrap-imports-plunge-amid-stricter-government-rules" TargetMode="External"/><Relationship Id="rId26" Type="http://schemas.openxmlformats.org/officeDocument/2006/relationships/hyperlink" Target="https://www.theaustralian.com.au/nation/world/australia-would-vet-any-waste-returns-says-ley/news-story/96aaa8c05908bca11579908f128cf40e" TargetMode="External"/><Relationship Id="rId3" Type="http://schemas.openxmlformats.org/officeDocument/2006/relationships/hyperlink" Target="https://images.magnetmail.net/images/clients/ISRIID/attach/ENIndonesiaGovtJointDecreeonRPimportsEN.pdf" TargetMode="External"/><Relationship Id="rId21" Type="http://schemas.openxmlformats.org/officeDocument/2006/relationships/hyperlink" Target="https://www.recyclingtoday.com/article/sennebogen-scrap-recycling-lake-pleasant-michigan/" TargetMode="External"/><Relationship Id="rId34" Type="http://schemas.openxmlformats.org/officeDocument/2006/relationships/hyperlink" Target="http://www.taipeitimes.com/News/taiwan/archives/2018/10/02/2003701576" TargetMode="External"/><Relationship Id="rId7" Type="http://schemas.openxmlformats.org/officeDocument/2006/relationships/hyperlink" Target="https://www.wastetodaymagazine.com/article/indonesia-will-ease-rules-on-import-of-scrap-metal/" TargetMode="External"/><Relationship Id="rId12" Type="http://schemas.openxmlformats.org/officeDocument/2006/relationships/hyperlink" Target="https://www.indialegallive.com/national-green-tribunal/ngt-calls-for-review-of-cpcbs-report-on-pyrolysis-units-81315" TargetMode="External"/><Relationship Id="rId17" Type="http://schemas.openxmlformats.org/officeDocument/2006/relationships/hyperlink" Target="https://en.vietnamplus.vn/scrap-imports-through-road-railway-border-gates-to-be-banned/145041.vnp" TargetMode="External"/><Relationship Id="rId25" Type="http://schemas.openxmlformats.org/officeDocument/2006/relationships/hyperlink" Target="https://www.thestar.com.my/news/nation/2018/10/17/govt-to-ban-import-of-all-nonrecyclable-waste/" TargetMode="External"/><Relationship Id="rId33" Type="http://schemas.openxmlformats.org/officeDocument/2006/relationships/hyperlink" Target="https://www.koreatimes.co.kr/www/nation/2020/06/371_292052.html" TargetMode="External"/><Relationship Id="rId2" Type="http://schemas.openxmlformats.org/officeDocument/2006/relationships/hyperlink" Target="https://www.coag.gov.au/sites/default/files/communique/phasing-out-waste-exports-response-strategy.pdf" TargetMode="External"/><Relationship Id="rId16" Type="http://schemas.openxmlformats.org/officeDocument/2006/relationships/hyperlink" Target="http://www9.monre.gov.vn/wps/portal/news/!ut/p/c5/dclJDoIwFADQE5n_RYawbJAZFWgh2A0hJJpCw6AVlNPrBcxbPuDwMzSLuDdKjEMjoQJu1o5PAt1KEP2SmEgozS6hFWnoI1yBW38_1oFBhXpNOxxfCZ3ijS5v1uLDrljebZl2VlkgJl54M5tzPeafmzSignihK4-OduoIKrv09mva9lxU0phZvxaHUHVuELqZk-6eooepb8gXeJcnsw!!/" TargetMode="External"/><Relationship Id="rId20" Type="http://schemas.openxmlformats.org/officeDocument/2006/relationships/hyperlink" Target="https://www.bir.org/news-press/news/item/1000000055-chinese-quotas-for-waste-scrap-imports-full-list-of-2nd-batch-2020" TargetMode="External"/><Relationship Id="rId29" Type="http://schemas.openxmlformats.org/officeDocument/2006/relationships/hyperlink" Target="http://www.nationmultimedia.com/detail/national/30351792" TargetMode="External"/><Relationship Id="rId1" Type="http://schemas.openxmlformats.org/officeDocument/2006/relationships/hyperlink" Target="mailto:joe.pickin@blueenvironment.com.au" TargetMode="External"/><Relationship Id="rId6" Type="http://schemas.openxmlformats.org/officeDocument/2006/relationships/hyperlink" Target="https://www.insideindonesia.org/buried-under-the-weight-of-indonesia-s-recycling-crisis" TargetMode="External"/><Relationship Id="rId11" Type="http://schemas.openxmlformats.org/officeDocument/2006/relationships/hyperlink" Target="https://www.wastedive.com/news/india-enforce-contamination-rate-inspections-paper-imports/570427/" TargetMode="External"/><Relationship Id="rId24" Type="http://schemas.openxmlformats.org/officeDocument/2006/relationships/hyperlink" Target="https://www.freemalaysiatoday.com/category/nation/2018/07/24/permits-to-import-plastic-waste-for-114-factories-revoked/" TargetMode="External"/><Relationship Id="rId32" Type="http://schemas.openxmlformats.org/officeDocument/2006/relationships/hyperlink" Target="https://www.bangkokpost.com/thailand/general/1846429/waste-plastic-imports-to-be-banned" TargetMode="External"/><Relationship Id="rId5" Type="http://schemas.openxmlformats.org/officeDocument/2006/relationships/hyperlink" Target="https://www.voanews.com/east-asia/indonesia-vows-send-back-illegal-plastic-waste" TargetMode="External"/><Relationship Id="rId15" Type="http://schemas.openxmlformats.org/officeDocument/2006/relationships/hyperlink" Target="http://wastemanagementreview.com.au/battling-sovereign-risk/" TargetMode="External"/><Relationship Id="rId23" Type="http://schemas.openxmlformats.org/officeDocument/2006/relationships/hyperlink" Target="https://www.bloomberg.com/opinion/articles/2020-07-30/china-finally-makes-its-peace-with-foreign-garbage" TargetMode="External"/><Relationship Id="rId28" Type="http://schemas.openxmlformats.org/officeDocument/2006/relationships/hyperlink" Target="https://www.ecowatch.com/malaysia-plastic-waste-2644881004.html" TargetMode="External"/><Relationship Id="rId10" Type="http://schemas.openxmlformats.org/officeDocument/2006/relationships/hyperlink" Target="https://www.business-standard.com/article/economy-policy/govt-grants-six-month-extension-to-plastic-scrap-imports-in-three-sezs-119112900554_1.html" TargetMode="External"/><Relationship Id="rId19" Type="http://schemas.openxmlformats.org/officeDocument/2006/relationships/hyperlink" Target="http://www.mee.gov.cn/xxgk2018/xxgk/xxgk01/201812/t20181227_687488.html" TargetMode="External"/><Relationship Id="rId31" Type="http://schemas.openxmlformats.org/officeDocument/2006/relationships/hyperlink" Target="http://www.ratchakitcha.soc.go.th/DATA/PDF/2561/E/188/T15.PDF" TargetMode="External"/><Relationship Id="rId4" Type="http://schemas.openxmlformats.org/officeDocument/2006/relationships/hyperlink" Target="https://www.recyclingtoday.com/article/legislation--regulations-international-august-2020/" TargetMode="External"/><Relationship Id="rId9" Type="http://schemas.openxmlformats.org/officeDocument/2006/relationships/hyperlink" Target="http://pib.nic.in/PressReleseDetail.aspx?PRID=1567682" TargetMode="External"/><Relationship Id="rId14" Type="http://schemas.openxmlformats.org/officeDocument/2006/relationships/hyperlink" Target="http://www.vietnam-briefing.com/news/vietnam-to-restrict-surging-scrap-imports.html/" TargetMode="External"/><Relationship Id="rId22" Type="http://schemas.openxmlformats.org/officeDocument/2006/relationships/hyperlink" Target="https://resource-recycling.com/recycling/2020/05/05/china-moves-closer-to-complete-import-ban/" TargetMode="External"/><Relationship Id="rId27" Type="http://schemas.openxmlformats.org/officeDocument/2006/relationships/hyperlink" Target="https://www.malaymail.com/news/malaysia/2019/05/31/yeo-bee-yin-moots-rm1500-charge-per-shipping-container-to-cut-illegal-impor/1758091" TargetMode="External"/><Relationship Id="rId30" Type="http://schemas.openxmlformats.org/officeDocument/2006/relationships/hyperlink" Target="https://ciwm-journal.co.uk/thailand-set-to-ban-plastic-waste-imports-by-2021/" TargetMode="External"/><Relationship Id="rId35" Type="http://schemas.openxmlformats.org/officeDocument/2006/relationships/hyperlink" Target="https://profit.pakistantoday.com.pk/2020/05/21/import-of-hazardous-plastic-scrap-surges-to-65000-ton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Blue Environment">
      <a:dk1>
        <a:sysClr val="windowText" lastClr="000000"/>
      </a:dk1>
      <a:lt1>
        <a:sysClr val="window" lastClr="FFFFFF"/>
      </a:lt1>
      <a:dk2>
        <a:srgbClr val="000099"/>
      </a:dk2>
      <a:lt2>
        <a:srgbClr val="E7E6E6"/>
      </a:lt2>
      <a:accent1>
        <a:srgbClr val="4D4DB8"/>
      </a:accent1>
      <a:accent2>
        <a:srgbClr val="B31284"/>
      </a:accent2>
      <a:accent3>
        <a:srgbClr val="12B352"/>
      </a:accent3>
      <a:accent4>
        <a:srgbClr val="F79E00"/>
      </a:accent4>
      <a:accent5>
        <a:srgbClr val="A0D2FA"/>
      </a:accent5>
      <a:accent6>
        <a:srgbClr val="FFF133"/>
      </a:accent6>
      <a:hlink>
        <a:srgbClr val="0000FF"/>
      </a:hlink>
      <a:folHlink>
        <a:srgbClr val="0000FF"/>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reviewers>Name Surname, Name Surname</reviewers>
  <projnumber>1234</projnumber>
  <contractdate>2018-01-01T00:00:00</contractdate>
  <infocurrent>2017-07-01T00:00:00</infocurrent>
  <copyright/>
</root>
</file>

<file path=customXml/item6.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F8EA5D-CEC7-4A80-B837-D93229C4B9BB}">
  <ds:schemaRefs>
    <ds:schemaRef ds:uri="http://schemas.openxmlformats.org/officeDocument/2006/bibliography"/>
  </ds:schemaRefs>
</ds:datastoreItem>
</file>

<file path=customXml/itemProps3.xml><?xml version="1.0" encoding="utf-8"?>
<ds:datastoreItem xmlns:ds="http://schemas.openxmlformats.org/officeDocument/2006/customXml" ds:itemID="{08F4C454-89FE-4F95-AC5B-17F899FF9DB9}">
  <ds:schemaRefs>
    <ds:schemaRef ds:uri="http://schemas.microsoft.com/sharepoint/v3/contenttype/forms"/>
  </ds:schemaRefs>
</ds:datastoreItem>
</file>

<file path=customXml/itemProps4.xml><?xml version="1.0" encoding="utf-8"?>
<ds:datastoreItem xmlns:ds="http://schemas.openxmlformats.org/officeDocument/2006/customXml" ds:itemID="{B09BE33C-AA0A-4D72-8FAF-359A4DEF8076}"/>
</file>

<file path=customXml/itemProps5.xml><?xml version="1.0" encoding="utf-8"?>
<ds:datastoreItem xmlns:ds="http://schemas.openxmlformats.org/officeDocument/2006/customXml" ds:itemID="{A510F670-9325-470C-97D0-A9A4BC3018FA}">
  <ds:schemaRefs/>
</ds:datastoreItem>
</file>

<file path=customXml/itemProps6.xml><?xml version="1.0" encoding="utf-8"?>
<ds:datastoreItem xmlns:ds="http://schemas.openxmlformats.org/officeDocument/2006/customXml" ds:itemID="{4D2054AF-B406-4D43-84F1-5049A40488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3628</Words>
  <Characters>20682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Pickin</dc:creator>
  <cp:keywords>Copyright</cp:keywords>
  <dc:description/>
  <cp:lastModifiedBy>Joe Pickin</cp:lastModifiedBy>
  <cp:revision>5</cp:revision>
  <cp:lastPrinted>2020-10-26T02:36:00Z</cp:lastPrinted>
  <dcterms:created xsi:type="dcterms:W3CDTF">2020-10-26T02:22:00Z</dcterms:created>
  <dcterms:modified xsi:type="dcterms:W3CDTF">2020-10-26T02:36:00Z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