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013C1" w14:textId="5EE2C946" w:rsidR="003C1EDF" w:rsidRDefault="003C1EDF" w:rsidP="003C1EDF">
      <w:bookmarkStart w:id="0" w:name="_Toc79585734"/>
      <w:bookmarkStart w:id="1" w:name="_Toc79585774"/>
      <w:r>
        <w:rPr>
          <w:noProof/>
        </w:rPr>
        <w:drawing>
          <wp:inline distT="0" distB="0" distL="0" distR="0" wp14:anchorId="3D506D81" wp14:editId="5185B6FE">
            <wp:extent cx="2123264" cy="637247"/>
            <wp:effectExtent l="0" t="0" r="0" b="0"/>
            <wp:docPr id="6" name="Picture 6" descr="Australian Government: department of Agriculture, Water and the Environ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ustralian Government: department of Agriculture, Water and the Environment">
                      <a:extLst>
                        <a:ext uri="{C183D7F6-B498-43B3-948B-1728B52AA6E4}">
                          <adec:decorative xmlns:adec="http://schemas.microsoft.com/office/drawing/2017/decorative" val="0"/>
                        </a:ext>
                      </a:extLst>
                    </pic:cNvPr>
                    <pic:cNvPicPr/>
                  </pic:nvPicPr>
                  <pic:blipFill>
                    <a:blip r:embed="rId11">
                      <a:extLst>
                        <a:ext uri="{C183D7F6-B498-43B3-948B-1728B52AA6E4}">
                          <adec:decorative xmlns:w10="urn:schemas-microsoft-com:office:word" xmlns:w="http://schemas.openxmlformats.org/wordprocessingml/2006/main" xmlns:v="urn:schemas-microsoft-com:vml" xmlns:o="urn:schemas-microsoft-com:office:office" xmlns:adec="http://schemas.microsoft.com/office/drawing/2017/decorative" xmlns:a14="http://schemas.microsoft.com/office/drawing/2010/main" xmlns="" val="1"/>
                        </a:ext>
                      </a:extLst>
                    </a:blip>
                    <a:stretch>
                      <a:fillRect/>
                    </a:stretch>
                  </pic:blipFill>
                  <pic:spPr>
                    <a:xfrm>
                      <a:off x="0" y="0"/>
                      <a:ext cx="2123264" cy="637247"/>
                    </a:xfrm>
                    <a:prstGeom prst="rect">
                      <a:avLst/>
                    </a:prstGeom>
                  </pic:spPr>
                </pic:pic>
              </a:graphicData>
            </a:graphic>
          </wp:inline>
        </w:drawing>
      </w:r>
    </w:p>
    <w:p w14:paraId="7DADD540" w14:textId="6BB28D89" w:rsidR="00764D6A" w:rsidRPr="004811C7" w:rsidRDefault="003857B7" w:rsidP="004811C7">
      <w:pPr>
        <w:pStyle w:val="Heading1"/>
      </w:pPr>
      <w:r w:rsidRPr="004811C7">
        <w:t xml:space="preserve">Corporate </w:t>
      </w:r>
      <w:r w:rsidR="003C1EDF">
        <w:t>P</w:t>
      </w:r>
      <w:r w:rsidRPr="004811C7">
        <w:t>lan</w:t>
      </w:r>
      <w:r w:rsidR="005051D3">
        <w:br/>
      </w:r>
      <w:r w:rsidRPr="004811C7">
        <w:t>2021–22</w:t>
      </w:r>
      <w:bookmarkEnd w:id="0"/>
      <w:bookmarkEnd w:id="1"/>
    </w:p>
    <w:p w14:paraId="10DAE400" w14:textId="77777777" w:rsidR="00764D6A" w:rsidRDefault="003857B7">
      <w:pPr>
        <w:pStyle w:val="Picture"/>
      </w:pPr>
      <w:r>
        <w:drawing>
          <wp:inline distT="0" distB="0" distL="0" distR="0" wp14:anchorId="67863EFD" wp14:editId="1FB562AE">
            <wp:extent cx="5516245" cy="5516245"/>
            <wp:effectExtent l="0" t="0" r="8255" b="8255"/>
            <wp:docPr id="1"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442349" name="Picture 3">
                      <a:extLst>
                        <a:ext uri="{C183D7F6-B498-43B3-948B-1728B52AA6E4}">
                          <adec:decorative xmlns:adec="http://schemas.microsoft.com/office/drawing/2017/decorative" val="1"/>
                        </a:ext>
                      </a:extLst>
                    </pic:cNvPr>
                    <pic:cNvPicPr>
                      <a:picLocks noChangeAspect="1" noChangeArrowheads="1"/>
                    </pic:cNvPicPr>
                  </pic:nvPicPr>
                  <pic:blipFill>
                    <a:blip r:embed="rId12" cstate="screen">
                      <a:extLst>
                        <a:ext uri="{28A0092B-C50C-407E-A947-70E740481C1C}">
                          <a14:useLocalDpi xmlns:a14="http://schemas.microsoft.com/office/drawing/2010/main"/>
                        </a:ext>
                      </a:extLst>
                    </a:blip>
                    <a:stretch>
                      <a:fillRect/>
                    </a:stretch>
                  </pic:blipFill>
                  <pic:spPr bwMode="auto">
                    <a:xfrm>
                      <a:off x="0" y="0"/>
                      <a:ext cx="5516245" cy="5516245"/>
                    </a:xfrm>
                    <a:prstGeom prst="rect">
                      <a:avLst/>
                    </a:prstGeom>
                    <a:noFill/>
                    <a:ln w="9525">
                      <a:noFill/>
                      <a:miter lim="800000"/>
                      <a:headEnd/>
                      <a:tailEnd/>
                    </a:ln>
                  </pic:spPr>
                </pic:pic>
              </a:graphicData>
            </a:graphic>
          </wp:inline>
        </w:drawing>
      </w:r>
    </w:p>
    <w:p w14:paraId="38698F45" w14:textId="1BBD0A48" w:rsidR="00764D6A" w:rsidRDefault="003857B7">
      <w:r>
        <w:br w:type="page"/>
      </w:r>
      <w:r>
        <w:lastRenderedPageBreak/>
        <w:t>© Commonwealth of Australia</w:t>
      </w:r>
      <w:r w:rsidR="005051D3">
        <w:t> </w:t>
      </w:r>
      <w:r w:rsidR="00B97E61">
        <w:t>202</w:t>
      </w:r>
      <w:r w:rsidR="00D6626A">
        <w:t>1</w:t>
      </w:r>
    </w:p>
    <w:p w14:paraId="44AA178B" w14:textId="77777777" w:rsidR="00764D6A" w:rsidRDefault="003857B7">
      <w:pPr>
        <w:rPr>
          <w:rStyle w:val="Strong"/>
        </w:rPr>
      </w:pPr>
      <w:r>
        <w:rPr>
          <w:rStyle w:val="Strong"/>
        </w:rPr>
        <w:t>Ownership of intellectual property rights</w:t>
      </w:r>
    </w:p>
    <w:p w14:paraId="4C56024B" w14:textId="77777777" w:rsidR="00764D6A" w:rsidRDefault="003857B7">
      <w:r>
        <w:t>Unless otherwise noted, copyright (and any other intellectual property rights) in this publication is owned by the Commonwealth of Australia (referred to as the Commonwealth).</w:t>
      </w:r>
    </w:p>
    <w:p w14:paraId="1AA2C613" w14:textId="77777777" w:rsidR="00764D6A" w:rsidRDefault="003857B7">
      <w:pPr>
        <w:rPr>
          <w:rStyle w:val="Strong"/>
        </w:rPr>
      </w:pPr>
      <w:r>
        <w:rPr>
          <w:rStyle w:val="Strong"/>
        </w:rPr>
        <w:t>Creative Commons licence</w:t>
      </w:r>
    </w:p>
    <w:p w14:paraId="71957DAC" w14:textId="3EB98820" w:rsidR="00764D6A" w:rsidRDefault="003857B7">
      <w:r>
        <w:t>All material in this publication is licensed under a Creative Commons Attribution</w:t>
      </w:r>
      <w:r w:rsidR="005051D3">
        <w:t> </w:t>
      </w:r>
      <w:r>
        <w:t>4.0 International Licence except content supplied by third parties, logos and the Commonwealth Coat of Arms.</w:t>
      </w:r>
    </w:p>
    <w:p w14:paraId="0F032739" w14:textId="45360E01" w:rsidR="00764D6A" w:rsidRDefault="003857B7">
      <w:r>
        <w:t xml:space="preserve">Inquiries about the licence and any use of this document should be emailed to </w:t>
      </w:r>
      <w:hyperlink r:id="rId13" w:history="1">
        <w:r w:rsidR="00EF55CC" w:rsidRPr="001C39C1">
          <w:rPr>
            <w:rStyle w:val="Hyperlink"/>
          </w:rPr>
          <w:t>copyright@awe.gov.au</w:t>
        </w:r>
      </w:hyperlink>
      <w:r>
        <w:t>.</w:t>
      </w:r>
    </w:p>
    <w:p w14:paraId="07047360" w14:textId="77777777" w:rsidR="00764D6A" w:rsidRDefault="003857B7">
      <w:r>
        <w:rPr>
          <w:noProof/>
          <w:lang w:eastAsia="en-AU"/>
        </w:rPr>
        <w:drawing>
          <wp:inline distT="0" distB="0" distL="0" distR="0" wp14:anchorId="2DB8C567" wp14:editId="03C5232A">
            <wp:extent cx="724535" cy="25527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4" cstate="screen">
                      <a:extLst>
                        <a:ext uri="{28A0092B-C50C-407E-A947-70E740481C1C}">
                          <a14:useLocalDpi xmlns:a14="http://schemas.microsoft.com/office/drawing/2010/main"/>
                        </a:ext>
                      </a:extLst>
                    </a:blip>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50CAF028" w14:textId="77777777" w:rsidR="00764D6A" w:rsidRDefault="003857B7">
      <w:pPr>
        <w:rPr>
          <w:rStyle w:val="Strong"/>
        </w:rPr>
      </w:pPr>
      <w:r>
        <w:rPr>
          <w:rStyle w:val="Strong"/>
        </w:rPr>
        <w:t>Cataloguing data</w:t>
      </w:r>
    </w:p>
    <w:p w14:paraId="146C16E9" w14:textId="0FB6D2D6" w:rsidR="00764D6A" w:rsidRDefault="003857B7">
      <w:r>
        <w:t xml:space="preserve">This publication (and any material sourced from it) should be attributed as: </w:t>
      </w:r>
      <w:r w:rsidR="00A42C37" w:rsidRPr="00A42C37">
        <w:rPr>
          <w:i/>
          <w:iCs/>
        </w:rPr>
        <w:t xml:space="preserve">Corporate </w:t>
      </w:r>
      <w:r w:rsidR="003C1EDF">
        <w:rPr>
          <w:i/>
          <w:iCs/>
        </w:rPr>
        <w:t>P</w:t>
      </w:r>
      <w:r w:rsidR="00A42C37" w:rsidRPr="00A42C37">
        <w:rPr>
          <w:i/>
          <w:iCs/>
        </w:rPr>
        <w:t>lan</w:t>
      </w:r>
      <w:r w:rsidR="005051D3">
        <w:rPr>
          <w:i/>
          <w:iCs/>
        </w:rPr>
        <w:t> </w:t>
      </w:r>
      <w:r w:rsidR="00A42C37" w:rsidRPr="00A42C37">
        <w:rPr>
          <w:i/>
          <w:iCs/>
        </w:rPr>
        <w:t>2021–22</w:t>
      </w:r>
      <w:r>
        <w:t xml:space="preserve">, </w:t>
      </w:r>
      <w:r w:rsidR="00B5740E">
        <w:t>Department of Agriculture, Water and the Environment</w:t>
      </w:r>
      <w:r>
        <w:t xml:space="preserve">, Canberra, </w:t>
      </w:r>
      <w:r w:rsidR="00EF5451">
        <w:t>August</w:t>
      </w:r>
      <w:r w:rsidR="005051D3">
        <w:t> </w:t>
      </w:r>
      <w:r w:rsidR="00EF5451">
        <w:t>2021</w:t>
      </w:r>
      <w:r>
        <w:t>. CC BY 4.0.</w:t>
      </w:r>
    </w:p>
    <w:p w14:paraId="11B79D19" w14:textId="4111E837" w:rsidR="00764D6A" w:rsidRPr="00B668C9" w:rsidRDefault="003857B7">
      <w:r w:rsidRPr="00B668C9">
        <w:t xml:space="preserve">ISBN </w:t>
      </w:r>
      <w:r w:rsidR="00B668C9" w:rsidRPr="00B668C9">
        <w:t>978-1-76003-451-1</w:t>
      </w:r>
    </w:p>
    <w:p w14:paraId="4C128140" w14:textId="53DC6F21" w:rsidR="00764D6A" w:rsidRDefault="003857B7">
      <w:r>
        <w:t xml:space="preserve">This publication is </w:t>
      </w:r>
      <w:r w:rsidRPr="00E20810">
        <w:t>available at</w:t>
      </w:r>
      <w:r w:rsidR="00DF6634">
        <w:t xml:space="preserve"> </w:t>
      </w:r>
      <w:hyperlink r:id="rId15" w:history="1">
        <w:r w:rsidR="00DF6634" w:rsidRPr="00DF6634">
          <w:rPr>
            <w:rStyle w:val="Hyperlink"/>
          </w:rPr>
          <w:t>awe.gov.au/about/reporting/</w:t>
        </w:r>
        <w:proofErr w:type="gramStart"/>
        <w:r w:rsidR="00DF6634" w:rsidRPr="00DF6634">
          <w:rPr>
            <w:rStyle w:val="Hyperlink"/>
          </w:rPr>
          <w:t>corporate-plan</w:t>
        </w:r>
        <w:proofErr w:type="gramEnd"/>
      </w:hyperlink>
      <w:r w:rsidRPr="00736018">
        <w:t>.</w:t>
      </w:r>
    </w:p>
    <w:p w14:paraId="7CF564CA" w14:textId="77777777" w:rsidR="00764D6A" w:rsidRDefault="003857B7">
      <w:pPr>
        <w:spacing w:after="0"/>
      </w:pPr>
      <w:r>
        <w:t>Department of Agriculture, Water and the Environment</w:t>
      </w:r>
    </w:p>
    <w:p w14:paraId="6D2892D7" w14:textId="18400CA2" w:rsidR="00764D6A" w:rsidRDefault="003857B7">
      <w:pPr>
        <w:spacing w:after="0"/>
      </w:pPr>
      <w:r>
        <w:t>GPO</w:t>
      </w:r>
      <w:r w:rsidR="005051D3">
        <w:t> </w:t>
      </w:r>
      <w:r>
        <w:t>Box</w:t>
      </w:r>
      <w:r w:rsidR="005051D3">
        <w:t> </w:t>
      </w:r>
      <w:r>
        <w:t>858 Canberra ACT</w:t>
      </w:r>
      <w:r w:rsidR="005051D3">
        <w:t> </w:t>
      </w:r>
      <w:r>
        <w:t>2601</w:t>
      </w:r>
    </w:p>
    <w:p w14:paraId="48962CE1" w14:textId="17196AFB" w:rsidR="00764D6A" w:rsidRDefault="003857B7">
      <w:pPr>
        <w:spacing w:after="0"/>
      </w:pPr>
      <w:r>
        <w:t xml:space="preserve">Telephone </w:t>
      </w:r>
      <w:r w:rsidRPr="00773056">
        <w:t>1800</w:t>
      </w:r>
      <w:r w:rsidR="005051D3">
        <w:t> </w:t>
      </w:r>
      <w:r w:rsidRPr="00773056">
        <w:t>900</w:t>
      </w:r>
      <w:r w:rsidR="005051D3">
        <w:t> </w:t>
      </w:r>
      <w:r w:rsidRPr="00773056">
        <w:t>090</w:t>
      </w:r>
    </w:p>
    <w:p w14:paraId="4444876F" w14:textId="71FB8D9F" w:rsidR="00764D6A" w:rsidRDefault="003857B7">
      <w:r w:rsidRPr="00E20810">
        <w:t xml:space="preserve">Web </w:t>
      </w:r>
      <w:hyperlink r:id="rId16" w:history="1">
        <w:r w:rsidR="00E20810" w:rsidRPr="00DF6634">
          <w:rPr>
            <w:rStyle w:val="Hyperlink"/>
          </w:rPr>
          <w:t>awe.gov.au</w:t>
        </w:r>
      </w:hyperlink>
    </w:p>
    <w:p w14:paraId="140C830C" w14:textId="77777777" w:rsidR="007C358A" w:rsidRDefault="003857B7">
      <w:r>
        <w:rPr>
          <w:rStyle w:val="Strong"/>
        </w:rPr>
        <w:t>Disclaimer</w:t>
      </w:r>
    </w:p>
    <w:p w14:paraId="10D94071" w14:textId="492F544F" w:rsidR="001C39C1" w:rsidRPr="00E81938" w:rsidRDefault="003857B7">
      <w:pPr>
        <w:rPr>
          <w:rStyle w:val="Strong"/>
        </w:rPr>
      </w:pPr>
      <w:r>
        <w:t xml:space="preserve">The Australian Government acting through the </w:t>
      </w:r>
      <w:r w:rsidR="00B5740E">
        <w:t>Department of Agriculture, Water and the Environment</w:t>
      </w:r>
      <w:r>
        <w:t xml:space="preserve"> has exercised due care and skill in preparing and compiling the information and data in this publication. Notwithstanding, the </w:t>
      </w:r>
      <w:r w:rsidR="00B5740E">
        <w:t>Department of Agriculture, Water and the Environment</w:t>
      </w:r>
      <w:r>
        <w:t xml:space="preserve">, its employees and advisers disclaim all liability, including liability for negligence and for any loss, damage, injury, </w:t>
      </w:r>
      <w:proofErr w:type="gramStart"/>
      <w:r>
        <w:t>expense</w:t>
      </w:r>
      <w:proofErr w:type="gramEnd"/>
      <w:r>
        <w:t xml:space="preserve"> or cost incurred by any person as a result of accessing, using or relying on any of the information or data in this publication to the maximum extent permitted by law.</w:t>
      </w:r>
    </w:p>
    <w:p w14:paraId="4CA9EEDD" w14:textId="41ABA6B3" w:rsidR="00764D6A" w:rsidRDefault="003857B7">
      <w:pPr>
        <w:pStyle w:val="Heading2"/>
        <w:ind w:left="709" w:hanging="709"/>
      </w:pPr>
      <w:bookmarkStart w:id="2" w:name="_Toc79585735"/>
      <w:bookmarkStart w:id="3" w:name="_Toc79585775"/>
      <w:r>
        <w:lastRenderedPageBreak/>
        <w:t>Foreword</w:t>
      </w:r>
      <w:bookmarkEnd w:id="2"/>
      <w:bookmarkEnd w:id="3"/>
    </w:p>
    <w:p w14:paraId="4C386F02" w14:textId="77777777" w:rsidR="00B45E01" w:rsidRDefault="00B45E01" w:rsidP="00B45E01">
      <w:pPr>
        <w:rPr>
          <w:lang w:eastAsia="ja-JP"/>
        </w:rPr>
        <w:sectPr w:rsidR="00B45E01" w:rsidSect="003C1EDF">
          <w:footerReference w:type="default" r:id="rId17"/>
          <w:headerReference w:type="first" r:id="rId18"/>
          <w:pgSz w:w="11906" w:h="16838"/>
          <w:pgMar w:top="426" w:right="1418" w:bottom="1418" w:left="1418" w:header="567" w:footer="283" w:gutter="0"/>
          <w:pgNumType w:start="1"/>
          <w:cols w:space="708"/>
          <w:titlePg/>
          <w:docGrid w:linePitch="360"/>
        </w:sectPr>
      </w:pPr>
    </w:p>
    <w:p w14:paraId="66A9877F" w14:textId="647DE148" w:rsidR="00B45E01" w:rsidRPr="00B668C9" w:rsidRDefault="00B45E01" w:rsidP="00B45E01">
      <w:pPr>
        <w:rPr>
          <w:lang w:eastAsia="ja-JP"/>
        </w:rPr>
      </w:pPr>
      <w:r w:rsidRPr="00B668C9">
        <w:rPr>
          <w:lang w:eastAsia="ja-JP"/>
        </w:rPr>
        <w:t xml:space="preserve">Our purpose is captured in this simple statement: </w:t>
      </w:r>
      <w:r w:rsidRPr="003C1EDF">
        <w:rPr>
          <w:i/>
          <w:iCs/>
          <w:lang w:eastAsia="ja-JP"/>
        </w:rPr>
        <w:t>Enhancing Australia’s agriculture, environment, heritage, and water resources, through regulation and partnership</w:t>
      </w:r>
      <w:r w:rsidRPr="00B668C9">
        <w:rPr>
          <w:lang w:eastAsia="ja-JP"/>
        </w:rPr>
        <w:t>. For today and into the future.</w:t>
      </w:r>
    </w:p>
    <w:p w14:paraId="10C013A4" w14:textId="5273040F" w:rsidR="00B45E01" w:rsidRPr="00B668C9" w:rsidRDefault="00B45E01" w:rsidP="00B45E01">
      <w:pPr>
        <w:rPr>
          <w:lang w:eastAsia="ja-JP"/>
        </w:rPr>
      </w:pPr>
      <w:r w:rsidRPr="00B668C9">
        <w:rPr>
          <w:lang w:eastAsia="ja-JP"/>
        </w:rPr>
        <w:t>With $900</w:t>
      </w:r>
      <w:r w:rsidR="00B668C9" w:rsidRPr="00B668C9">
        <w:rPr>
          <w:lang w:eastAsia="ja-JP"/>
        </w:rPr>
        <w:t> </w:t>
      </w:r>
      <w:r w:rsidRPr="00B668C9">
        <w:rPr>
          <w:lang w:eastAsia="ja-JP"/>
        </w:rPr>
        <w:t>million in new funding for us to administer over the next 5</w:t>
      </w:r>
      <w:r w:rsidR="00B668C9" w:rsidRPr="00B668C9">
        <w:rPr>
          <w:lang w:eastAsia="ja-JP"/>
        </w:rPr>
        <w:t> </w:t>
      </w:r>
      <w:r w:rsidRPr="00B668C9">
        <w:rPr>
          <w:lang w:eastAsia="ja-JP"/>
        </w:rPr>
        <w:t>years, we’re focused on a large program of activity and delivery throughout 2021–22</w:t>
      </w:r>
      <w:r w:rsidR="00B668C9" w:rsidRPr="00B668C9">
        <w:rPr>
          <w:lang w:eastAsia="ja-JP"/>
        </w:rPr>
        <w:t>;</w:t>
      </w:r>
      <w:r w:rsidRPr="00B668C9">
        <w:rPr>
          <w:lang w:eastAsia="ja-JP"/>
        </w:rPr>
        <w:t xml:space="preserve"> as well as administering our many </w:t>
      </w:r>
      <w:r w:rsidR="003C1EDF" w:rsidRPr="00B668C9">
        <w:rPr>
          <w:lang w:eastAsia="ja-JP"/>
        </w:rPr>
        <w:t>long</w:t>
      </w:r>
      <w:r w:rsidR="003C1EDF">
        <w:rPr>
          <w:lang w:eastAsia="ja-JP"/>
        </w:rPr>
        <w:t>-</w:t>
      </w:r>
      <w:r w:rsidRPr="00B668C9">
        <w:rPr>
          <w:lang w:eastAsia="ja-JP"/>
        </w:rPr>
        <w:t>term programs and responsibilities.</w:t>
      </w:r>
    </w:p>
    <w:p w14:paraId="33BE41C3" w14:textId="77777777" w:rsidR="00B45E01" w:rsidRPr="00B668C9" w:rsidRDefault="00B45E01" w:rsidP="00B45E01">
      <w:pPr>
        <w:rPr>
          <w:lang w:eastAsia="ja-JP"/>
        </w:rPr>
      </w:pPr>
      <w:r w:rsidRPr="00B668C9">
        <w:rPr>
          <w:lang w:eastAsia="ja-JP"/>
        </w:rPr>
        <w:t>To ensure we achieve our purpose, we’re setting up our workforce to be future ready – developing, integrating, and applying world-class science, technology, data, economics, legal and digital capabilities to continually improve how we serve our stakeholders.</w:t>
      </w:r>
    </w:p>
    <w:p w14:paraId="24ED9EBF" w14:textId="770CC299" w:rsidR="00B45E01" w:rsidRPr="00B668C9" w:rsidRDefault="00B45E01" w:rsidP="00B45E01">
      <w:pPr>
        <w:rPr>
          <w:lang w:eastAsia="ja-JP"/>
        </w:rPr>
      </w:pPr>
      <w:r w:rsidRPr="00B668C9">
        <w:rPr>
          <w:lang w:eastAsia="ja-JP"/>
        </w:rPr>
        <w:t xml:space="preserve">However, we can’t achieve these wide goals in isolation. To deliver for government and the community, we’re drawing on a range of partnerships to achieve the best possible outcomes in agriculture, biosecurity, water and environmental and heritage policy and practice. A particular priority is building on our engagement and partnership with Traditional Owners across our shared interests, </w:t>
      </w:r>
      <w:proofErr w:type="gramStart"/>
      <w:r w:rsidRPr="00B668C9">
        <w:rPr>
          <w:lang w:eastAsia="ja-JP"/>
        </w:rPr>
        <w:t>in order to</w:t>
      </w:r>
      <w:proofErr w:type="gramEnd"/>
      <w:r w:rsidRPr="00B668C9">
        <w:rPr>
          <w:lang w:eastAsia="ja-JP"/>
        </w:rPr>
        <w:t xml:space="preserve"> deliver on our collective responsibilities and work towards our longer-term aspirations.</w:t>
      </w:r>
    </w:p>
    <w:p w14:paraId="4AEFD51C" w14:textId="35795B8F" w:rsidR="00B45E01" w:rsidRPr="00B668C9" w:rsidRDefault="00B45E01" w:rsidP="00B45E01">
      <w:pPr>
        <w:rPr>
          <w:lang w:eastAsia="ja-JP"/>
        </w:rPr>
      </w:pPr>
      <w:r w:rsidRPr="00B668C9">
        <w:rPr>
          <w:lang w:eastAsia="ja-JP"/>
        </w:rPr>
        <w:t xml:space="preserve">With this commitment in mind, I’m pleased to release our </w:t>
      </w:r>
      <w:r w:rsidRPr="00B668C9">
        <w:rPr>
          <w:i/>
          <w:iCs/>
          <w:lang w:eastAsia="ja-JP"/>
        </w:rPr>
        <w:t xml:space="preserve">Corporate </w:t>
      </w:r>
      <w:r w:rsidR="003C1EDF">
        <w:rPr>
          <w:i/>
          <w:iCs/>
          <w:lang w:eastAsia="ja-JP"/>
        </w:rPr>
        <w:t>P</w:t>
      </w:r>
      <w:r w:rsidRPr="00B668C9">
        <w:rPr>
          <w:i/>
          <w:iCs/>
          <w:lang w:eastAsia="ja-JP"/>
        </w:rPr>
        <w:t>lan 2021–22</w:t>
      </w:r>
      <w:r w:rsidRPr="00B668C9">
        <w:rPr>
          <w:lang w:eastAsia="ja-JP"/>
        </w:rPr>
        <w:t>.</w:t>
      </w:r>
    </w:p>
    <w:p w14:paraId="6DCF7733" w14:textId="537194AD" w:rsidR="00B45E01" w:rsidRPr="00B668C9" w:rsidRDefault="00B45E01" w:rsidP="00B45E01">
      <w:pPr>
        <w:rPr>
          <w:lang w:eastAsia="ja-JP"/>
        </w:rPr>
      </w:pPr>
      <w:r w:rsidRPr="00B668C9">
        <w:rPr>
          <w:lang w:eastAsia="ja-JP"/>
        </w:rPr>
        <w:t xml:space="preserve">This is our primary planning document and forms part of our annual strategic planning process. It sets the pathway for our strategic direction and performance and outlines how we intend to deliver against our purpose over the next </w:t>
      </w:r>
      <w:r w:rsidR="003C1EDF">
        <w:rPr>
          <w:lang w:eastAsia="ja-JP"/>
        </w:rPr>
        <w:t>4</w:t>
      </w:r>
      <w:r w:rsidR="003C1EDF" w:rsidRPr="00B668C9">
        <w:rPr>
          <w:lang w:eastAsia="ja-JP"/>
        </w:rPr>
        <w:t> </w:t>
      </w:r>
      <w:r w:rsidRPr="00B668C9">
        <w:rPr>
          <w:lang w:eastAsia="ja-JP"/>
        </w:rPr>
        <w:t>years (</w:t>
      </w:r>
      <w:r w:rsidRPr="00B668C9">
        <w:rPr>
          <w:sz w:val="20"/>
          <w:szCs w:val="20"/>
          <w:lang w:eastAsia="ja-JP"/>
        </w:rPr>
        <w:t>2021–22 to</w:t>
      </w:r>
      <w:r w:rsidR="00B668C9" w:rsidRPr="00B668C9">
        <w:rPr>
          <w:sz w:val="20"/>
          <w:szCs w:val="20"/>
          <w:lang w:eastAsia="ja-JP"/>
        </w:rPr>
        <w:t> </w:t>
      </w:r>
      <w:r w:rsidRPr="00B668C9">
        <w:rPr>
          <w:sz w:val="20"/>
          <w:szCs w:val="20"/>
          <w:lang w:eastAsia="ja-JP"/>
        </w:rPr>
        <w:t>2024–25</w:t>
      </w:r>
      <w:r w:rsidRPr="00B668C9">
        <w:rPr>
          <w:lang w:eastAsia="ja-JP"/>
        </w:rPr>
        <w:t>).</w:t>
      </w:r>
    </w:p>
    <w:p w14:paraId="4B1CCC2C" w14:textId="7C556374" w:rsidR="00B45E01" w:rsidRPr="00B668C9" w:rsidRDefault="00B45E01" w:rsidP="00B45E01">
      <w:pPr>
        <w:rPr>
          <w:lang w:eastAsia="ja-JP"/>
        </w:rPr>
      </w:pPr>
      <w:r w:rsidRPr="00B668C9">
        <w:rPr>
          <w:lang w:eastAsia="ja-JP"/>
        </w:rPr>
        <w:t>I’m proud to lead our professional and diverse workforce, who continue to achieve great outcomes in this most demanding of times. This includes strengthening our biosecurity systems, helping our agricultural industries grow towards their $100</w:t>
      </w:r>
      <w:r w:rsidR="00B668C9" w:rsidRPr="00B668C9">
        <w:rPr>
          <w:lang w:eastAsia="ja-JP"/>
        </w:rPr>
        <w:t> </w:t>
      </w:r>
      <w:r w:rsidRPr="00B668C9">
        <w:rPr>
          <w:lang w:eastAsia="ja-JP"/>
        </w:rPr>
        <w:t>billion 2030</w:t>
      </w:r>
      <w:r w:rsidR="00B668C9" w:rsidRPr="00B668C9">
        <w:rPr>
          <w:lang w:eastAsia="ja-JP"/>
        </w:rPr>
        <w:t> </w:t>
      </w:r>
      <w:r w:rsidRPr="00B668C9">
        <w:rPr>
          <w:lang w:eastAsia="ja-JP"/>
        </w:rPr>
        <w:t xml:space="preserve">target, advancing our scientific knowledge in Antarctica, ensuring that our national parks remain open and safe and respect culture, supporting the sustainable management and use of our water resources, continuing efforts to recover those plants, animals and ecological communities most at risk, and protecting our natural, historic and Indigenous heritage. Our staff are on the frontline of helping Australia respond and start to recover from natural disasters and the COVID-19 </w:t>
      </w:r>
      <w:proofErr w:type="gramStart"/>
      <w:r w:rsidRPr="00B668C9">
        <w:rPr>
          <w:lang w:eastAsia="ja-JP"/>
        </w:rPr>
        <w:t>pandemic;</w:t>
      </w:r>
      <w:proofErr w:type="gramEnd"/>
      <w:r w:rsidRPr="00B668C9">
        <w:rPr>
          <w:lang w:eastAsia="ja-JP"/>
        </w:rPr>
        <w:t xml:space="preserve"> working in partnership with our communities, Traditional Owners, other government agencies, academia and industry.</w:t>
      </w:r>
    </w:p>
    <w:p w14:paraId="71270641" w14:textId="3B400E15" w:rsidR="00577269" w:rsidRPr="00577269" w:rsidRDefault="00B45E01" w:rsidP="00B45E01">
      <w:pPr>
        <w:rPr>
          <w:lang w:eastAsia="ja-JP"/>
        </w:rPr>
      </w:pPr>
      <w:r w:rsidRPr="00B668C9">
        <w:rPr>
          <w:lang w:eastAsia="ja-JP"/>
        </w:rPr>
        <w:t>We’re approaching our work with a strong sense of purpose, strong and positive values, and a focus on getting things done, to ensure we contribute positively to Australia and its future.</w:t>
      </w:r>
    </w:p>
    <w:p w14:paraId="06A248B2" w14:textId="77777777" w:rsidR="00617A58" w:rsidRDefault="003857B7" w:rsidP="00617A58">
      <w:pPr>
        <w:pStyle w:val="Heading3"/>
      </w:pPr>
      <w:bookmarkStart w:id="4" w:name="_Toc76550785"/>
      <w:bookmarkStart w:id="5" w:name="_Toc76972874"/>
      <w:bookmarkStart w:id="6" w:name="_Toc79585776"/>
      <w:r>
        <w:t>Statement of preparation</w:t>
      </w:r>
      <w:bookmarkEnd w:id="4"/>
      <w:bookmarkEnd w:id="5"/>
      <w:bookmarkEnd w:id="6"/>
    </w:p>
    <w:p w14:paraId="1ACB8F09" w14:textId="7C41C89D" w:rsidR="00617A58" w:rsidRDefault="003857B7" w:rsidP="00617A58">
      <w:r w:rsidRPr="00617A58">
        <w:t xml:space="preserve">As the </w:t>
      </w:r>
      <w:r w:rsidR="00AB30D9">
        <w:t>a</w:t>
      </w:r>
      <w:r w:rsidRPr="00617A58">
        <w:t xml:space="preserve">ccountable </w:t>
      </w:r>
      <w:r w:rsidR="00AB30D9">
        <w:t>a</w:t>
      </w:r>
      <w:r w:rsidRPr="00617A58">
        <w:t>uthority of the Department of Agriculture, Water and the Environment, I</w:t>
      </w:r>
      <w:r w:rsidR="00AB30D9">
        <w:t> </w:t>
      </w:r>
      <w:r w:rsidRPr="00617A58">
        <w:t xml:space="preserve">present the </w:t>
      </w:r>
      <w:r w:rsidRPr="00617A58">
        <w:rPr>
          <w:i/>
          <w:iCs/>
        </w:rPr>
        <w:t xml:space="preserve">Corporate </w:t>
      </w:r>
      <w:r w:rsidR="001C39C1" w:rsidRPr="00617A58">
        <w:rPr>
          <w:i/>
          <w:iCs/>
        </w:rPr>
        <w:t>Plan</w:t>
      </w:r>
      <w:r w:rsidR="001C39C1">
        <w:rPr>
          <w:i/>
          <w:iCs/>
        </w:rPr>
        <w:t> </w:t>
      </w:r>
      <w:r w:rsidRPr="00617A58">
        <w:rPr>
          <w:i/>
          <w:iCs/>
        </w:rPr>
        <w:t>2021–22</w:t>
      </w:r>
      <w:r w:rsidR="008711C0">
        <w:t xml:space="preserve">. This plan </w:t>
      </w:r>
      <w:r w:rsidRPr="00617A58">
        <w:t xml:space="preserve">covers </w:t>
      </w:r>
      <w:r w:rsidR="00EF5451">
        <w:t xml:space="preserve">the reporting periods </w:t>
      </w:r>
      <w:r w:rsidR="008711C0">
        <w:t xml:space="preserve">from </w:t>
      </w:r>
      <w:r w:rsidRPr="00617A58">
        <w:t>2021–</w:t>
      </w:r>
      <w:r w:rsidR="008711C0" w:rsidRPr="00617A58">
        <w:t>22</w:t>
      </w:r>
      <w:r w:rsidR="005051D3">
        <w:t xml:space="preserve"> </w:t>
      </w:r>
      <w:r w:rsidR="008711C0" w:rsidRPr="00617A58">
        <w:t>to</w:t>
      </w:r>
      <w:r w:rsidR="008711C0">
        <w:t> </w:t>
      </w:r>
      <w:r w:rsidRPr="00617A58">
        <w:t xml:space="preserve">2024–25, as required under </w:t>
      </w:r>
      <w:r w:rsidR="008711C0" w:rsidRPr="00617A58">
        <w:t>paragraph</w:t>
      </w:r>
      <w:r w:rsidR="008711C0">
        <w:t> </w:t>
      </w:r>
      <w:r w:rsidRPr="00617A58">
        <w:t xml:space="preserve">35(1)(b) of the </w:t>
      </w:r>
      <w:r w:rsidRPr="00617A58">
        <w:rPr>
          <w:i/>
          <w:iCs/>
        </w:rPr>
        <w:t>Public Governance, Performance and Accountability</w:t>
      </w:r>
      <w:r w:rsidR="00B668C9">
        <w:rPr>
          <w:i/>
          <w:iCs/>
        </w:rPr>
        <w:t> </w:t>
      </w:r>
      <w:r w:rsidR="008711C0" w:rsidRPr="00617A58">
        <w:rPr>
          <w:i/>
          <w:iCs/>
        </w:rPr>
        <w:t>Act</w:t>
      </w:r>
      <w:r w:rsidR="008711C0">
        <w:rPr>
          <w:i/>
          <w:iCs/>
        </w:rPr>
        <w:t> </w:t>
      </w:r>
      <w:r w:rsidRPr="00617A58">
        <w:rPr>
          <w:i/>
          <w:iCs/>
        </w:rPr>
        <w:t>2013</w:t>
      </w:r>
      <w:r w:rsidRPr="00617A58">
        <w:t>.</w:t>
      </w:r>
    </w:p>
    <w:p w14:paraId="0B4F1316" w14:textId="2A18CF1E" w:rsidR="00764D6A" w:rsidRPr="00617A58" w:rsidRDefault="003857B7">
      <w:pPr>
        <w:spacing w:after="0"/>
        <w:rPr>
          <w:rStyle w:val="Strong"/>
        </w:rPr>
      </w:pPr>
      <w:r w:rsidRPr="00617A58">
        <w:rPr>
          <w:rStyle w:val="Strong"/>
        </w:rPr>
        <w:t>Andrew</w:t>
      </w:r>
      <w:r w:rsidR="005051D3">
        <w:rPr>
          <w:rStyle w:val="Strong"/>
        </w:rPr>
        <w:t> </w:t>
      </w:r>
      <w:r w:rsidRPr="00617A58">
        <w:rPr>
          <w:rStyle w:val="Strong"/>
        </w:rPr>
        <w:t>Metcalfe</w:t>
      </w:r>
      <w:r w:rsidR="005051D3">
        <w:rPr>
          <w:rStyle w:val="Strong"/>
        </w:rPr>
        <w:t> </w:t>
      </w:r>
      <w:r w:rsidRPr="00617A58">
        <w:rPr>
          <w:rStyle w:val="Strong"/>
        </w:rPr>
        <w:t>AO</w:t>
      </w:r>
    </w:p>
    <w:p w14:paraId="739BD6F4" w14:textId="77777777" w:rsidR="00764D6A" w:rsidRDefault="003857B7">
      <w:pPr>
        <w:spacing w:after="0"/>
      </w:pPr>
      <w:r>
        <w:t>Secretary</w:t>
      </w:r>
    </w:p>
    <w:p w14:paraId="3C925609" w14:textId="77777777" w:rsidR="00764D6A" w:rsidRDefault="003857B7">
      <w:pPr>
        <w:spacing w:after="0"/>
      </w:pPr>
      <w:r>
        <w:t>Department of Agriculture, Water and the Environment</w:t>
      </w:r>
    </w:p>
    <w:p w14:paraId="54FB79CD" w14:textId="77777777" w:rsidR="00764D6A" w:rsidRDefault="003857B7">
      <w:pPr>
        <w:spacing w:after="0" w:line="240" w:lineRule="auto"/>
      </w:pPr>
      <w:r>
        <w:br w:type="page"/>
      </w:r>
    </w:p>
    <w:p w14:paraId="346551A5" w14:textId="77777777" w:rsidR="00B45E01" w:rsidRDefault="00B45E01" w:rsidP="000504CF">
      <w:pPr>
        <w:pStyle w:val="TOCHeading"/>
        <w:rPr>
          <w:rFonts w:ascii="Cambria" w:eastAsiaTheme="minorHAnsi" w:hAnsi="Cambria"/>
          <w:bCs w:val="0"/>
          <w:color w:val="auto"/>
          <w:sz w:val="22"/>
          <w:szCs w:val="22"/>
          <w:lang w:eastAsia="en-US"/>
        </w:rPr>
        <w:sectPr w:rsidR="00B45E01" w:rsidSect="001325BF">
          <w:type w:val="continuous"/>
          <w:pgSz w:w="11906" w:h="16838"/>
          <w:pgMar w:top="1418" w:right="1418" w:bottom="1418" w:left="1418" w:header="567" w:footer="283" w:gutter="0"/>
          <w:pgNumType w:start="1"/>
          <w:cols w:num="2" w:space="708"/>
          <w:titlePg/>
          <w:docGrid w:linePitch="360"/>
        </w:sectPr>
      </w:pPr>
    </w:p>
    <w:sdt>
      <w:sdtPr>
        <w:rPr>
          <w:rFonts w:ascii="Cambria" w:eastAsiaTheme="minorHAnsi" w:hAnsi="Cambria"/>
          <w:bCs w:val="0"/>
          <w:color w:val="auto"/>
          <w:sz w:val="22"/>
          <w:szCs w:val="22"/>
          <w:lang w:eastAsia="en-US"/>
        </w:rPr>
        <w:id w:val="-760297017"/>
        <w:docPartObj>
          <w:docPartGallery w:val="Table of Contents"/>
          <w:docPartUnique/>
        </w:docPartObj>
      </w:sdtPr>
      <w:sdtEndPr>
        <w:rPr>
          <w:b/>
          <w:noProof/>
        </w:rPr>
      </w:sdtEndPr>
      <w:sdtContent>
        <w:p w14:paraId="27558CDF" w14:textId="2C077020" w:rsidR="000504CF" w:rsidRPr="000504CF" w:rsidRDefault="003857B7" w:rsidP="000504CF">
          <w:pPr>
            <w:pStyle w:val="TOCHeading"/>
            <w:rPr>
              <w:noProof/>
            </w:rPr>
          </w:pPr>
          <w:r w:rsidRPr="000504CF">
            <w:t>Contents</w:t>
          </w:r>
          <w:r w:rsidR="001C39C1" w:rsidRPr="000504CF">
            <w:rPr>
              <w:b/>
            </w:rPr>
            <w:fldChar w:fldCharType="begin"/>
          </w:r>
          <w:r w:rsidR="001C39C1" w:rsidRPr="000504CF">
            <w:instrText xml:space="preserve"> TOC \o "1-2" \h \z \u </w:instrText>
          </w:r>
          <w:r w:rsidR="001C39C1" w:rsidRPr="000504CF">
            <w:rPr>
              <w:b/>
            </w:rPr>
            <w:fldChar w:fldCharType="separate"/>
          </w:r>
          <w:r w:rsidR="000504CF" w:rsidRPr="000504CF">
            <w:rPr>
              <w:rStyle w:val="Hyperlink"/>
              <w:noProof/>
            </w:rPr>
            <w:fldChar w:fldCharType="begin"/>
          </w:r>
          <w:r w:rsidR="000504CF" w:rsidRPr="000504CF">
            <w:rPr>
              <w:rStyle w:val="Hyperlink"/>
              <w:noProof/>
            </w:rPr>
            <w:instrText xml:space="preserve"> </w:instrText>
          </w:r>
          <w:r w:rsidR="000504CF" w:rsidRPr="000504CF">
            <w:rPr>
              <w:noProof/>
            </w:rPr>
            <w:instrText>HYPERLINK \l "_Toc79585738"</w:instrText>
          </w:r>
          <w:r w:rsidR="000504CF" w:rsidRPr="000504CF">
            <w:rPr>
              <w:rStyle w:val="Hyperlink"/>
              <w:noProof/>
            </w:rPr>
            <w:instrText xml:space="preserve"> </w:instrText>
          </w:r>
          <w:r w:rsidR="000504CF" w:rsidRPr="000504CF">
            <w:rPr>
              <w:rStyle w:val="Hyperlink"/>
              <w:noProof/>
            </w:rPr>
            <w:fldChar w:fldCharType="separate"/>
          </w:r>
          <w:r w:rsidR="000504CF" w:rsidRPr="000504CF">
            <w:rPr>
              <w:rStyle w:val="Hyperlink"/>
              <w:noProof/>
            </w:rPr>
            <w:fldChar w:fldCharType="begin"/>
          </w:r>
          <w:r w:rsidR="000504CF" w:rsidRPr="000504CF">
            <w:rPr>
              <w:rStyle w:val="Hyperlink"/>
              <w:noProof/>
            </w:rPr>
            <w:instrText xml:space="preserve"> TOC \o "1-3" \h \z \u </w:instrText>
          </w:r>
          <w:r w:rsidR="000504CF" w:rsidRPr="000504CF">
            <w:rPr>
              <w:rStyle w:val="Hyperlink"/>
              <w:noProof/>
            </w:rPr>
            <w:fldChar w:fldCharType="separate"/>
          </w:r>
        </w:p>
        <w:p w14:paraId="53A74A64" w14:textId="54EDACB2" w:rsidR="000504CF" w:rsidRPr="000504CF" w:rsidRDefault="0013411A">
          <w:pPr>
            <w:pStyle w:val="TOC2"/>
            <w:rPr>
              <w:rFonts w:asciiTheme="minorHAnsi" w:eastAsiaTheme="minorEastAsia" w:hAnsiTheme="minorHAnsi"/>
              <w:lang w:eastAsia="en-AU"/>
            </w:rPr>
          </w:pPr>
          <w:hyperlink w:anchor="_Toc79585775" w:history="1">
            <w:r w:rsidR="000504CF" w:rsidRPr="000504CF">
              <w:rPr>
                <w:rStyle w:val="Hyperlink"/>
              </w:rPr>
              <w:t>Foreword</w:t>
            </w:r>
            <w:r w:rsidR="000504CF" w:rsidRPr="000504CF">
              <w:rPr>
                <w:webHidden/>
              </w:rPr>
              <w:tab/>
            </w:r>
            <w:r w:rsidR="000504CF" w:rsidRPr="000504CF">
              <w:rPr>
                <w:webHidden/>
              </w:rPr>
              <w:fldChar w:fldCharType="begin"/>
            </w:r>
            <w:r w:rsidR="000504CF" w:rsidRPr="000504CF">
              <w:rPr>
                <w:webHidden/>
              </w:rPr>
              <w:instrText xml:space="preserve"> PAGEREF _Toc79585775 \h </w:instrText>
            </w:r>
            <w:r w:rsidR="000504CF" w:rsidRPr="000504CF">
              <w:rPr>
                <w:webHidden/>
              </w:rPr>
            </w:r>
            <w:r w:rsidR="000504CF" w:rsidRPr="000504CF">
              <w:rPr>
                <w:webHidden/>
              </w:rPr>
              <w:fldChar w:fldCharType="separate"/>
            </w:r>
            <w:r w:rsidR="00087BCF">
              <w:rPr>
                <w:webHidden/>
              </w:rPr>
              <w:t>3</w:t>
            </w:r>
            <w:r w:rsidR="000504CF" w:rsidRPr="000504CF">
              <w:rPr>
                <w:webHidden/>
              </w:rPr>
              <w:fldChar w:fldCharType="end"/>
            </w:r>
          </w:hyperlink>
        </w:p>
        <w:p w14:paraId="53DDB086" w14:textId="51CF76D6" w:rsidR="000504CF" w:rsidRPr="000504CF" w:rsidRDefault="0013411A">
          <w:pPr>
            <w:pStyle w:val="TOC3"/>
            <w:rPr>
              <w:rFonts w:asciiTheme="minorHAnsi" w:eastAsiaTheme="minorEastAsia" w:hAnsiTheme="minorHAnsi"/>
              <w:lang w:eastAsia="en-AU"/>
            </w:rPr>
          </w:pPr>
          <w:hyperlink w:anchor="_Toc79585776" w:history="1">
            <w:r w:rsidR="000504CF" w:rsidRPr="000504CF">
              <w:rPr>
                <w:rStyle w:val="Hyperlink"/>
              </w:rPr>
              <w:t>Statement of preparation</w:t>
            </w:r>
            <w:r w:rsidR="000504CF" w:rsidRPr="000504CF">
              <w:rPr>
                <w:webHidden/>
              </w:rPr>
              <w:tab/>
            </w:r>
            <w:r w:rsidR="000504CF" w:rsidRPr="000504CF">
              <w:rPr>
                <w:webHidden/>
              </w:rPr>
              <w:fldChar w:fldCharType="begin"/>
            </w:r>
            <w:r w:rsidR="000504CF" w:rsidRPr="000504CF">
              <w:rPr>
                <w:webHidden/>
              </w:rPr>
              <w:instrText xml:space="preserve"> PAGEREF _Toc79585776 \h </w:instrText>
            </w:r>
            <w:r w:rsidR="000504CF" w:rsidRPr="000504CF">
              <w:rPr>
                <w:webHidden/>
              </w:rPr>
            </w:r>
            <w:r w:rsidR="000504CF" w:rsidRPr="000504CF">
              <w:rPr>
                <w:webHidden/>
              </w:rPr>
              <w:fldChar w:fldCharType="separate"/>
            </w:r>
            <w:r w:rsidR="00087BCF">
              <w:rPr>
                <w:webHidden/>
              </w:rPr>
              <w:t>3</w:t>
            </w:r>
            <w:r w:rsidR="000504CF" w:rsidRPr="000504CF">
              <w:rPr>
                <w:webHidden/>
              </w:rPr>
              <w:fldChar w:fldCharType="end"/>
            </w:r>
          </w:hyperlink>
        </w:p>
        <w:p w14:paraId="2EE8B4CA" w14:textId="14F38F55" w:rsidR="000504CF" w:rsidRPr="000504CF" w:rsidRDefault="0013411A">
          <w:pPr>
            <w:pStyle w:val="TOC2"/>
            <w:rPr>
              <w:rFonts w:asciiTheme="minorHAnsi" w:eastAsiaTheme="minorEastAsia" w:hAnsiTheme="minorHAnsi"/>
              <w:lang w:eastAsia="en-AU"/>
            </w:rPr>
          </w:pPr>
          <w:hyperlink w:anchor="_Toc79585778" w:history="1">
            <w:r w:rsidR="000504CF" w:rsidRPr="000504CF">
              <w:rPr>
                <w:rStyle w:val="Hyperlink"/>
              </w:rPr>
              <w:t>About us</w:t>
            </w:r>
            <w:r w:rsidR="000504CF" w:rsidRPr="000504CF">
              <w:rPr>
                <w:webHidden/>
              </w:rPr>
              <w:tab/>
            </w:r>
            <w:r w:rsidR="000504CF" w:rsidRPr="000504CF">
              <w:rPr>
                <w:webHidden/>
              </w:rPr>
              <w:fldChar w:fldCharType="begin"/>
            </w:r>
            <w:r w:rsidR="000504CF" w:rsidRPr="000504CF">
              <w:rPr>
                <w:webHidden/>
              </w:rPr>
              <w:instrText xml:space="preserve"> PAGEREF _Toc79585778 \h </w:instrText>
            </w:r>
            <w:r w:rsidR="000504CF" w:rsidRPr="000504CF">
              <w:rPr>
                <w:webHidden/>
              </w:rPr>
            </w:r>
            <w:r w:rsidR="000504CF" w:rsidRPr="000504CF">
              <w:rPr>
                <w:webHidden/>
              </w:rPr>
              <w:fldChar w:fldCharType="separate"/>
            </w:r>
            <w:r w:rsidR="00087BCF">
              <w:rPr>
                <w:webHidden/>
              </w:rPr>
              <w:t>3</w:t>
            </w:r>
            <w:r w:rsidR="000504CF" w:rsidRPr="000504CF">
              <w:rPr>
                <w:webHidden/>
              </w:rPr>
              <w:fldChar w:fldCharType="end"/>
            </w:r>
          </w:hyperlink>
        </w:p>
        <w:p w14:paraId="306C77D6" w14:textId="2D539C6A" w:rsidR="000504CF" w:rsidRPr="000504CF" w:rsidRDefault="0013411A">
          <w:pPr>
            <w:pStyle w:val="TOC3"/>
            <w:rPr>
              <w:rFonts w:asciiTheme="minorHAnsi" w:eastAsiaTheme="minorEastAsia" w:hAnsiTheme="minorHAnsi"/>
              <w:lang w:eastAsia="en-AU"/>
            </w:rPr>
          </w:pPr>
          <w:hyperlink w:anchor="_Toc79585779" w:history="1">
            <w:r w:rsidR="000504CF" w:rsidRPr="000504CF">
              <w:rPr>
                <w:rStyle w:val="Hyperlink"/>
              </w:rPr>
              <w:t>Our purpose</w:t>
            </w:r>
            <w:r w:rsidR="000504CF" w:rsidRPr="000504CF">
              <w:rPr>
                <w:webHidden/>
              </w:rPr>
              <w:tab/>
            </w:r>
            <w:r w:rsidR="000504CF" w:rsidRPr="000504CF">
              <w:rPr>
                <w:webHidden/>
              </w:rPr>
              <w:fldChar w:fldCharType="begin"/>
            </w:r>
            <w:r w:rsidR="000504CF" w:rsidRPr="000504CF">
              <w:rPr>
                <w:webHidden/>
              </w:rPr>
              <w:instrText xml:space="preserve"> PAGEREF _Toc79585779 \h </w:instrText>
            </w:r>
            <w:r w:rsidR="000504CF" w:rsidRPr="000504CF">
              <w:rPr>
                <w:webHidden/>
              </w:rPr>
            </w:r>
            <w:r w:rsidR="000504CF" w:rsidRPr="000504CF">
              <w:rPr>
                <w:webHidden/>
              </w:rPr>
              <w:fldChar w:fldCharType="separate"/>
            </w:r>
            <w:r w:rsidR="00087BCF">
              <w:rPr>
                <w:webHidden/>
              </w:rPr>
              <w:t>3</w:t>
            </w:r>
            <w:r w:rsidR="000504CF" w:rsidRPr="000504CF">
              <w:rPr>
                <w:webHidden/>
              </w:rPr>
              <w:fldChar w:fldCharType="end"/>
            </w:r>
          </w:hyperlink>
        </w:p>
        <w:p w14:paraId="4C3E0709" w14:textId="6C60DA38" w:rsidR="000504CF" w:rsidRPr="000504CF" w:rsidRDefault="0013411A">
          <w:pPr>
            <w:pStyle w:val="TOC3"/>
            <w:rPr>
              <w:rFonts w:asciiTheme="minorHAnsi" w:eastAsiaTheme="minorEastAsia" w:hAnsiTheme="minorHAnsi"/>
              <w:lang w:eastAsia="en-AU"/>
            </w:rPr>
          </w:pPr>
          <w:hyperlink w:anchor="_Toc79585780" w:history="1">
            <w:r w:rsidR="000504CF" w:rsidRPr="000504CF">
              <w:rPr>
                <w:rStyle w:val="Hyperlink"/>
              </w:rPr>
              <w:t>Our portfolio</w:t>
            </w:r>
            <w:r w:rsidR="000504CF" w:rsidRPr="000504CF">
              <w:rPr>
                <w:webHidden/>
              </w:rPr>
              <w:tab/>
            </w:r>
            <w:r w:rsidR="000504CF" w:rsidRPr="000504CF">
              <w:rPr>
                <w:webHidden/>
              </w:rPr>
              <w:fldChar w:fldCharType="begin"/>
            </w:r>
            <w:r w:rsidR="000504CF" w:rsidRPr="000504CF">
              <w:rPr>
                <w:webHidden/>
              </w:rPr>
              <w:instrText xml:space="preserve"> PAGEREF _Toc79585780 \h </w:instrText>
            </w:r>
            <w:r w:rsidR="000504CF" w:rsidRPr="000504CF">
              <w:rPr>
                <w:webHidden/>
              </w:rPr>
            </w:r>
            <w:r w:rsidR="000504CF" w:rsidRPr="000504CF">
              <w:rPr>
                <w:webHidden/>
              </w:rPr>
              <w:fldChar w:fldCharType="separate"/>
            </w:r>
            <w:r w:rsidR="00087BCF">
              <w:rPr>
                <w:webHidden/>
              </w:rPr>
              <w:t>3</w:t>
            </w:r>
            <w:r w:rsidR="000504CF" w:rsidRPr="000504CF">
              <w:rPr>
                <w:webHidden/>
              </w:rPr>
              <w:fldChar w:fldCharType="end"/>
            </w:r>
          </w:hyperlink>
        </w:p>
        <w:p w14:paraId="02A0CA40" w14:textId="5AB9ED44" w:rsidR="000504CF" w:rsidRPr="000504CF" w:rsidRDefault="0013411A">
          <w:pPr>
            <w:pStyle w:val="TOC3"/>
            <w:rPr>
              <w:rFonts w:asciiTheme="minorHAnsi" w:eastAsiaTheme="minorEastAsia" w:hAnsiTheme="minorHAnsi"/>
              <w:lang w:eastAsia="en-AU"/>
            </w:rPr>
          </w:pPr>
          <w:hyperlink w:anchor="_Toc79585781" w:history="1">
            <w:r w:rsidR="000504CF" w:rsidRPr="000504CF">
              <w:rPr>
                <w:rStyle w:val="Hyperlink"/>
              </w:rPr>
              <w:t>Our work</w:t>
            </w:r>
            <w:r w:rsidR="000504CF" w:rsidRPr="000504CF">
              <w:rPr>
                <w:webHidden/>
              </w:rPr>
              <w:tab/>
            </w:r>
            <w:r w:rsidR="000504CF" w:rsidRPr="000504CF">
              <w:rPr>
                <w:webHidden/>
              </w:rPr>
              <w:fldChar w:fldCharType="begin"/>
            </w:r>
            <w:r w:rsidR="000504CF" w:rsidRPr="000504CF">
              <w:rPr>
                <w:webHidden/>
              </w:rPr>
              <w:instrText xml:space="preserve"> PAGEREF _Toc79585781 \h </w:instrText>
            </w:r>
            <w:r w:rsidR="000504CF" w:rsidRPr="000504CF">
              <w:rPr>
                <w:webHidden/>
              </w:rPr>
            </w:r>
            <w:r w:rsidR="000504CF" w:rsidRPr="000504CF">
              <w:rPr>
                <w:webHidden/>
              </w:rPr>
              <w:fldChar w:fldCharType="separate"/>
            </w:r>
            <w:r w:rsidR="00087BCF">
              <w:rPr>
                <w:webHidden/>
              </w:rPr>
              <w:t>4</w:t>
            </w:r>
            <w:r w:rsidR="000504CF" w:rsidRPr="000504CF">
              <w:rPr>
                <w:webHidden/>
              </w:rPr>
              <w:fldChar w:fldCharType="end"/>
            </w:r>
          </w:hyperlink>
        </w:p>
        <w:p w14:paraId="6D7BB4E4" w14:textId="30B3FFE3" w:rsidR="000504CF" w:rsidRPr="000504CF" w:rsidRDefault="0013411A">
          <w:pPr>
            <w:pStyle w:val="TOC3"/>
            <w:rPr>
              <w:rFonts w:asciiTheme="minorHAnsi" w:eastAsiaTheme="minorEastAsia" w:hAnsiTheme="minorHAnsi"/>
              <w:lang w:eastAsia="en-AU"/>
            </w:rPr>
          </w:pPr>
          <w:hyperlink w:anchor="_Toc79585782" w:history="1">
            <w:r w:rsidR="000504CF" w:rsidRPr="000504CF">
              <w:rPr>
                <w:rStyle w:val="Hyperlink"/>
              </w:rPr>
              <w:t>Our people and locations</w:t>
            </w:r>
            <w:r w:rsidR="000504CF" w:rsidRPr="000504CF">
              <w:rPr>
                <w:webHidden/>
              </w:rPr>
              <w:tab/>
            </w:r>
            <w:r w:rsidR="000504CF" w:rsidRPr="000504CF">
              <w:rPr>
                <w:webHidden/>
              </w:rPr>
              <w:fldChar w:fldCharType="begin"/>
            </w:r>
            <w:r w:rsidR="000504CF" w:rsidRPr="000504CF">
              <w:rPr>
                <w:webHidden/>
              </w:rPr>
              <w:instrText xml:space="preserve"> PAGEREF _Toc79585782 \h </w:instrText>
            </w:r>
            <w:r w:rsidR="000504CF" w:rsidRPr="000504CF">
              <w:rPr>
                <w:webHidden/>
              </w:rPr>
            </w:r>
            <w:r w:rsidR="000504CF" w:rsidRPr="000504CF">
              <w:rPr>
                <w:webHidden/>
              </w:rPr>
              <w:fldChar w:fldCharType="separate"/>
            </w:r>
            <w:r w:rsidR="00087BCF">
              <w:rPr>
                <w:webHidden/>
              </w:rPr>
              <w:t>5</w:t>
            </w:r>
            <w:r w:rsidR="000504CF" w:rsidRPr="000504CF">
              <w:rPr>
                <w:webHidden/>
              </w:rPr>
              <w:fldChar w:fldCharType="end"/>
            </w:r>
          </w:hyperlink>
        </w:p>
        <w:p w14:paraId="3DD77F26" w14:textId="4D50F10E" w:rsidR="000504CF" w:rsidRPr="000504CF" w:rsidRDefault="0013411A">
          <w:pPr>
            <w:pStyle w:val="TOC3"/>
            <w:rPr>
              <w:rFonts w:asciiTheme="minorHAnsi" w:eastAsiaTheme="minorEastAsia" w:hAnsiTheme="minorHAnsi"/>
              <w:lang w:eastAsia="en-AU"/>
            </w:rPr>
          </w:pPr>
          <w:hyperlink w:anchor="_Toc79585783" w:history="1">
            <w:r w:rsidR="000504CF" w:rsidRPr="000504CF">
              <w:rPr>
                <w:rStyle w:val="Hyperlink"/>
              </w:rPr>
              <w:t>Our values and principles</w:t>
            </w:r>
            <w:r w:rsidR="000504CF" w:rsidRPr="000504CF">
              <w:rPr>
                <w:webHidden/>
              </w:rPr>
              <w:tab/>
            </w:r>
            <w:r w:rsidR="000504CF" w:rsidRPr="000504CF">
              <w:rPr>
                <w:webHidden/>
              </w:rPr>
              <w:fldChar w:fldCharType="begin"/>
            </w:r>
            <w:r w:rsidR="000504CF" w:rsidRPr="000504CF">
              <w:rPr>
                <w:webHidden/>
              </w:rPr>
              <w:instrText xml:space="preserve"> PAGEREF _Toc79585783 \h </w:instrText>
            </w:r>
            <w:r w:rsidR="000504CF" w:rsidRPr="000504CF">
              <w:rPr>
                <w:webHidden/>
              </w:rPr>
            </w:r>
            <w:r w:rsidR="000504CF" w:rsidRPr="000504CF">
              <w:rPr>
                <w:webHidden/>
              </w:rPr>
              <w:fldChar w:fldCharType="separate"/>
            </w:r>
            <w:r w:rsidR="00087BCF">
              <w:rPr>
                <w:webHidden/>
              </w:rPr>
              <w:t>8</w:t>
            </w:r>
            <w:r w:rsidR="000504CF" w:rsidRPr="000504CF">
              <w:rPr>
                <w:webHidden/>
              </w:rPr>
              <w:fldChar w:fldCharType="end"/>
            </w:r>
          </w:hyperlink>
        </w:p>
        <w:p w14:paraId="0F35AA00" w14:textId="703D73A6" w:rsidR="000504CF" w:rsidRPr="000504CF" w:rsidRDefault="0013411A">
          <w:pPr>
            <w:pStyle w:val="TOC3"/>
            <w:rPr>
              <w:rFonts w:asciiTheme="minorHAnsi" w:eastAsiaTheme="minorEastAsia" w:hAnsiTheme="minorHAnsi"/>
              <w:lang w:eastAsia="en-AU"/>
            </w:rPr>
          </w:pPr>
          <w:hyperlink w:anchor="_Toc79585784" w:history="1">
            <w:r w:rsidR="000504CF" w:rsidRPr="000504CF">
              <w:rPr>
                <w:rStyle w:val="Hyperlink"/>
              </w:rPr>
              <w:t>Our objectives</w:t>
            </w:r>
            <w:r w:rsidR="000504CF" w:rsidRPr="000504CF">
              <w:rPr>
                <w:webHidden/>
              </w:rPr>
              <w:tab/>
            </w:r>
            <w:r w:rsidR="000504CF" w:rsidRPr="000504CF">
              <w:rPr>
                <w:webHidden/>
              </w:rPr>
              <w:fldChar w:fldCharType="begin"/>
            </w:r>
            <w:r w:rsidR="000504CF" w:rsidRPr="000504CF">
              <w:rPr>
                <w:webHidden/>
              </w:rPr>
              <w:instrText xml:space="preserve"> PAGEREF _Toc79585784 \h </w:instrText>
            </w:r>
            <w:r w:rsidR="000504CF" w:rsidRPr="000504CF">
              <w:rPr>
                <w:webHidden/>
              </w:rPr>
            </w:r>
            <w:r w:rsidR="000504CF" w:rsidRPr="000504CF">
              <w:rPr>
                <w:webHidden/>
              </w:rPr>
              <w:fldChar w:fldCharType="separate"/>
            </w:r>
            <w:r w:rsidR="00087BCF">
              <w:rPr>
                <w:webHidden/>
              </w:rPr>
              <w:t>9</w:t>
            </w:r>
            <w:r w:rsidR="000504CF" w:rsidRPr="000504CF">
              <w:rPr>
                <w:webHidden/>
              </w:rPr>
              <w:fldChar w:fldCharType="end"/>
            </w:r>
          </w:hyperlink>
        </w:p>
        <w:p w14:paraId="18C789A2" w14:textId="6331CD6C" w:rsidR="000504CF" w:rsidRPr="000504CF" w:rsidRDefault="0013411A">
          <w:pPr>
            <w:pStyle w:val="TOC2"/>
            <w:rPr>
              <w:rFonts w:asciiTheme="minorHAnsi" w:eastAsiaTheme="minorEastAsia" w:hAnsiTheme="minorHAnsi"/>
              <w:lang w:eastAsia="en-AU"/>
            </w:rPr>
          </w:pPr>
          <w:hyperlink w:anchor="_Toc79585785" w:history="1">
            <w:r w:rsidR="000504CF" w:rsidRPr="000504CF">
              <w:rPr>
                <w:rStyle w:val="Hyperlink"/>
              </w:rPr>
              <w:t>Our operating environment</w:t>
            </w:r>
            <w:r w:rsidR="000504CF" w:rsidRPr="000504CF">
              <w:rPr>
                <w:webHidden/>
              </w:rPr>
              <w:tab/>
            </w:r>
            <w:r w:rsidR="000504CF" w:rsidRPr="000504CF">
              <w:rPr>
                <w:webHidden/>
              </w:rPr>
              <w:fldChar w:fldCharType="begin"/>
            </w:r>
            <w:r w:rsidR="000504CF" w:rsidRPr="000504CF">
              <w:rPr>
                <w:webHidden/>
              </w:rPr>
              <w:instrText xml:space="preserve"> PAGEREF _Toc79585785 \h </w:instrText>
            </w:r>
            <w:r w:rsidR="000504CF" w:rsidRPr="000504CF">
              <w:rPr>
                <w:webHidden/>
              </w:rPr>
            </w:r>
            <w:r w:rsidR="000504CF" w:rsidRPr="000504CF">
              <w:rPr>
                <w:webHidden/>
              </w:rPr>
              <w:fldChar w:fldCharType="separate"/>
            </w:r>
            <w:r w:rsidR="00087BCF">
              <w:rPr>
                <w:webHidden/>
              </w:rPr>
              <w:t>10</w:t>
            </w:r>
            <w:r w:rsidR="000504CF" w:rsidRPr="000504CF">
              <w:rPr>
                <w:webHidden/>
              </w:rPr>
              <w:fldChar w:fldCharType="end"/>
            </w:r>
          </w:hyperlink>
        </w:p>
        <w:p w14:paraId="39F7D834" w14:textId="5F0B7D07" w:rsidR="000504CF" w:rsidRPr="000504CF" w:rsidRDefault="0013411A">
          <w:pPr>
            <w:pStyle w:val="TOC3"/>
            <w:rPr>
              <w:rFonts w:asciiTheme="minorHAnsi" w:eastAsiaTheme="minorEastAsia" w:hAnsiTheme="minorHAnsi"/>
              <w:lang w:eastAsia="en-AU"/>
            </w:rPr>
          </w:pPr>
          <w:hyperlink w:anchor="_Toc79585786" w:history="1">
            <w:r w:rsidR="000504CF" w:rsidRPr="000504CF">
              <w:rPr>
                <w:rStyle w:val="Hyperlink"/>
              </w:rPr>
              <w:t>Partnering for better outcomes</w:t>
            </w:r>
            <w:r w:rsidR="000504CF" w:rsidRPr="000504CF">
              <w:rPr>
                <w:webHidden/>
              </w:rPr>
              <w:tab/>
            </w:r>
            <w:r w:rsidR="000504CF" w:rsidRPr="000504CF">
              <w:rPr>
                <w:webHidden/>
              </w:rPr>
              <w:fldChar w:fldCharType="begin"/>
            </w:r>
            <w:r w:rsidR="000504CF" w:rsidRPr="000504CF">
              <w:rPr>
                <w:webHidden/>
              </w:rPr>
              <w:instrText xml:space="preserve"> PAGEREF _Toc79585786 \h </w:instrText>
            </w:r>
            <w:r w:rsidR="000504CF" w:rsidRPr="000504CF">
              <w:rPr>
                <w:webHidden/>
              </w:rPr>
            </w:r>
            <w:r w:rsidR="000504CF" w:rsidRPr="000504CF">
              <w:rPr>
                <w:webHidden/>
              </w:rPr>
              <w:fldChar w:fldCharType="separate"/>
            </w:r>
            <w:r w:rsidR="00087BCF">
              <w:rPr>
                <w:webHidden/>
              </w:rPr>
              <w:t>10</w:t>
            </w:r>
            <w:r w:rsidR="000504CF" w:rsidRPr="000504CF">
              <w:rPr>
                <w:webHidden/>
              </w:rPr>
              <w:fldChar w:fldCharType="end"/>
            </w:r>
          </w:hyperlink>
        </w:p>
        <w:p w14:paraId="742E2040" w14:textId="5D88F50C" w:rsidR="000504CF" w:rsidRPr="000504CF" w:rsidRDefault="0013411A">
          <w:pPr>
            <w:pStyle w:val="TOC3"/>
            <w:rPr>
              <w:rFonts w:asciiTheme="minorHAnsi" w:eastAsiaTheme="minorEastAsia" w:hAnsiTheme="minorHAnsi"/>
              <w:lang w:eastAsia="en-AU"/>
            </w:rPr>
          </w:pPr>
          <w:hyperlink w:anchor="_Toc79585787" w:history="1">
            <w:r w:rsidR="000504CF" w:rsidRPr="000504CF">
              <w:rPr>
                <w:rStyle w:val="Hyperlink"/>
              </w:rPr>
              <w:t>Responding to COVID</w:t>
            </w:r>
            <w:r w:rsidR="000504CF" w:rsidRPr="000504CF">
              <w:rPr>
                <w:rStyle w:val="Hyperlink"/>
              </w:rPr>
              <w:noBreakHyphen/>
              <w:t>19</w:t>
            </w:r>
            <w:r w:rsidR="000504CF" w:rsidRPr="000504CF">
              <w:rPr>
                <w:webHidden/>
              </w:rPr>
              <w:tab/>
            </w:r>
            <w:r w:rsidR="000504CF" w:rsidRPr="000504CF">
              <w:rPr>
                <w:webHidden/>
              </w:rPr>
              <w:fldChar w:fldCharType="begin"/>
            </w:r>
            <w:r w:rsidR="000504CF" w:rsidRPr="000504CF">
              <w:rPr>
                <w:webHidden/>
              </w:rPr>
              <w:instrText xml:space="preserve"> PAGEREF _Toc79585787 \h </w:instrText>
            </w:r>
            <w:r w:rsidR="000504CF" w:rsidRPr="000504CF">
              <w:rPr>
                <w:webHidden/>
              </w:rPr>
            </w:r>
            <w:r w:rsidR="000504CF" w:rsidRPr="000504CF">
              <w:rPr>
                <w:webHidden/>
              </w:rPr>
              <w:fldChar w:fldCharType="separate"/>
            </w:r>
            <w:r w:rsidR="00087BCF">
              <w:rPr>
                <w:webHidden/>
              </w:rPr>
              <w:t>10</w:t>
            </w:r>
            <w:r w:rsidR="000504CF" w:rsidRPr="000504CF">
              <w:rPr>
                <w:webHidden/>
              </w:rPr>
              <w:fldChar w:fldCharType="end"/>
            </w:r>
          </w:hyperlink>
        </w:p>
        <w:p w14:paraId="28981D87" w14:textId="7817774B" w:rsidR="000504CF" w:rsidRPr="000504CF" w:rsidRDefault="0013411A">
          <w:pPr>
            <w:pStyle w:val="TOC3"/>
            <w:rPr>
              <w:rFonts w:asciiTheme="minorHAnsi" w:eastAsiaTheme="minorEastAsia" w:hAnsiTheme="minorHAnsi"/>
              <w:lang w:eastAsia="en-AU"/>
            </w:rPr>
          </w:pPr>
          <w:hyperlink w:anchor="_Toc79585788" w:history="1">
            <w:r w:rsidR="000504CF" w:rsidRPr="000504CF">
              <w:rPr>
                <w:rStyle w:val="Hyperlink"/>
              </w:rPr>
              <w:t>Changing global markets</w:t>
            </w:r>
            <w:r w:rsidR="000504CF" w:rsidRPr="000504CF">
              <w:rPr>
                <w:webHidden/>
              </w:rPr>
              <w:tab/>
            </w:r>
            <w:r w:rsidR="000504CF" w:rsidRPr="000504CF">
              <w:rPr>
                <w:webHidden/>
              </w:rPr>
              <w:fldChar w:fldCharType="begin"/>
            </w:r>
            <w:r w:rsidR="000504CF" w:rsidRPr="000504CF">
              <w:rPr>
                <w:webHidden/>
              </w:rPr>
              <w:instrText xml:space="preserve"> PAGEREF _Toc79585788 \h </w:instrText>
            </w:r>
            <w:r w:rsidR="000504CF" w:rsidRPr="000504CF">
              <w:rPr>
                <w:webHidden/>
              </w:rPr>
            </w:r>
            <w:r w:rsidR="000504CF" w:rsidRPr="000504CF">
              <w:rPr>
                <w:webHidden/>
              </w:rPr>
              <w:fldChar w:fldCharType="separate"/>
            </w:r>
            <w:r w:rsidR="00087BCF">
              <w:rPr>
                <w:webHidden/>
              </w:rPr>
              <w:t>10</w:t>
            </w:r>
            <w:r w:rsidR="000504CF" w:rsidRPr="000504CF">
              <w:rPr>
                <w:webHidden/>
              </w:rPr>
              <w:fldChar w:fldCharType="end"/>
            </w:r>
          </w:hyperlink>
        </w:p>
        <w:p w14:paraId="6EB19BA2" w14:textId="734FD95D" w:rsidR="000504CF" w:rsidRPr="000504CF" w:rsidRDefault="0013411A">
          <w:pPr>
            <w:pStyle w:val="TOC3"/>
            <w:rPr>
              <w:rFonts w:asciiTheme="minorHAnsi" w:eastAsiaTheme="minorEastAsia" w:hAnsiTheme="minorHAnsi"/>
              <w:lang w:eastAsia="en-AU"/>
            </w:rPr>
          </w:pPr>
          <w:hyperlink w:anchor="_Toc79585789" w:history="1">
            <w:r w:rsidR="000504CF" w:rsidRPr="000504CF">
              <w:rPr>
                <w:rStyle w:val="Hyperlink"/>
              </w:rPr>
              <w:t>Technology and innovation</w:t>
            </w:r>
            <w:r w:rsidR="000504CF" w:rsidRPr="000504CF">
              <w:rPr>
                <w:webHidden/>
              </w:rPr>
              <w:tab/>
            </w:r>
            <w:r w:rsidR="000504CF" w:rsidRPr="000504CF">
              <w:rPr>
                <w:webHidden/>
              </w:rPr>
              <w:fldChar w:fldCharType="begin"/>
            </w:r>
            <w:r w:rsidR="000504CF" w:rsidRPr="000504CF">
              <w:rPr>
                <w:webHidden/>
              </w:rPr>
              <w:instrText xml:space="preserve"> PAGEREF _Toc79585789 \h </w:instrText>
            </w:r>
            <w:r w:rsidR="000504CF" w:rsidRPr="000504CF">
              <w:rPr>
                <w:webHidden/>
              </w:rPr>
            </w:r>
            <w:r w:rsidR="000504CF" w:rsidRPr="000504CF">
              <w:rPr>
                <w:webHidden/>
              </w:rPr>
              <w:fldChar w:fldCharType="separate"/>
            </w:r>
            <w:r w:rsidR="00087BCF">
              <w:rPr>
                <w:webHidden/>
              </w:rPr>
              <w:t>11</w:t>
            </w:r>
            <w:r w:rsidR="000504CF" w:rsidRPr="000504CF">
              <w:rPr>
                <w:webHidden/>
              </w:rPr>
              <w:fldChar w:fldCharType="end"/>
            </w:r>
          </w:hyperlink>
        </w:p>
        <w:p w14:paraId="2EAC7CA8" w14:textId="57C64ACC" w:rsidR="000504CF" w:rsidRPr="000504CF" w:rsidRDefault="0013411A">
          <w:pPr>
            <w:pStyle w:val="TOC3"/>
            <w:rPr>
              <w:rFonts w:asciiTheme="minorHAnsi" w:eastAsiaTheme="minorEastAsia" w:hAnsiTheme="minorHAnsi"/>
              <w:lang w:eastAsia="en-AU"/>
            </w:rPr>
          </w:pPr>
          <w:hyperlink w:anchor="_Toc79585790" w:history="1">
            <w:r w:rsidR="000504CF" w:rsidRPr="000504CF">
              <w:rPr>
                <w:rStyle w:val="Hyperlink"/>
              </w:rPr>
              <w:t>Climate resilience</w:t>
            </w:r>
            <w:r w:rsidR="000504CF" w:rsidRPr="000504CF">
              <w:rPr>
                <w:webHidden/>
              </w:rPr>
              <w:tab/>
            </w:r>
            <w:r w:rsidR="000504CF" w:rsidRPr="000504CF">
              <w:rPr>
                <w:webHidden/>
              </w:rPr>
              <w:fldChar w:fldCharType="begin"/>
            </w:r>
            <w:r w:rsidR="000504CF" w:rsidRPr="000504CF">
              <w:rPr>
                <w:webHidden/>
              </w:rPr>
              <w:instrText xml:space="preserve"> PAGEREF _Toc79585790 \h </w:instrText>
            </w:r>
            <w:r w:rsidR="000504CF" w:rsidRPr="000504CF">
              <w:rPr>
                <w:webHidden/>
              </w:rPr>
            </w:r>
            <w:r w:rsidR="000504CF" w:rsidRPr="000504CF">
              <w:rPr>
                <w:webHidden/>
              </w:rPr>
              <w:fldChar w:fldCharType="separate"/>
            </w:r>
            <w:r w:rsidR="00087BCF">
              <w:rPr>
                <w:webHidden/>
              </w:rPr>
              <w:t>11</w:t>
            </w:r>
            <w:r w:rsidR="000504CF" w:rsidRPr="000504CF">
              <w:rPr>
                <w:webHidden/>
              </w:rPr>
              <w:fldChar w:fldCharType="end"/>
            </w:r>
          </w:hyperlink>
        </w:p>
        <w:p w14:paraId="2A36F49A" w14:textId="713F540B" w:rsidR="000504CF" w:rsidRPr="000504CF" w:rsidRDefault="0013411A">
          <w:pPr>
            <w:pStyle w:val="TOC2"/>
            <w:rPr>
              <w:rFonts w:asciiTheme="minorHAnsi" w:eastAsiaTheme="minorEastAsia" w:hAnsiTheme="minorHAnsi"/>
              <w:lang w:eastAsia="en-AU"/>
            </w:rPr>
          </w:pPr>
          <w:hyperlink w:anchor="_Toc79585791" w:history="1">
            <w:r w:rsidR="000504CF" w:rsidRPr="000504CF">
              <w:rPr>
                <w:rStyle w:val="Hyperlink"/>
              </w:rPr>
              <w:t>Our strategic priorities</w:t>
            </w:r>
            <w:r w:rsidR="000504CF" w:rsidRPr="000504CF">
              <w:rPr>
                <w:webHidden/>
              </w:rPr>
              <w:tab/>
            </w:r>
            <w:r w:rsidR="000504CF" w:rsidRPr="000504CF">
              <w:rPr>
                <w:webHidden/>
              </w:rPr>
              <w:fldChar w:fldCharType="begin"/>
            </w:r>
            <w:r w:rsidR="000504CF" w:rsidRPr="000504CF">
              <w:rPr>
                <w:webHidden/>
              </w:rPr>
              <w:instrText xml:space="preserve"> PAGEREF _Toc79585791 \h </w:instrText>
            </w:r>
            <w:r w:rsidR="000504CF" w:rsidRPr="000504CF">
              <w:rPr>
                <w:webHidden/>
              </w:rPr>
            </w:r>
            <w:r w:rsidR="000504CF" w:rsidRPr="000504CF">
              <w:rPr>
                <w:webHidden/>
              </w:rPr>
              <w:fldChar w:fldCharType="separate"/>
            </w:r>
            <w:r w:rsidR="00087BCF">
              <w:rPr>
                <w:webHidden/>
              </w:rPr>
              <w:t>13</w:t>
            </w:r>
            <w:r w:rsidR="000504CF" w:rsidRPr="000504CF">
              <w:rPr>
                <w:webHidden/>
              </w:rPr>
              <w:fldChar w:fldCharType="end"/>
            </w:r>
          </w:hyperlink>
        </w:p>
        <w:p w14:paraId="19527AEF" w14:textId="6F66AAB5" w:rsidR="000504CF" w:rsidRPr="000504CF" w:rsidRDefault="0013411A">
          <w:pPr>
            <w:pStyle w:val="TOC3"/>
            <w:rPr>
              <w:rFonts w:asciiTheme="minorHAnsi" w:eastAsiaTheme="minorEastAsia" w:hAnsiTheme="minorHAnsi"/>
              <w:lang w:eastAsia="en-AU"/>
            </w:rPr>
          </w:pPr>
          <w:hyperlink w:anchor="_Toc79585792" w:history="1">
            <w:r w:rsidR="000504CF" w:rsidRPr="000504CF">
              <w:rPr>
                <w:rStyle w:val="Hyperlink"/>
              </w:rPr>
              <w:t>Supporting our primary industries</w:t>
            </w:r>
            <w:r w:rsidR="000504CF" w:rsidRPr="000504CF">
              <w:rPr>
                <w:webHidden/>
              </w:rPr>
              <w:tab/>
            </w:r>
            <w:r w:rsidR="000504CF" w:rsidRPr="000504CF">
              <w:rPr>
                <w:webHidden/>
              </w:rPr>
              <w:fldChar w:fldCharType="begin"/>
            </w:r>
            <w:r w:rsidR="000504CF" w:rsidRPr="000504CF">
              <w:rPr>
                <w:webHidden/>
              </w:rPr>
              <w:instrText xml:space="preserve"> PAGEREF _Toc79585792 \h </w:instrText>
            </w:r>
            <w:r w:rsidR="000504CF" w:rsidRPr="000504CF">
              <w:rPr>
                <w:webHidden/>
              </w:rPr>
            </w:r>
            <w:r w:rsidR="000504CF" w:rsidRPr="000504CF">
              <w:rPr>
                <w:webHidden/>
              </w:rPr>
              <w:fldChar w:fldCharType="separate"/>
            </w:r>
            <w:r w:rsidR="00087BCF">
              <w:rPr>
                <w:webHidden/>
              </w:rPr>
              <w:t>14</w:t>
            </w:r>
            <w:r w:rsidR="000504CF" w:rsidRPr="000504CF">
              <w:rPr>
                <w:webHidden/>
              </w:rPr>
              <w:fldChar w:fldCharType="end"/>
            </w:r>
          </w:hyperlink>
        </w:p>
        <w:p w14:paraId="0C42E524" w14:textId="06DB2169" w:rsidR="000504CF" w:rsidRPr="000504CF" w:rsidRDefault="0013411A">
          <w:pPr>
            <w:pStyle w:val="TOC3"/>
            <w:rPr>
              <w:rFonts w:asciiTheme="minorHAnsi" w:eastAsiaTheme="minorEastAsia" w:hAnsiTheme="minorHAnsi"/>
              <w:lang w:eastAsia="en-AU"/>
            </w:rPr>
          </w:pPr>
          <w:hyperlink w:anchor="_Toc79585793" w:history="1">
            <w:r w:rsidR="000504CF" w:rsidRPr="000504CF">
              <w:rPr>
                <w:rStyle w:val="Hyperlink"/>
              </w:rPr>
              <w:t>Improving how we regulate</w:t>
            </w:r>
            <w:r w:rsidR="000504CF" w:rsidRPr="000504CF">
              <w:rPr>
                <w:webHidden/>
              </w:rPr>
              <w:tab/>
            </w:r>
            <w:r w:rsidR="000504CF" w:rsidRPr="000504CF">
              <w:rPr>
                <w:webHidden/>
              </w:rPr>
              <w:fldChar w:fldCharType="begin"/>
            </w:r>
            <w:r w:rsidR="000504CF" w:rsidRPr="000504CF">
              <w:rPr>
                <w:webHidden/>
              </w:rPr>
              <w:instrText xml:space="preserve"> PAGEREF _Toc79585793 \h </w:instrText>
            </w:r>
            <w:r w:rsidR="000504CF" w:rsidRPr="000504CF">
              <w:rPr>
                <w:webHidden/>
              </w:rPr>
            </w:r>
            <w:r w:rsidR="000504CF" w:rsidRPr="000504CF">
              <w:rPr>
                <w:webHidden/>
              </w:rPr>
              <w:fldChar w:fldCharType="separate"/>
            </w:r>
            <w:r w:rsidR="00087BCF">
              <w:rPr>
                <w:webHidden/>
              </w:rPr>
              <w:t>14</w:t>
            </w:r>
            <w:r w:rsidR="000504CF" w:rsidRPr="000504CF">
              <w:rPr>
                <w:webHidden/>
              </w:rPr>
              <w:fldChar w:fldCharType="end"/>
            </w:r>
          </w:hyperlink>
        </w:p>
        <w:p w14:paraId="7D5D4009" w14:textId="77E96413" w:rsidR="000504CF" w:rsidRPr="000504CF" w:rsidRDefault="0013411A">
          <w:pPr>
            <w:pStyle w:val="TOC3"/>
            <w:rPr>
              <w:rFonts w:asciiTheme="minorHAnsi" w:eastAsiaTheme="minorEastAsia" w:hAnsiTheme="minorHAnsi"/>
              <w:lang w:eastAsia="en-AU"/>
            </w:rPr>
          </w:pPr>
          <w:hyperlink w:anchor="_Toc79585794" w:history="1">
            <w:r w:rsidR="000504CF" w:rsidRPr="000504CF">
              <w:rPr>
                <w:rStyle w:val="Hyperlink"/>
              </w:rPr>
              <w:t>Strengthening biosecurity</w:t>
            </w:r>
            <w:r w:rsidR="000504CF" w:rsidRPr="000504CF">
              <w:rPr>
                <w:webHidden/>
              </w:rPr>
              <w:tab/>
            </w:r>
            <w:r w:rsidR="000504CF" w:rsidRPr="000504CF">
              <w:rPr>
                <w:webHidden/>
              </w:rPr>
              <w:fldChar w:fldCharType="begin"/>
            </w:r>
            <w:r w:rsidR="000504CF" w:rsidRPr="000504CF">
              <w:rPr>
                <w:webHidden/>
              </w:rPr>
              <w:instrText xml:space="preserve"> PAGEREF _Toc79585794 \h </w:instrText>
            </w:r>
            <w:r w:rsidR="000504CF" w:rsidRPr="000504CF">
              <w:rPr>
                <w:webHidden/>
              </w:rPr>
            </w:r>
            <w:r w:rsidR="000504CF" w:rsidRPr="000504CF">
              <w:rPr>
                <w:webHidden/>
              </w:rPr>
              <w:fldChar w:fldCharType="separate"/>
            </w:r>
            <w:r w:rsidR="00087BCF">
              <w:rPr>
                <w:webHidden/>
              </w:rPr>
              <w:t>14</w:t>
            </w:r>
            <w:r w:rsidR="000504CF" w:rsidRPr="000504CF">
              <w:rPr>
                <w:webHidden/>
              </w:rPr>
              <w:fldChar w:fldCharType="end"/>
            </w:r>
          </w:hyperlink>
        </w:p>
        <w:p w14:paraId="7D6E8EAE" w14:textId="58D4B0BB" w:rsidR="000504CF" w:rsidRPr="000504CF" w:rsidRDefault="0013411A">
          <w:pPr>
            <w:pStyle w:val="TOC3"/>
            <w:rPr>
              <w:rFonts w:asciiTheme="minorHAnsi" w:eastAsiaTheme="minorEastAsia" w:hAnsiTheme="minorHAnsi"/>
              <w:lang w:eastAsia="en-AU"/>
            </w:rPr>
          </w:pPr>
          <w:hyperlink w:anchor="_Toc79585795" w:history="1">
            <w:r w:rsidR="000504CF" w:rsidRPr="000504CF">
              <w:rPr>
                <w:rStyle w:val="Hyperlink"/>
              </w:rPr>
              <w:t>Protecting our environment and heritage</w:t>
            </w:r>
            <w:r w:rsidR="000504CF" w:rsidRPr="000504CF">
              <w:rPr>
                <w:webHidden/>
              </w:rPr>
              <w:tab/>
            </w:r>
            <w:r w:rsidR="000504CF" w:rsidRPr="000504CF">
              <w:rPr>
                <w:webHidden/>
              </w:rPr>
              <w:fldChar w:fldCharType="begin"/>
            </w:r>
            <w:r w:rsidR="000504CF" w:rsidRPr="000504CF">
              <w:rPr>
                <w:webHidden/>
              </w:rPr>
              <w:instrText xml:space="preserve"> PAGEREF _Toc79585795 \h </w:instrText>
            </w:r>
            <w:r w:rsidR="000504CF" w:rsidRPr="000504CF">
              <w:rPr>
                <w:webHidden/>
              </w:rPr>
            </w:r>
            <w:r w:rsidR="000504CF" w:rsidRPr="000504CF">
              <w:rPr>
                <w:webHidden/>
              </w:rPr>
              <w:fldChar w:fldCharType="separate"/>
            </w:r>
            <w:r w:rsidR="00087BCF">
              <w:rPr>
                <w:webHidden/>
              </w:rPr>
              <w:t>15</w:t>
            </w:r>
            <w:r w:rsidR="000504CF" w:rsidRPr="000504CF">
              <w:rPr>
                <w:webHidden/>
              </w:rPr>
              <w:fldChar w:fldCharType="end"/>
            </w:r>
          </w:hyperlink>
        </w:p>
        <w:p w14:paraId="15649B54" w14:textId="239D9BF8" w:rsidR="000504CF" w:rsidRPr="000504CF" w:rsidRDefault="0013411A">
          <w:pPr>
            <w:pStyle w:val="TOC3"/>
            <w:rPr>
              <w:rFonts w:asciiTheme="minorHAnsi" w:eastAsiaTheme="minorEastAsia" w:hAnsiTheme="minorHAnsi"/>
              <w:lang w:eastAsia="en-AU"/>
            </w:rPr>
          </w:pPr>
          <w:hyperlink w:anchor="_Toc79585796" w:history="1">
            <w:r w:rsidR="000504CF" w:rsidRPr="000504CF">
              <w:rPr>
                <w:rStyle w:val="Hyperlink"/>
              </w:rPr>
              <w:t>Managing water and waste</w:t>
            </w:r>
            <w:r w:rsidR="000504CF" w:rsidRPr="000504CF">
              <w:rPr>
                <w:webHidden/>
              </w:rPr>
              <w:tab/>
            </w:r>
            <w:r w:rsidR="000504CF" w:rsidRPr="000504CF">
              <w:rPr>
                <w:webHidden/>
              </w:rPr>
              <w:fldChar w:fldCharType="begin"/>
            </w:r>
            <w:r w:rsidR="000504CF" w:rsidRPr="000504CF">
              <w:rPr>
                <w:webHidden/>
              </w:rPr>
              <w:instrText xml:space="preserve"> PAGEREF _Toc79585796 \h </w:instrText>
            </w:r>
            <w:r w:rsidR="000504CF" w:rsidRPr="000504CF">
              <w:rPr>
                <w:webHidden/>
              </w:rPr>
            </w:r>
            <w:r w:rsidR="000504CF" w:rsidRPr="000504CF">
              <w:rPr>
                <w:webHidden/>
              </w:rPr>
              <w:fldChar w:fldCharType="separate"/>
            </w:r>
            <w:r w:rsidR="00087BCF">
              <w:rPr>
                <w:webHidden/>
              </w:rPr>
              <w:t>15</w:t>
            </w:r>
            <w:r w:rsidR="000504CF" w:rsidRPr="000504CF">
              <w:rPr>
                <w:webHidden/>
              </w:rPr>
              <w:fldChar w:fldCharType="end"/>
            </w:r>
          </w:hyperlink>
        </w:p>
        <w:p w14:paraId="4FA7B191" w14:textId="5BC85CDD" w:rsidR="000504CF" w:rsidRPr="000504CF" w:rsidRDefault="0013411A">
          <w:pPr>
            <w:pStyle w:val="TOC2"/>
            <w:rPr>
              <w:rFonts w:asciiTheme="minorHAnsi" w:eastAsiaTheme="minorEastAsia" w:hAnsiTheme="minorHAnsi"/>
              <w:lang w:eastAsia="en-AU"/>
            </w:rPr>
          </w:pPr>
          <w:hyperlink w:anchor="_Toc79585797" w:history="1">
            <w:r w:rsidR="000504CF" w:rsidRPr="000504CF">
              <w:rPr>
                <w:rStyle w:val="Hyperlink"/>
              </w:rPr>
              <w:t>Enhancing our capabilities</w:t>
            </w:r>
            <w:r w:rsidR="000504CF" w:rsidRPr="000504CF">
              <w:rPr>
                <w:webHidden/>
              </w:rPr>
              <w:tab/>
            </w:r>
            <w:r w:rsidR="000504CF" w:rsidRPr="000504CF">
              <w:rPr>
                <w:webHidden/>
              </w:rPr>
              <w:fldChar w:fldCharType="begin"/>
            </w:r>
            <w:r w:rsidR="000504CF" w:rsidRPr="000504CF">
              <w:rPr>
                <w:webHidden/>
              </w:rPr>
              <w:instrText xml:space="preserve"> PAGEREF _Toc79585797 \h </w:instrText>
            </w:r>
            <w:r w:rsidR="000504CF" w:rsidRPr="000504CF">
              <w:rPr>
                <w:webHidden/>
              </w:rPr>
            </w:r>
            <w:r w:rsidR="000504CF" w:rsidRPr="000504CF">
              <w:rPr>
                <w:webHidden/>
              </w:rPr>
              <w:fldChar w:fldCharType="separate"/>
            </w:r>
            <w:r w:rsidR="00087BCF">
              <w:rPr>
                <w:webHidden/>
              </w:rPr>
              <w:t>17</w:t>
            </w:r>
            <w:r w:rsidR="000504CF" w:rsidRPr="000504CF">
              <w:rPr>
                <w:webHidden/>
              </w:rPr>
              <w:fldChar w:fldCharType="end"/>
            </w:r>
          </w:hyperlink>
        </w:p>
        <w:p w14:paraId="6F53EF86" w14:textId="6EC2666E" w:rsidR="000504CF" w:rsidRPr="000504CF" w:rsidRDefault="0013411A">
          <w:pPr>
            <w:pStyle w:val="TOC3"/>
            <w:rPr>
              <w:rFonts w:asciiTheme="minorHAnsi" w:eastAsiaTheme="minorEastAsia" w:hAnsiTheme="minorHAnsi"/>
              <w:lang w:eastAsia="en-AU"/>
            </w:rPr>
          </w:pPr>
          <w:hyperlink w:anchor="_Toc79585798" w:history="1">
            <w:r w:rsidR="000504CF" w:rsidRPr="000504CF">
              <w:rPr>
                <w:rStyle w:val="Hyperlink"/>
              </w:rPr>
              <w:t>People, culture and leadership</w:t>
            </w:r>
            <w:r w:rsidR="000504CF" w:rsidRPr="000504CF">
              <w:rPr>
                <w:webHidden/>
              </w:rPr>
              <w:tab/>
            </w:r>
            <w:r w:rsidR="000504CF" w:rsidRPr="000504CF">
              <w:rPr>
                <w:webHidden/>
              </w:rPr>
              <w:fldChar w:fldCharType="begin"/>
            </w:r>
            <w:r w:rsidR="000504CF" w:rsidRPr="000504CF">
              <w:rPr>
                <w:webHidden/>
              </w:rPr>
              <w:instrText xml:space="preserve"> PAGEREF _Toc79585798 \h </w:instrText>
            </w:r>
            <w:r w:rsidR="000504CF" w:rsidRPr="000504CF">
              <w:rPr>
                <w:webHidden/>
              </w:rPr>
            </w:r>
            <w:r w:rsidR="000504CF" w:rsidRPr="000504CF">
              <w:rPr>
                <w:webHidden/>
              </w:rPr>
              <w:fldChar w:fldCharType="separate"/>
            </w:r>
            <w:r w:rsidR="00087BCF">
              <w:rPr>
                <w:webHidden/>
              </w:rPr>
              <w:t>17</w:t>
            </w:r>
            <w:r w:rsidR="000504CF" w:rsidRPr="000504CF">
              <w:rPr>
                <w:webHidden/>
              </w:rPr>
              <w:fldChar w:fldCharType="end"/>
            </w:r>
          </w:hyperlink>
        </w:p>
        <w:p w14:paraId="0218DE72" w14:textId="6AED8155" w:rsidR="000504CF" w:rsidRPr="000504CF" w:rsidRDefault="0013411A">
          <w:pPr>
            <w:pStyle w:val="TOC3"/>
            <w:rPr>
              <w:rFonts w:asciiTheme="minorHAnsi" w:eastAsiaTheme="minorEastAsia" w:hAnsiTheme="minorHAnsi"/>
              <w:lang w:eastAsia="en-AU"/>
            </w:rPr>
          </w:pPr>
          <w:hyperlink w:anchor="_Toc79585799" w:history="1">
            <w:r w:rsidR="000504CF" w:rsidRPr="000504CF">
              <w:rPr>
                <w:rStyle w:val="Hyperlink"/>
              </w:rPr>
              <w:t>Partnerships and stakeholder engagement</w:t>
            </w:r>
            <w:r w:rsidR="000504CF" w:rsidRPr="000504CF">
              <w:rPr>
                <w:webHidden/>
              </w:rPr>
              <w:tab/>
            </w:r>
            <w:r w:rsidR="000504CF" w:rsidRPr="000504CF">
              <w:rPr>
                <w:webHidden/>
              </w:rPr>
              <w:fldChar w:fldCharType="begin"/>
            </w:r>
            <w:r w:rsidR="000504CF" w:rsidRPr="000504CF">
              <w:rPr>
                <w:webHidden/>
              </w:rPr>
              <w:instrText xml:space="preserve"> PAGEREF _Toc79585799 \h </w:instrText>
            </w:r>
            <w:r w:rsidR="000504CF" w:rsidRPr="000504CF">
              <w:rPr>
                <w:webHidden/>
              </w:rPr>
            </w:r>
            <w:r w:rsidR="000504CF" w:rsidRPr="000504CF">
              <w:rPr>
                <w:webHidden/>
              </w:rPr>
              <w:fldChar w:fldCharType="separate"/>
            </w:r>
            <w:r w:rsidR="00087BCF">
              <w:rPr>
                <w:webHidden/>
              </w:rPr>
              <w:t>18</w:t>
            </w:r>
            <w:r w:rsidR="000504CF" w:rsidRPr="000504CF">
              <w:rPr>
                <w:webHidden/>
              </w:rPr>
              <w:fldChar w:fldCharType="end"/>
            </w:r>
          </w:hyperlink>
        </w:p>
        <w:p w14:paraId="0F1A6B26" w14:textId="4C0784A9" w:rsidR="000504CF" w:rsidRPr="000504CF" w:rsidRDefault="0013411A">
          <w:pPr>
            <w:pStyle w:val="TOC3"/>
            <w:rPr>
              <w:rFonts w:asciiTheme="minorHAnsi" w:eastAsiaTheme="minorEastAsia" w:hAnsiTheme="minorHAnsi"/>
              <w:lang w:eastAsia="en-AU"/>
            </w:rPr>
          </w:pPr>
          <w:hyperlink w:anchor="_Toc79585800" w:history="1">
            <w:r w:rsidR="000504CF" w:rsidRPr="000504CF">
              <w:rPr>
                <w:rStyle w:val="Hyperlink"/>
              </w:rPr>
              <w:t>Cross-cutting science, innovation and research</w:t>
            </w:r>
            <w:r w:rsidR="000504CF" w:rsidRPr="000504CF">
              <w:rPr>
                <w:webHidden/>
              </w:rPr>
              <w:tab/>
            </w:r>
            <w:r w:rsidR="000504CF" w:rsidRPr="000504CF">
              <w:rPr>
                <w:webHidden/>
              </w:rPr>
              <w:fldChar w:fldCharType="begin"/>
            </w:r>
            <w:r w:rsidR="000504CF" w:rsidRPr="000504CF">
              <w:rPr>
                <w:webHidden/>
              </w:rPr>
              <w:instrText xml:space="preserve"> PAGEREF _Toc79585800 \h </w:instrText>
            </w:r>
            <w:r w:rsidR="000504CF" w:rsidRPr="000504CF">
              <w:rPr>
                <w:webHidden/>
              </w:rPr>
            </w:r>
            <w:r w:rsidR="000504CF" w:rsidRPr="000504CF">
              <w:rPr>
                <w:webHidden/>
              </w:rPr>
              <w:fldChar w:fldCharType="separate"/>
            </w:r>
            <w:r w:rsidR="00087BCF">
              <w:rPr>
                <w:webHidden/>
              </w:rPr>
              <w:t>20</w:t>
            </w:r>
            <w:r w:rsidR="000504CF" w:rsidRPr="000504CF">
              <w:rPr>
                <w:webHidden/>
              </w:rPr>
              <w:fldChar w:fldCharType="end"/>
            </w:r>
          </w:hyperlink>
        </w:p>
        <w:p w14:paraId="038D38F9" w14:textId="5EAED8F0" w:rsidR="000504CF" w:rsidRPr="000504CF" w:rsidRDefault="0013411A">
          <w:pPr>
            <w:pStyle w:val="TOC3"/>
            <w:rPr>
              <w:rFonts w:asciiTheme="minorHAnsi" w:eastAsiaTheme="minorEastAsia" w:hAnsiTheme="minorHAnsi"/>
              <w:lang w:eastAsia="en-AU"/>
            </w:rPr>
          </w:pPr>
          <w:hyperlink w:anchor="_Toc79585801" w:history="1">
            <w:r w:rsidR="000504CF" w:rsidRPr="000504CF">
              <w:rPr>
                <w:rStyle w:val="Hyperlink"/>
              </w:rPr>
              <w:t>Technology and digital transformation</w:t>
            </w:r>
            <w:r w:rsidR="000504CF" w:rsidRPr="000504CF">
              <w:rPr>
                <w:webHidden/>
              </w:rPr>
              <w:tab/>
            </w:r>
            <w:r w:rsidR="000504CF" w:rsidRPr="000504CF">
              <w:rPr>
                <w:webHidden/>
              </w:rPr>
              <w:fldChar w:fldCharType="begin"/>
            </w:r>
            <w:r w:rsidR="000504CF" w:rsidRPr="000504CF">
              <w:rPr>
                <w:webHidden/>
              </w:rPr>
              <w:instrText xml:space="preserve"> PAGEREF _Toc79585801 \h </w:instrText>
            </w:r>
            <w:r w:rsidR="000504CF" w:rsidRPr="000504CF">
              <w:rPr>
                <w:webHidden/>
              </w:rPr>
            </w:r>
            <w:r w:rsidR="000504CF" w:rsidRPr="000504CF">
              <w:rPr>
                <w:webHidden/>
              </w:rPr>
              <w:fldChar w:fldCharType="separate"/>
            </w:r>
            <w:r w:rsidR="00087BCF">
              <w:rPr>
                <w:webHidden/>
              </w:rPr>
              <w:t>21</w:t>
            </w:r>
            <w:r w:rsidR="000504CF" w:rsidRPr="000504CF">
              <w:rPr>
                <w:webHidden/>
              </w:rPr>
              <w:fldChar w:fldCharType="end"/>
            </w:r>
          </w:hyperlink>
        </w:p>
        <w:p w14:paraId="5BCF5A5C" w14:textId="53F91064" w:rsidR="000504CF" w:rsidRPr="000504CF" w:rsidRDefault="0013411A">
          <w:pPr>
            <w:pStyle w:val="TOC3"/>
            <w:rPr>
              <w:rFonts w:asciiTheme="minorHAnsi" w:eastAsiaTheme="minorEastAsia" w:hAnsiTheme="minorHAnsi"/>
              <w:lang w:eastAsia="en-AU"/>
            </w:rPr>
          </w:pPr>
          <w:hyperlink w:anchor="_Toc79585802" w:history="1">
            <w:r w:rsidR="000504CF" w:rsidRPr="000504CF">
              <w:rPr>
                <w:rStyle w:val="Hyperlink"/>
              </w:rPr>
              <w:t>Regulatory maturity</w:t>
            </w:r>
            <w:r w:rsidR="000504CF" w:rsidRPr="000504CF">
              <w:rPr>
                <w:webHidden/>
              </w:rPr>
              <w:tab/>
            </w:r>
            <w:r w:rsidR="000504CF" w:rsidRPr="000504CF">
              <w:rPr>
                <w:webHidden/>
              </w:rPr>
              <w:fldChar w:fldCharType="begin"/>
            </w:r>
            <w:r w:rsidR="000504CF" w:rsidRPr="000504CF">
              <w:rPr>
                <w:webHidden/>
              </w:rPr>
              <w:instrText xml:space="preserve"> PAGEREF _Toc79585802 \h </w:instrText>
            </w:r>
            <w:r w:rsidR="000504CF" w:rsidRPr="000504CF">
              <w:rPr>
                <w:webHidden/>
              </w:rPr>
            </w:r>
            <w:r w:rsidR="000504CF" w:rsidRPr="000504CF">
              <w:rPr>
                <w:webHidden/>
              </w:rPr>
              <w:fldChar w:fldCharType="separate"/>
            </w:r>
            <w:r w:rsidR="00087BCF">
              <w:rPr>
                <w:webHidden/>
              </w:rPr>
              <w:t>21</w:t>
            </w:r>
            <w:r w:rsidR="000504CF" w:rsidRPr="000504CF">
              <w:rPr>
                <w:webHidden/>
              </w:rPr>
              <w:fldChar w:fldCharType="end"/>
            </w:r>
          </w:hyperlink>
        </w:p>
        <w:p w14:paraId="3CCA5436" w14:textId="5404204B" w:rsidR="000504CF" w:rsidRPr="000504CF" w:rsidRDefault="0013411A">
          <w:pPr>
            <w:pStyle w:val="TOC2"/>
            <w:rPr>
              <w:rFonts w:asciiTheme="minorHAnsi" w:eastAsiaTheme="minorEastAsia" w:hAnsiTheme="minorHAnsi"/>
              <w:lang w:eastAsia="en-AU"/>
            </w:rPr>
          </w:pPr>
          <w:hyperlink w:anchor="_Toc79585803" w:history="1">
            <w:r w:rsidR="000504CF" w:rsidRPr="000504CF">
              <w:rPr>
                <w:rStyle w:val="Hyperlink"/>
              </w:rPr>
              <w:t>Managing risk</w:t>
            </w:r>
            <w:r w:rsidR="000504CF" w:rsidRPr="000504CF">
              <w:rPr>
                <w:webHidden/>
              </w:rPr>
              <w:tab/>
            </w:r>
            <w:r w:rsidR="000504CF" w:rsidRPr="000504CF">
              <w:rPr>
                <w:webHidden/>
              </w:rPr>
              <w:fldChar w:fldCharType="begin"/>
            </w:r>
            <w:r w:rsidR="000504CF" w:rsidRPr="000504CF">
              <w:rPr>
                <w:webHidden/>
              </w:rPr>
              <w:instrText xml:space="preserve"> PAGEREF _Toc79585803 \h </w:instrText>
            </w:r>
            <w:r w:rsidR="000504CF" w:rsidRPr="000504CF">
              <w:rPr>
                <w:webHidden/>
              </w:rPr>
            </w:r>
            <w:r w:rsidR="000504CF" w:rsidRPr="000504CF">
              <w:rPr>
                <w:webHidden/>
              </w:rPr>
              <w:fldChar w:fldCharType="separate"/>
            </w:r>
            <w:r w:rsidR="00087BCF">
              <w:rPr>
                <w:webHidden/>
              </w:rPr>
              <w:t>22</w:t>
            </w:r>
            <w:r w:rsidR="000504CF" w:rsidRPr="000504CF">
              <w:rPr>
                <w:webHidden/>
              </w:rPr>
              <w:fldChar w:fldCharType="end"/>
            </w:r>
          </w:hyperlink>
        </w:p>
        <w:p w14:paraId="390D7ED3" w14:textId="6BACBAEB" w:rsidR="000504CF" w:rsidRPr="000504CF" w:rsidRDefault="0013411A">
          <w:pPr>
            <w:pStyle w:val="TOC3"/>
            <w:rPr>
              <w:rFonts w:asciiTheme="minorHAnsi" w:eastAsiaTheme="minorEastAsia" w:hAnsiTheme="minorHAnsi"/>
              <w:lang w:eastAsia="en-AU"/>
            </w:rPr>
          </w:pPr>
          <w:hyperlink w:anchor="_Toc79585804" w:history="1">
            <w:r w:rsidR="000504CF" w:rsidRPr="000504CF">
              <w:rPr>
                <w:rStyle w:val="Hyperlink"/>
              </w:rPr>
              <w:t>Strategic risks</w:t>
            </w:r>
            <w:r w:rsidR="000504CF" w:rsidRPr="000504CF">
              <w:rPr>
                <w:webHidden/>
              </w:rPr>
              <w:tab/>
            </w:r>
            <w:r w:rsidR="000504CF" w:rsidRPr="000504CF">
              <w:rPr>
                <w:webHidden/>
              </w:rPr>
              <w:fldChar w:fldCharType="begin"/>
            </w:r>
            <w:r w:rsidR="000504CF" w:rsidRPr="000504CF">
              <w:rPr>
                <w:webHidden/>
              </w:rPr>
              <w:instrText xml:space="preserve"> PAGEREF _Toc79585804 \h </w:instrText>
            </w:r>
            <w:r w:rsidR="000504CF" w:rsidRPr="000504CF">
              <w:rPr>
                <w:webHidden/>
              </w:rPr>
            </w:r>
            <w:r w:rsidR="000504CF" w:rsidRPr="000504CF">
              <w:rPr>
                <w:webHidden/>
              </w:rPr>
              <w:fldChar w:fldCharType="separate"/>
            </w:r>
            <w:r w:rsidR="00087BCF">
              <w:rPr>
                <w:webHidden/>
              </w:rPr>
              <w:t>22</w:t>
            </w:r>
            <w:r w:rsidR="000504CF" w:rsidRPr="000504CF">
              <w:rPr>
                <w:webHidden/>
              </w:rPr>
              <w:fldChar w:fldCharType="end"/>
            </w:r>
          </w:hyperlink>
        </w:p>
        <w:p w14:paraId="55C72B02" w14:textId="759F0DBD" w:rsidR="000504CF" w:rsidRPr="000504CF" w:rsidRDefault="0013411A">
          <w:pPr>
            <w:pStyle w:val="TOC3"/>
            <w:rPr>
              <w:rFonts w:asciiTheme="minorHAnsi" w:eastAsiaTheme="minorEastAsia" w:hAnsiTheme="minorHAnsi"/>
              <w:lang w:eastAsia="en-AU"/>
            </w:rPr>
          </w:pPr>
          <w:hyperlink w:anchor="_Toc79585805" w:history="1">
            <w:r w:rsidR="000504CF" w:rsidRPr="000504CF">
              <w:rPr>
                <w:rStyle w:val="Hyperlink"/>
              </w:rPr>
              <w:t>Risk mitigation strategies</w:t>
            </w:r>
            <w:r w:rsidR="000504CF" w:rsidRPr="000504CF">
              <w:rPr>
                <w:webHidden/>
              </w:rPr>
              <w:tab/>
            </w:r>
            <w:r w:rsidR="000504CF" w:rsidRPr="000504CF">
              <w:rPr>
                <w:webHidden/>
              </w:rPr>
              <w:fldChar w:fldCharType="begin"/>
            </w:r>
            <w:r w:rsidR="000504CF" w:rsidRPr="000504CF">
              <w:rPr>
                <w:webHidden/>
              </w:rPr>
              <w:instrText xml:space="preserve"> PAGEREF _Toc79585805 \h </w:instrText>
            </w:r>
            <w:r w:rsidR="000504CF" w:rsidRPr="000504CF">
              <w:rPr>
                <w:webHidden/>
              </w:rPr>
            </w:r>
            <w:r w:rsidR="000504CF" w:rsidRPr="000504CF">
              <w:rPr>
                <w:webHidden/>
              </w:rPr>
              <w:fldChar w:fldCharType="separate"/>
            </w:r>
            <w:r w:rsidR="00087BCF">
              <w:rPr>
                <w:webHidden/>
              </w:rPr>
              <w:t>22</w:t>
            </w:r>
            <w:r w:rsidR="000504CF" w:rsidRPr="000504CF">
              <w:rPr>
                <w:webHidden/>
              </w:rPr>
              <w:fldChar w:fldCharType="end"/>
            </w:r>
          </w:hyperlink>
        </w:p>
        <w:p w14:paraId="54C9DB12" w14:textId="131F22E6" w:rsidR="000504CF" w:rsidRPr="000504CF" w:rsidRDefault="0013411A">
          <w:pPr>
            <w:pStyle w:val="TOC3"/>
            <w:rPr>
              <w:rFonts w:asciiTheme="minorHAnsi" w:eastAsiaTheme="minorEastAsia" w:hAnsiTheme="minorHAnsi"/>
              <w:lang w:eastAsia="en-AU"/>
            </w:rPr>
          </w:pPr>
          <w:hyperlink w:anchor="_Toc79585806" w:history="1">
            <w:r w:rsidR="000504CF" w:rsidRPr="000504CF">
              <w:rPr>
                <w:rStyle w:val="Hyperlink"/>
              </w:rPr>
              <w:t>Building a positive risk culture</w:t>
            </w:r>
            <w:r w:rsidR="000504CF" w:rsidRPr="000504CF">
              <w:rPr>
                <w:webHidden/>
              </w:rPr>
              <w:tab/>
            </w:r>
            <w:r w:rsidR="000504CF" w:rsidRPr="000504CF">
              <w:rPr>
                <w:webHidden/>
              </w:rPr>
              <w:fldChar w:fldCharType="begin"/>
            </w:r>
            <w:r w:rsidR="000504CF" w:rsidRPr="000504CF">
              <w:rPr>
                <w:webHidden/>
              </w:rPr>
              <w:instrText xml:space="preserve"> PAGEREF _Toc79585806 \h </w:instrText>
            </w:r>
            <w:r w:rsidR="000504CF" w:rsidRPr="000504CF">
              <w:rPr>
                <w:webHidden/>
              </w:rPr>
            </w:r>
            <w:r w:rsidR="000504CF" w:rsidRPr="000504CF">
              <w:rPr>
                <w:webHidden/>
              </w:rPr>
              <w:fldChar w:fldCharType="separate"/>
            </w:r>
            <w:r w:rsidR="00087BCF">
              <w:rPr>
                <w:webHidden/>
              </w:rPr>
              <w:t>23</w:t>
            </w:r>
            <w:r w:rsidR="000504CF" w:rsidRPr="000504CF">
              <w:rPr>
                <w:webHidden/>
              </w:rPr>
              <w:fldChar w:fldCharType="end"/>
            </w:r>
          </w:hyperlink>
        </w:p>
        <w:p w14:paraId="5EE6183B" w14:textId="57E7E38B" w:rsidR="000504CF" w:rsidRPr="000504CF" w:rsidRDefault="0013411A">
          <w:pPr>
            <w:pStyle w:val="TOC2"/>
            <w:rPr>
              <w:rFonts w:asciiTheme="minorHAnsi" w:eastAsiaTheme="minorEastAsia" w:hAnsiTheme="minorHAnsi"/>
              <w:lang w:eastAsia="en-AU"/>
            </w:rPr>
          </w:pPr>
          <w:hyperlink w:anchor="_Toc79585807" w:history="1">
            <w:r w:rsidR="000504CF" w:rsidRPr="000504CF">
              <w:rPr>
                <w:rStyle w:val="Hyperlink"/>
              </w:rPr>
              <w:t>Our performance measures</w:t>
            </w:r>
            <w:r w:rsidR="000504CF" w:rsidRPr="000504CF">
              <w:rPr>
                <w:webHidden/>
              </w:rPr>
              <w:tab/>
            </w:r>
            <w:r w:rsidR="000504CF" w:rsidRPr="000504CF">
              <w:rPr>
                <w:webHidden/>
              </w:rPr>
              <w:fldChar w:fldCharType="begin"/>
            </w:r>
            <w:r w:rsidR="000504CF" w:rsidRPr="000504CF">
              <w:rPr>
                <w:webHidden/>
              </w:rPr>
              <w:instrText xml:space="preserve"> PAGEREF _Toc79585807 \h </w:instrText>
            </w:r>
            <w:r w:rsidR="000504CF" w:rsidRPr="000504CF">
              <w:rPr>
                <w:webHidden/>
              </w:rPr>
            </w:r>
            <w:r w:rsidR="000504CF" w:rsidRPr="000504CF">
              <w:rPr>
                <w:webHidden/>
              </w:rPr>
              <w:fldChar w:fldCharType="separate"/>
            </w:r>
            <w:r w:rsidR="00087BCF">
              <w:rPr>
                <w:webHidden/>
              </w:rPr>
              <w:t>24</w:t>
            </w:r>
            <w:r w:rsidR="000504CF" w:rsidRPr="000504CF">
              <w:rPr>
                <w:webHidden/>
              </w:rPr>
              <w:fldChar w:fldCharType="end"/>
            </w:r>
          </w:hyperlink>
        </w:p>
        <w:p w14:paraId="3C3C6F58" w14:textId="0E363EDC" w:rsidR="000504CF" w:rsidRPr="000504CF" w:rsidRDefault="0013411A">
          <w:pPr>
            <w:pStyle w:val="TOC3"/>
            <w:rPr>
              <w:rFonts w:asciiTheme="minorHAnsi" w:eastAsiaTheme="minorEastAsia" w:hAnsiTheme="minorHAnsi"/>
              <w:lang w:eastAsia="en-AU"/>
            </w:rPr>
          </w:pPr>
          <w:hyperlink w:anchor="_Toc79585808" w:history="1">
            <w:r w:rsidR="000504CF" w:rsidRPr="000504CF">
              <w:rPr>
                <w:rStyle w:val="Hyperlink"/>
              </w:rPr>
              <w:t>New performance framework</w:t>
            </w:r>
            <w:r w:rsidR="000504CF" w:rsidRPr="000504CF">
              <w:rPr>
                <w:webHidden/>
              </w:rPr>
              <w:tab/>
            </w:r>
            <w:r w:rsidR="000504CF" w:rsidRPr="000504CF">
              <w:rPr>
                <w:webHidden/>
              </w:rPr>
              <w:fldChar w:fldCharType="begin"/>
            </w:r>
            <w:r w:rsidR="000504CF" w:rsidRPr="000504CF">
              <w:rPr>
                <w:webHidden/>
              </w:rPr>
              <w:instrText xml:space="preserve"> PAGEREF _Toc79585808 \h </w:instrText>
            </w:r>
            <w:r w:rsidR="000504CF" w:rsidRPr="000504CF">
              <w:rPr>
                <w:webHidden/>
              </w:rPr>
            </w:r>
            <w:r w:rsidR="000504CF" w:rsidRPr="000504CF">
              <w:rPr>
                <w:webHidden/>
              </w:rPr>
              <w:fldChar w:fldCharType="separate"/>
            </w:r>
            <w:r w:rsidR="00087BCF">
              <w:rPr>
                <w:webHidden/>
              </w:rPr>
              <w:t>24</w:t>
            </w:r>
            <w:r w:rsidR="000504CF" w:rsidRPr="000504CF">
              <w:rPr>
                <w:webHidden/>
              </w:rPr>
              <w:fldChar w:fldCharType="end"/>
            </w:r>
          </w:hyperlink>
        </w:p>
        <w:p w14:paraId="758849A0" w14:textId="3B96C384" w:rsidR="000504CF" w:rsidRPr="000504CF" w:rsidRDefault="0013411A">
          <w:pPr>
            <w:pStyle w:val="TOC3"/>
            <w:rPr>
              <w:rFonts w:asciiTheme="minorHAnsi" w:eastAsiaTheme="minorEastAsia" w:hAnsiTheme="minorHAnsi"/>
              <w:lang w:eastAsia="en-AU"/>
            </w:rPr>
          </w:pPr>
          <w:hyperlink w:anchor="_Toc79585809" w:history="1">
            <w:r w:rsidR="000504CF" w:rsidRPr="000504CF">
              <w:rPr>
                <w:rStyle w:val="Hyperlink"/>
              </w:rPr>
              <w:t>Regulator performance reporting</w:t>
            </w:r>
            <w:r w:rsidR="000504CF" w:rsidRPr="000504CF">
              <w:rPr>
                <w:webHidden/>
              </w:rPr>
              <w:tab/>
            </w:r>
            <w:r w:rsidR="000504CF" w:rsidRPr="000504CF">
              <w:rPr>
                <w:webHidden/>
              </w:rPr>
              <w:fldChar w:fldCharType="begin"/>
            </w:r>
            <w:r w:rsidR="000504CF" w:rsidRPr="000504CF">
              <w:rPr>
                <w:webHidden/>
              </w:rPr>
              <w:instrText xml:space="preserve"> PAGEREF _Toc79585809 \h </w:instrText>
            </w:r>
            <w:r w:rsidR="000504CF" w:rsidRPr="000504CF">
              <w:rPr>
                <w:webHidden/>
              </w:rPr>
            </w:r>
            <w:r w:rsidR="000504CF" w:rsidRPr="000504CF">
              <w:rPr>
                <w:webHidden/>
              </w:rPr>
              <w:fldChar w:fldCharType="separate"/>
            </w:r>
            <w:r w:rsidR="00087BCF">
              <w:rPr>
                <w:webHidden/>
              </w:rPr>
              <w:t>25</w:t>
            </w:r>
            <w:r w:rsidR="000504CF" w:rsidRPr="000504CF">
              <w:rPr>
                <w:webHidden/>
              </w:rPr>
              <w:fldChar w:fldCharType="end"/>
            </w:r>
          </w:hyperlink>
        </w:p>
        <w:p w14:paraId="05A4693A" w14:textId="61BD9B5D" w:rsidR="000504CF" w:rsidRPr="000504CF" w:rsidRDefault="0013411A" w:rsidP="000504CF">
          <w:pPr>
            <w:pStyle w:val="TOC3"/>
            <w:rPr>
              <w:rFonts w:asciiTheme="minorHAnsi" w:eastAsiaTheme="minorEastAsia" w:hAnsiTheme="minorHAnsi"/>
              <w:lang w:eastAsia="en-AU"/>
            </w:rPr>
          </w:pPr>
          <w:hyperlink w:anchor="_Toc79585810" w:history="1">
            <w:r w:rsidR="000504CF" w:rsidRPr="000504CF">
              <w:rPr>
                <w:rStyle w:val="Hyperlink"/>
              </w:rPr>
              <w:t>Objectives, performance criteria and measures</w:t>
            </w:r>
            <w:r w:rsidR="000504CF" w:rsidRPr="000504CF">
              <w:rPr>
                <w:webHidden/>
              </w:rPr>
              <w:tab/>
            </w:r>
            <w:r w:rsidR="000504CF" w:rsidRPr="000504CF">
              <w:rPr>
                <w:webHidden/>
              </w:rPr>
              <w:fldChar w:fldCharType="begin"/>
            </w:r>
            <w:r w:rsidR="000504CF" w:rsidRPr="000504CF">
              <w:rPr>
                <w:webHidden/>
              </w:rPr>
              <w:instrText xml:space="preserve"> PAGEREF _Toc79585810 \h </w:instrText>
            </w:r>
            <w:r w:rsidR="000504CF" w:rsidRPr="000504CF">
              <w:rPr>
                <w:webHidden/>
              </w:rPr>
            </w:r>
            <w:r w:rsidR="000504CF" w:rsidRPr="000504CF">
              <w:rPr>
                <w:webHidden/>
              </w:rPr>
              <w:fldChar w:fldCharType="separate"/>
            </w:r>
            <w:r w:rsidR="00087BCF">
              <w:rPr>
                <w:webHidden/>
              </w:rPr>
              <w:t>25</w:t>
            </w:r>
            <w:r w:rsidR="000504CF" w:rsidRPr="000504CF">
              <w:rPr>
                <w:webHidden/>
              </w:rPr>
              <w:fldChar w:fldCharType="end"/>
            </w:r>
          </w:hyperlink>
          <w:r w:rsidR="000504CF" w:rsidRPr="000504CF">
            <w:rPr>
              <w:rStyle w:val="Hyperlink"/>
            </w:rPr>
            <w:fldChar w:fldCharType="end"/>
          </w:r>
          <w:r w:rsidR="000504CF" w:rsidRPr="000504CF">
            <w:rPr>
              <w:rStyle w:val="Hyperlink"/>
            </w:rPr>
            <w:fldChar w:fldCharType="end"/>
          </w:r>
        </w:p>
        <w:p w14:paraId="1B141DDB" w14:textId="4EC79500" w:rsidR="00764D6A" w:rsidRDefault="001C39C1">
          <w:r w:rsidRPr="000504CF">
            <w:rPr>
              <w:noProof/>
            </w:rPr>
            <w:fldChar w:fldCharType="end"/>
          </w:r>
        </w:p>
      </w:sdtContent>
    </w:sdt>
    <w:p w14:paraId="1A1D507C" w14:textId="77777777" w:rsidR="00764D6A" w:rsidRDefault="003857B7">
      <w:pPr>
        <w:pStyle w:val="Heading2"/>
        <w:ind w:left="720" w:hanging="720"/>
      </w:pPr>
      <w:bookmarkStart w:id="7" w:name="_Toc79585737"/>
      <w:bookmarkStart w:id="8" w:name="_Toc79585778"/>
      <w:r>
        <w:lastRenderedPageBreak/>
        <w:t>About us</w:t>
      </w:r>
      <w:bookmarkEnd w:id="7"/>
      <w:bookmarkEnd w:id="8"/>
    </w:p>
    <w:p w14:paraId="71A55AEB" w14:textId="77777777" w:rsidR="00FE0853" w:rsidRDefault="003857B7" w:rsidP="00FE0853">
      <w:pPr>
        <w:pStyle w:val="Heading3"/>
      </w:pPr>
      <w:bookmarkStart w:id="9" w:name="_Toc76550788"/>
      <w:bookmarkStart w:id="10" w:name="_Toc76972877"/>
      <w:bookmarkStart w:id="11" w:name="_Toc79585779"/>
      <w:r>
        <w:t>Our purpose</w:t>
      </w:r>
      <w:bookmarkEnd w:id="9"/>
      <w:bookmarkEnd w:id="10"/>
      <w:bookmarkEnd w:id="11"/>
    </w:p>
    <w:p w14:paraId="6F9DDA36" w14:textId="5F15FE31" w:rsidR="00FE0853" w:rsidRDefault="003857B7" w:rsidP="00FE0853">
      <w:r>
        <w:t>Our purpose is enhancing Australia’s agriculture, environment</w:t>
      </w:r>
      <w:r w:rsidR="00032E5A">
        <w:t xml:space="preserve">, </w:t>
      </w:r>
      <w:r>
        <w:t>heritage and water resources through regulation and partnership.</w:t>
      </w:r>
    </w:p>
    <w:p w14:paraId="63926C85" w14:textId="77777777" w:rsidR="00FE0853" w:rsidRDefault="003857B7" w:rsidP="00FE0853">
      <w:pPr>
        <w:pStyle w:val="Heading3"/>
      </w:pPr>
      <w:bookmarkStart w:id="12" w:name="_Toc76550789"/>
      <w:bookmarkStart w:id="13" w:name="_Toc76972878"/>
      <w:bookmarkStart w:id="14" w:name="_Toc79585780"/>
      <w:r>
        <w:t>Our portfolio</w:t>
      </w:r>
      <w:bookmarkEnd w:id="12"/>
      <w:bookmarkEnd w:id="13"/>
      <w:bookmarkEnd w:id="14"/>
    </w:p>
    <w:p w14:paraId="035A1D8F" w14:textId="65DAA07A" w:rsidR="00FE0853" w:rsidRDefault="003857B7" w:rsidP="00FE0853">
      <w:r>
        <w:t xml:space="preserve">We support </w:t>
      </w:r>
      <w:r w:rsidR="00034737">
        <w:t>3 </w:t>
      </w:r>
      <w:r>
        <w:t xml:space="preserve">ministers and </w:t>
      </w:r>
      <w:r w:rsidR="00892801">
        <w:t>2</w:t>
      </w:r>
      <w:r w:rsidR="00AE291F">
        <w:t> </w:t>
      </w:r>
      <w:r>
        <w:t>assistant ministers</w:t>
      </w:r>
      <w:r w:rsidR="00034737">
        <w:t xml:space="preserve">. They </w:t>
      </w:r>
      <w:r>
        <w:t xml:space="preserve">each </w:t>
      </w:r>
      <w:r w:rsidR="00034737">
        <w:t xml:space="preserve">have </w:t>
      </w:r>
      <w:r>
        <w:t xml:space="preserve">responsibility for distinct parts of </w:t>
      </w:r>
      <w:r w:rsidR="00034737">
        <w:t xml:space="preserve">our </w:t>
      </w:r>
      <w:r>
        <w:t xml:space="preserve">portfolio. </w:t>
      </w:r>
      <w:r w:rsidR="00034737">
        <w:t xml:space="preserve">We are </w:t>
      </w:r>
      <w:r>
        <w:t xml:space="preserve">at the centre of a diverse group of government agencies, statutory and non-statutory bodies, independent </w:t>
      </w:r>
      <w:r w:rsidR="00034737">
        <w:t xml:space="preserve">advisers </w:t>
      </w:r>
      <w:r>
        <w:t>and industry representatives (</w:t>
      </w:r>
      <w:r w:rsidR="0004021E" w:rsidRPr="00F14B18">
        <w:t xml:space="preserve">see </w:t>
      </w:r>
      <w:r w:rsidR="001F07E6" w:rsidRPr="003A485F">
        <w:t>Figure </w:t>
      </w:r>
      <w:r w:rsidR="001F07E6" w:rsidRPr="003A485F">
        <w:rPr>
          <w:noProof/>
        </w:rPr>
        <w:t>1</w:t>
      </w:r>
      <w:r w:rsidRPr="00F14B18">
        <w:t>).</w:t>
      </w:r>
    </w:p>
    <w:p w14:paraId="332CB85D" w14:textId="56B71F3C" w:rsidR="00FE0853" w:rsidRDefault="003857B7" w:rsidP="00FE0853">
      <w:pPr>
        <w:pStyle w:val="Caption"/>
      </w:pPr>
      <w:bookmarkStart w:id="15" w:name="_Ref75788107"/>
      <w:bookmarkStart w:id="16" w:name="_Toc77254386"/>
      <w:r w:rsidRPr="00063BCD">
        <w:t>Figure </w:t>
      </w:r>
      <w:r w:rsidR="001F07E6" w:rsidRPr="00063BCD">
        <w:rPr>
          <w:noProof/>
        </w:rPr>
        <w:t>1</w:t>
      </w:r>
      <w:bookmarkEnd w:id="15"/>
      <w:r w:rsidR="0043465A" w:rsidRPr="00063BCD">
        <w:t xml:space="preserve"> Our </w:t>
      </w:r>
      <w:r w:rsidR="00034737" w:rsidRPr="00063BCD">
        <w:t>portfolio</w:t>
      </w:r>
      <w:bookmarkEnd w:id="16"/>
    </w:p>
    <w:p w14:paraId="55A99137" w14:textId="2E86EF7A" w:rsidR="00FE0853" w:rsidRDefault="001231B5" w:rsidP="006353CC">
      <w:pPr>
        <w:pStyle w:val="Picture"/>
      </w:pPr>
      <w:r>
        <w:drawing>
          <wp:inline distT="0" distB="0" distL="0" distR="0" wp14:anchorId="099DEECB" wp14:editId="7FC5FE01">
            <wp:extent cx="5759450" cy="5495290"/>
            <wp:effectExtent l="0" t="0" r="0" b="0"/>
            <wp:docPr id="3" name="Picture 3" descr="The department’s ministers: Minister for Agriculture, Drought and Emergency Management: The Honourable David Littleproud MP.&#10;Minister for Resources, Water and Northern Australia: The Honourable Keith Pitt MP. Minister for the Environment: The Honourable Sussan Ley MP. Assistant Minister for Forestry and Fisheries and for Industry Development: Senator the Honourable Jonathon Duniam. Assistant Minister for Waste Reduction and Environmental Management: The Honourable Trevor Evans MP. Agencies: Australian Fisheries Management Authority, Australian Pesticides and Veterinary Medicines Authority, Regional Investment Corporation, Murray-Darling Basin Authority, Sydney Harbour Federation Trust, Director of National Parks, Great Barrier Reef Marine Park Authority, and Bureau of Meteorology. Rural research and development corporations: Cotton Research and Development Corporation, Fisheries Research and Development Corporation, Grains Research and Development Corporation, AgriFutures Australia and Wine Australi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e department’s ministers: Minister for Agriculture, Drought and Emergency Management: The Honourable David Littleproud MP.&#10;Minister for Resources, Water and Northern Australia: The Honourable Keith Pitt MP. Minister for the Environment: The Honourable Sussan Ley MP. Assistant Minister for Forestry and Fisheries and for Industry Development: Senator the Honourable Jonathon Duniam. Assistant Minister for Waste Reduction and Environmental Management: The Honourable Trevor Evans MP. Agencies: Australian Fisheries Management Authority, Australian Pesticides and Veterinary Medicines Authority, Regional Investment Corporation, Murray-Darling Basin Authority, Sydney Harbour Federation Trust, Director of National Parks, Great Barrier Reef Marine Park Authority, and Bureau of Meteorology. Rural research and development corporations: Cotton Research and Development Corporation, Fisheries Research and Development Corporation, Grains Research and Development Corporation, AgriFutures Australia and Wine Australia.&#10;"/>
                    <pic:cNvPicPr/>
                  </pic:nvPicPr>
                  <pic:blipFill>
                    <a:blip r:embed="rId19" cstate="screen">
                      <a:extLst>
                        <a:ext uri="{28A0092B-C50C-407E-A947-70E740481C1C}">
                          <a14:useLocalDpi xmlns:a14="http://schemas.microsoft.com/office/drawing/2010/main"/>
                        </a:ext>
                      </a:extLst>
                    </a:blip>
                    <a:stretch>
                      <a:fillRect/>
                    </a:stretch>
                  </pic:blipFill>
                  <pic:spPr>
                    <a:xfrm>
                      <a:off x="0" y="0"/>
                      <a:ext cx="5759450" cy="5495290"/>
                    </a:xfrm>
                    <a:prstGeom prst="rect">
                      <a:avLst/>
                    </a:prstGeom>
                  </pic:spPr>
                </pic:pic>
              </a:graphicData>
            </a:graphic>
          </wp:inline>
        </w:drawing>
      </w:r>
    </w:p>
    <w:p w14:paraId="347AFD72" w14:textId="505D1857" w:rsidR="001D1453" w:rsidRPr="00C6062D" w:rsidRDefault="003857B7" w:rsidP="00CD357F">
      <w:pPr>
        <w:pStyle w:val="FigureTableNoteSource"/>
      </w:pPr>
      <w:r w:rsidRPr="006353CC">
        <w:t>Note: The department does not have any subsidiaries</w:t>
      </w:r>
      <w:r w:rsidR="00B336AF" w:rsidRPr="006353CC">
        <w:t>.</w:t>
      </w:r>
      <w:bookmarkStart w:id="17" w:name="_Toc76550790"/>
    </w:p>
    <w:p w14:paraId="015F62A9" w14:textId="77777777" w:rsidR="001B66D0" w:rsidRDefault="001B66D0" w:rsidP="004E6E81">
      <w:pPr>
        <w:pStyle w:val="Heading3"/>
      </w:pPr>
      <w:bookmarkStart w:id="18" w:name="_Toc79585781"/>
      <w:bookmarkStart w:id="19" w:name="_Toc76972879"/>
      <w:r>
        <w:lastRenderedPageBreak/>
        <w:t>Our work</w:t>
      </w:r>
      <w:bookmarkEnd w:id="18"/>
    </w:p>
    <w:p w14:paraId="5901D90B" w14:textId="3C2C0F9A" w:rsidR="00B40085" w:rsidRDefault="00B40085" w:rsidP="00B40085">
      <w:pPr>
        <w:pStyle w:val="Heading4"/>
      </w:pPr>
      <w:r>
        <w:t>Agriculture</w:t>
      </w:r>
    </w:p>
    <w:p w14:paraId="418832A6" w14:textId="5F8EFB58" w:rsidR="00B40085" w:rsidRDefault="00B40085" w:rsidP="00B40085">
      <w:r>
        <w:t xml:space="preserve">Agriculture accounts for 58% of Australian land use. Our policies and </w:t>
      </w:r>
      <w:r w:rsidR="003A485F">
        <w:t xml:space="preserve">programs </w:t>
      </w:r>
      <w:r>
        <w:t>help to deliver a productive, competitive and sustainable agricultural sector.</w:t>
      </w:r>
    </w:p>
    <w:p w14:paraId="210BEA4A" w14:textId="5FF3FBA7" w:rsidR="00B40085" w:rsidRDefault="00B40085" w:rsidP="00B40085">
      <w:r>
        <w:t xml:space="preserve">Our work encourages agricultural productivity and maintains and improves market access for primary producers. We promote </w:t>
      </w:r>
      <w:r w:rsidR="00C728E8">
        <w:t>agricultural</w:t>
      </w:r>
      <w:r>
        <w:t xml:space="preserve"> stewardship to recognise farmers for their efforts in delivering biodiversity. We support </w:t>
      </w:r>
      <w:r w:rsidRPr="00BA2B27">
        <w:t>sustainable, high-quality natural resources to benefit producers and the community</w:t>
      </w:r>
      <w:r>
        <w:t>.</w:t>
      </w:r>
    </w:p>
    <w:p w14:paraId="52C2E9F5" w14:textId="612A9544" w:rsidR="00B40085" w:rsidRDefault="00B40085" w:rsidP="00B40085">
      <w:r>
        <w:t xml:space="preserve">Even in years of drought, Australia produces more food than Australians consume. On average, Australia exports about 70% of </w:t>
      </w:r>
      <w:r w:rsidR="00C728E8">
        <w:t xml:space="preserve">its </w:t>
      </w:r>
      <w:r>
        <w:t>farm production.</w:t>
      </w:r>
      <w:r w:rsidR="00C96666" w:rsidRPr="00C96666">
        <w:t xml:space="preserve"> </w:t>
      </w:r>
      <w:r w:rsidR="00C96666">
        <w:t>We maintain, expand and secure new markets for Australia’s agricultural</w:t>
      </w:r>
      <w:r w:rsidR="00C96666" w:rsidRPr="00E23F83">
        <w:t xml:space="preserve"> </w:t>
      </w:r>
      <w:r w:rsidR="00C96666">
        <w:t xml:space="preserve">exports. </w:t>
      </w:r>
      <w:r w:rsidR="00C728E8">
        <w:t xml:space="preserve">We support and regulate Australia’s agricultural trade with the rest of the world. </w:t>
      </w:r>
      <w:r w:rsidR="00C96666">
        <w:t>We are using technology to transform the way we deliver export regulation.</w:t>
      </w:r>
    </w:p>
    <w:p w14:paraId="1A9648F4" w14:textId="77777777" w:rsidR="00B40085" w:rsidRDefault="00B40085" w:rsidP="00B40085">
      <w:pPr>
        <w:pStyle w:val="Heading4"/>
      </w:pPr>
      <w:r>
        <w:t>Environment and heritage</w:t>
      </w:r>
    </w:p>
    <w:p w14:paraId="57D0C596" w14:textId="61407735" w:rsidR="00B40085" w:rsidRDefault="00B40085" w:rsidP="00B40085">
      <w:r>
        <w:t xml:space="preserve">We play a pivotal role in protecting and sustaining Australia’s environment, which is one of the most biodiverse in the world. About 80% of Australia’s plants and 90% of its animals are found nowhere else on Earth. </w:t>
      </w:r>
      <w:r w:rsidRPr="00BC605A">
        <w:rPr>
          <w:color w:val="000000" w:themeColor="text1"/>
        </w:rPr>
        <w:t xml:space="preserve">We work cooperatively with state and territory governments, </w:t>
      </w:r>
      <w:r>
        <w:rPr>
          <w:color w:val="000000" w:themeColor="text1"/>
        </w:rPr>
        <w:t xml:space="preserve">First Nations </w:t>
      </w:r>
      <w:r w:rsidR="003A485F">
        <w:rPr>
          <w:color w:val="000000" w:themeColor="text1"/>
        </w:rPr>
        <w:t>people</w:t>
      </w:r>
      <w:r w:rsidR="00EF5451">
        <w:rPr>
          <w:color w:val="000000" w:themeColor="text1"/>
        </w:rPr>
        <w:t>s</w:t>
      </w:r>
      <w:r>
        <w:rPr>
          <w:color w:val="000000" w:themeColor="text1"/>
        </w:rPr>
        <w:t xml:space="preserve">, </w:t>
      </w:r>
      <w:r w:rsidR="00C728E8">
        <w:rPr>
          <w:color w:val="000000" w:themeColor="text1"/>
        </w:rPr>
        <w:t xml:space="preserve">a range of </w:t>
      </w:r>
      <w:r w:rsidRPr="00BC605A">
        <w:rPr>
          <w:color w:val="000000" w:themeColor="text1"/>
        </w:rPr>
        <w:t xml:space="preserve">organisations and private landholders to manage the </w:t>
      </w:r>
      <w:hyperlink r:id="rId20" w:history="1">
        <w:r w:rsidRPr="00E23F83">
          <w:rPr>
            <w:rStyle w:val="Hyperlink"/>
          </w:rPr>
          <w:t>National Reserve System</w:t>
        </w:r>
      </w:hyperlink>
      <w:r>
        <w:rPr>
          <w:color w:val="000000" w:themeColor="text1"/>
        </w:rPr>
        <w:t xml:space="preserve">, which is </w:t>
      </w:r>
      <w:r w:rsidRPr="00BC605A">
        <w:rPr>
          <w:color w:val="000000" w:themeColor="text1"/>
        </w:rPr>
        <w:t xml:space="preserve">Australia’s </w:t>
      </w:r>
      <w:r w:rsidRPr="009F69C6">
        <w:rPr>
          <w:color w:val="000000" w:themeColor="text1"/>
        </w:rPr>
        <w:t>network of terrestrial protected areas</w:t>
      </w:r>
      <w:r w:rsidRPr="00BC605A">
        <w:rPr>
          <w:color w:val="000000" w:themeColor="text1"/>
        </w:rPr>
        <w:t>.</w:t>
      </w:r>
    </w:p>
    <w:p w14:paraId="7F38EC85" w14:textId="18DEB0AC" w:rsidR="00B40085" w:rsidRDefault="00B40085" w:rsidP="00B40085">
      <w:r>
        <w:t>We deliver policies and programs to protect our environment, including undertaking environmental assessments, implementing our national waste policy, and protecting our marine reserves, including the Great Barrier Reef. We are responsible for vast marine protected areas and manage 58 Commonwealth Marine Parks, encompass</w:t>
      </w:r>
      <w:r w:rsidR="00F14B18">
        <w:t>ing</w:t>
      </w:r>
      <w:r>
        <w:t xml:space="preserve"> 2.8 million square kilometres</w:t>
      </w:r>
      <w:r w:rsidR="00F14B18">
        <w:t>, which is</w:t>
      </w:r>
      <w:r>
        <w:t xml:space="preserve"> 31% of Australian waters.</w:t>
      </w:r>
    </w:p>
    <w:p w14:paraId="45D6B323" w14:textId="15C26862" w:rsidR="00B40085" w:rsidRPr="00732DDF" w:rsidRDefault="00B40085" w:rsidP="00B40085">
      <w:r>
        <w:t xml:space="preserve">Australia has a rich and diverse heritage </w:t>
      </w:r>
      <w:r w:rsidR="00F14B18">
        <w:t>of</w:t>
      </w:r>
      <w:r>
        <w:t xml:space="preserve"> natural, historic and Indigenous values. We work in partnership with other governments, First Nations</w:t>
      </w:r>
      <w:r w:rsidR="003A485F">
        <w:t xml:space="preserve"> people</w:t>
      </w:r>
      <w:r w:rsidR="00EF5451">
        <w:t>s</w:t>
      </w:r>
      <w:r>
        <w:t xml:space="preserve"> and the community to see that Australia’s significant heritage places are recognised and managed to ensure their long-term protection.</w:t>
      </w:r>
    </w:p>
    <w:p w14:paraId="58A31344" w14:textId="77777777" w:rsidR="00B40085" w:rsidRDefault="00B40085" w:rsidP="00B40085">
      <w:pPr>
        <w:pStyle w:val="Heading4"/>
      </w:pPr>
      <w:r>
        <w:t>Water resources</w:t>
      </w:r>
    </w:p>
    <w:p w14:paraId="080A534D" w14:textId="5B0F8CDC" w:rsidR="00B40085" w:rsidRDefault="00B40085" w:rsidP="00B40085">
      <w:r>
        <w:t>We lead water reform across the country and promote the sustainable, efficient and productive management and use of our water resources. We develop policies and provide advice to help farmers and rural communities deal with drought.</w:t>
      </w:r>
    </w:p>
    <w:p w14:paraId="0F2A6820" w14:textId="77777777" w:rsidR="00B40085" w:rsidRDefault="00B40085" w:rsidP="00B40085">
      <w:pPr>
        <w:pStyle w:val="Heading4"/>
      </w:pPr>
      <w:r>
        <w:t>Biosecurity</w:t>
      </w:r>
    </w:p>
    <w:p w14:paraId="59FFB321" w14:textId="1F69288F" w:rsidR="00B40085" w:rsidRDefault="00B40085" w:rsidP="00B40085">
      <w:r>
        <w:t>Biosecurity is critical to preventing, responding to and recovering from the pests and diseases that threaten our economy and environment. On average each year</w:t>
      </w:r>
      <w:r w:rsidR="00F02E43">
        <w:t>,</w:t>
      </w:r>
      <w:r>
        <w:t xml:space="preserve"> around 2.5 million shipping containers, 19,000 commercial vessels and 144 million mail items arrive in Australia. We work with </w:t>
      </w:r>
      <w:r w:rsidRPr="00BD2496">
        <w:t>importers, exporters, producers, supply chain</w:t>
      </w:r>
      <w:r>
        <w:t xml:space="preserve"> and </w:t>
      </w:r>
      <w:r w:rsidRPr="00BD2496">
        <w:t>logistics</w:t>
      </w:r>
      <w:r>
        <w:t xml:space="preserve"> </w:t>
      </w:r>
      <w:r w:rsidRPr="00BD2496">
        <w:t>businesses</w:t>
      </w:r>
      <w:r>
        <w:t>,</w:t>
      </w:r>
      <w:r w:rsidRPr="00BD2496">
        <w:t xml:space="preserve"> </w:t>
      </w:r>
      <w:r>
        <w:t xml:space="preserve">and the community </w:t>
      </w:r>
      <w:r w:rsidRPr="00BD2496">
        <w:t xml:space="preserve">to </w:t>
      </w:r>
      <w:r>
        <w:t>protect Australia from biosecurity risks.</w:t>
      </w:r>
    </w:p>
    <w:p w14:paraId="4187EEED" w14:textId="77777777" w:rsidR="00B40085" w:rsidRDefault="00B40085" w:rsidP="00B40085">
      <w:r w:rsidRPr="009639B0">
        <w:lastRenderedPageBreak/>
        <w:t>We work with the states</w:t>
      </w:r>
      <w:r>
        <w:t>,</w:t>
      </w:r>
      <w:r w:rsidRPr="009639B0">
        <w:t xml:space="preserve"> territories and </w:t>
      </w:r>
      <w:r>
        <w:t xml:space="preserve">other </w:t>
      </w:r>
      <w:r w:rsidRPr="009639B0">
        <w:t xml:space="preserve">stakeholders </w:t>
      </w:r>
      <w:r>
        <w:t>on</w:t>
      </w:r>
      <w:r w:rsidRPr="009639B0">
        <w:t xml:space="preserve"> emergency response plans</w:t>
      </w:r>
      <w:r>
        <w:t xml:space="preserve">. These aim </w:t>
      </w:r>
      <w:r w:rsidRPr="009639B0">
        <w:t>to minimise the impact of pests, disease and contaminants on agriculture, the environment and people’s health.</w:t>
      </w:r>
    </w:p>
    <w:p w14:paraId="16E5D031" w14:textId="2EBA8728" w:rsidR="00B40085" w:rsidRDefault="0013411A" w:rsidP="00B40085">
      <w:hyperlink r:id="rId21" w:history="1">
        <w:r w:rsidR="00B40085" w:rsidRPr="005A7F72">
          <w:rPr>
            <w:rStyle w:val="Hyperlink"/>
          </w:rPr>
          <w:t>Commonwealth Biosecurity 2030</w:t>
        </w:r>
      </w:hyperlink>
      <w:r w:rsidR="00B40085">
        <w:t xml:space="preserve"> is our roadmap to build a stronger, smarter biosecurity system. Our ongoing biosecurity efforts focus on strengthening our partnerships, investing in our critical frontline resources and people, and modernising ICT systems, technology and data analytics.</w:t>
      </w:r>
    </w:p>
    <w:p w14:paraId="0970B654" w14:textId="77777777" w:rsidR="00B40085" w:rsidRDefault="00B40085" w:rsidP="00B40085">
      <w:pPr>
        <w:pStyle w:val="Heading4"/>
      </w:pPr>
      <w:r>
        <w:t>Antarctic</w:t>
      </w:r>
    </w:p>
    <w:p w14:paraId="29AD7158" w14:textId="0ACFEE97" w:rsidR="00C96666" w:rsidRDefault="00B40085" w:rsidP="00B40085">
      <w:r>
        <w:t xml:space="preserve">Australia’s Antarctic </w:t>
      </w:r>
      <w:r w:rsidR="00CF3922">
        <w:t xml:space="preserve">Science Program </w:t>
      </w:r>
      <w:r>
        <w:t>is one of our most iconic and enduring national endeavours. The Australian Antarctic Territory covers nearly 5.9 million square kilometres, which is about 42% of Antarctica.</w:t>
      </w:r>
    </w:p>
    <w:p w14:paraId="20263527" w14:textId="33EE81E7" w:rsidR="00B40085" w:rsidRDefault="00B40085" w:rsidP="00B40085">
      <w:r>
        <w:t>Australia operates 4 permanent research stations: Mawson, Davis and Casey stations in Antarctica, and Macquarie Island station in the sub-Antarctic region. We are committed to providing the facilities and logistics that will enable Antarctic scientists to focus on answering critical questions of global significance for decades to come.</w:t>
      </w:r>
    </w:p>
    <w:p w14:paraId="74D1D52F" w14:textId="77777777" w:rsidR="00B40085" w:rsidRDefault="00B40085" w:rsidP="00B40085">
      <w:r>
        <w:t>The government is investing $2.8 billion to ensure our Antarctic presence and science research program benefits future generations. This includes the acquisition of a new world-class icebreaker ship, RSV </w:t>
      </w:r>
      <w:r w:rsidRPr="007C312F">
        <w:rPr>
          <w:i/>
          <w:iCs/>
        </w:rPr>
        <w:t>Nuyina</w:t>
      </w:r>
      <w:r>
        <w:t>, restoring our inland traverse capability, preliminary work to develop year-round aviation access, and revitalising Australia’s Antarctic science infrastructure, starting with our southernmost research facility, Davis station.</w:t>
      </w:r>
    </w:p>
    <w:p w14:paraId="6D59C751" w14:textId="634F0317" w:rsidR="00FE0853" w:rsidRDefault="003857B7" w:rsidP="00C6062D">
      <w:pPr>
        <w:pStyle w:val="Heading3"/>
      </w:pPr>
      <w:bookmarkStart w:id="20" w:name="_Toc79585782"/>
      <w:r>
        <w:t>Our people</w:t>
      </w:r>
      <w:r w:rsidR="00EF7DBF">
        <w:t xml:space="preserve"> and locations</w:t>
      </w:r>
      <w:bookmarkEnd w:id="17"/>
      <w:bookmarkEnd w:id="19"/>
      <w:bookmarkEnd w:id="20"/>
    </w:p>
    <w:p w14:paraId="28406484" w14:textId="67A250A4" w:rsidR="00FE0853" w:rsidRDefault="003857B7" w:rsidP="00FE0853">
      <w:r w:rsidRPr="006353CC">
        <w:t>Our people have a</w:t>
      </w:r>
      <w:r w:rsidRPr="00B336AF">
        <w:t xml:space="preserve"> wealth of experience, expertise and knowledge. Our skills and capabilities are as diverse as our portfolio. We are inspectors, policy and assessment officers, program administrators, biosecurity and compliance officers, investigators, veterinarians, scientists, researchers, park managers and rangers, economists, accountants, legal practitioners,</w:t>
      </w:r>
      <w:r>
        <w:t xml:space="preserve"> </w:t>
      </w:r>
      <w:r w:rsidR="00032E5A">
        <w:t>i</w:t>
      </w:r>
      <w:r w:rsidR="00F9677C">
        <w:t>nformation communication technology</w:t>
      </w:r>
      <w:r w:rsidR="00AE291F">
        <w:t> </w:t>
      </w:r>
      <w:r w:rsidR="003A43AC">
        <w:t xml:space="preserve">(ICT) </w:t>
      </w:r>
      <w:r>
        <w:t>specialists, data analysts, expeditioners, food safety meat assessors, auditors and more.</w:t>
      </w:r>
    </w:p>
    <w:p w14:paraId="0A156F0C" w14:textId="4A2D9038" w:rsidR="00FE0853" w:rsidRPr="00E50AD6" w:rsidRDefault="00B40085" w:rsidP="00FE0853">
      <w:r>
        <w:t xml:space="preserve">We work with others to ensure </w:t>
      </w:r>
      <w:r w:rsidR="008B0B25">
        <w:t xml:space="preserve">Australia’s </w:t>
      </w:r>
      <w:r>
        <w:t xml:space="preserve">land, water and heritage are well-managed, protected and productive for today and the future. </w:t>
      </w:r>
      <w:r w:rsidR="004157A6">
        <w:t>We</w:t>
      </w:r>
      <w:r w:rsidR="00355289">
        <w:t xml:space="preserve"> partner with government, industry and community groups </w:t>
      </w:r>
      <w:r w:rsidR="003857B7">
        <w:t>to conserve Australia’s heritage</w:t>
      </w:r>
      <w:r w:rsidR="006353CC">
        <w:t xml:space="preserve"> and </w:t>
      </w:r>
      <w:r w:rsidR="00032E5A">
        <w:t xml:space="preserve">its </w:t>
      </w:r>
      <w:r w:rsidR="003857B7">
        <w:t>unique landscapes.</w:t>
      </w:r>
    </w:p>
    <w:p w14:paraId="7351E15E" w14:textId="012A1EF9" w:rsidR="00FE0853" w:rsidRDefault="003857B7" w:rsidP="00FE0853">
      <w:r>
        <w:t>We work in diverse settings</w:t>
      </w:r>
      <w:r w:rsidR="006353CC">
        <w:t xml:space="preserve">: </w:t>
      </w:r>
      <w:r>
        <w:t>in national parks, Antarctica, shipping ports</w:t>
      </w:r>
      <w:r w:rsidR="001F6096">
        <w:t>,</w:t>
      </w:r>
      <w:r>
        <w:t xml:space="preserve"> airports, mail centres, quarantine facilities, laboratories, abattoirs and offices</w:t>
      </w:r>
      <w:r w:rsidR="004157A6">
        <w:t xml:space="preserve">. About half of our </w:t>
      </w:r>
      <w:r w:rsidR="00EA642D">
        <w:t xml:space="preserve">people </w:t>
      </w:r>
      <w:r w:rsidR="004157A6">
        <w:t xml:space="preserve">are located outside Canberra </w:t>
      </w:r>
      <w:r>
        <w:t>in remote and regional centres, rural communities and cities.</w:t>
      </w:r>
    </w:p>
    <w:p w14:paraId="273FD454" w14:textId="161100B2" w:rsidR="00FE0853" w:rsidRDefault="00F543FE" w:rsidP="00FE0853">
      <w:r>
        <w:t xml:space="preserve">Our </w:t>
      </w:r>
      <w:r w:rsidR="00EA642D">
        <w:t xml:space="preserve">people </w:t>
      </w:r>
      <w:r>
        <w:t>overseas</w:t>
      </w:r>
      <w:r w:rsidR="003857B7">
        <w:t xml:space="preserve"> maintain relationships with international organisations and trading partners. Our agricultural counsellors</w:t>
      </w:r>
      <w:r w:rsidR="004157A6">
        <w:t xml:space="preserve"> are</w:t>
      </w:r>
      <w:r w:rsidR="003857B7">
        <w:t xml:space="preserve"> in key trade locations around the world</w:t>
      </w:r>
      <w:r w:rsidR="004157A6">
        <w:t xml:space="preserve">. They </w:t>
      </w:r>
      <w:r w:rsidR="003857B7">
        <w:t>promote Australia's agricultural interests, negotiate market access and contribute to growth in the agricultural sector.</w:t>
      </w:r>
    </w:p>
    <w:p w14:paraId="56C153AF" w14:textId="203FE113" w:rsidR="00FE0853" w:rsidRDefault="003857B7" w:rsidP="00FE0853">
      <w:r>
        <w:t xml:space="preserve">Our </w:t>
      </w:r>
      <w:r w:rsidR="00F02E43">
        <w:t xml:space="preserve">experience, </w:t>
      </w:r>
      <w:r>
        <w:t xml:space="preserve">expertise </w:t>
      </w:r>
      <w:r w:rsidR="00F02E43">
        <w:t xml:space="preserve">and knowledge </w:t>
      </w:r>
      <w:r>
        <w:t>help us to be ready for any challenge</w:t>
      </w:r>
      <w:r w:rsidR="00F543FE">
        <w:t xml:space="preserve">. They </w:t>
      </w:r>
      <w:r>
        <w:t xml:space="preserve">ensure our advice and activities meet the </w:t>
      </w:r>
      <w:r w:rsidR="00F543FE">
        <w:t xml:space="preserve">current and future </w:t>
      </w:r>
      <w:r>
        <w:t>needs and expectations of our government, industry and community stakeholders.</w:t>
      </w:r>
    </w:p>
    <w:p w14:paraId="51B4511E" w14:textId="5309C33E" w:rsidR="00FE0853" w:rsidRDefault="00DB36BB" w:rsidP="00FE0853">
      <w:pPr>
        <w:pStyle w:val="Caption"/>
      </w:pPr>
      <w:bookmarkStart w:id="21" w:name="_Toc77254387"/>
      <w:r w:rsidRPr="00D52B9B">
        <w:lastRenderedPageBreak/>
        <w:t>Figure </w:t>
      </w:r>
      <w:r w:rsidR="001F07E6" w:rsidRPr="00D52B9B">
        <w:rPr>
          <w:noProof/>
        </w:rPr>
        <w:t>2</w:t>
      </w:r>
      <w:r w:rsidR="003857B7" w:rsidRPr="00D52B9B">
        <w:t xml:space="preserve"> Our people </w:t>
      </w:r>
      <w:r w:rsidR="00F02E43" w:rsidRPr="00D52B9B">
        <w:t xml:space="preserve">on </w:t>
      </w:r>
      <w:r w:rsidR="0004021E" w:rsidRPr="00D52B9B">
        <w:t>30 June </w:t>
      </w:r>
      <w:r w:rsidR="003857B7" w:rsidRPr="00D52B9B">
        <w:t>2021</w:t>
      </w:r>
      <w:bookmarkEnd w:id="21"/>
    </w:p>
    <w:p w14:paraId="0D98BEFF" w14:textId="5B218C4F" w:rsidR="001D1453" w:rsidRPr="00D52B9B" w:rsidRDefault="00D52B9B" w:rsidP="00D52B9B">
      <w:pPr>
        <w:pStyle w:val="Picture"/>
      </w:pPr>
      <w:r>
        <w:drawing>
          <wp:inline distT="0" distB="0" distL="0" distR="0" wp14:anchorId="311095C1" wp14:editId="0773B497">
            <wp:extent cx="5759450" cy="5699125"/>
            <wp:effectExtent l="0" t="0" r="0" b="0"/>
            <wp:docPr id="5" name="Picture 5" descr="7,107 employees. 77% full-time, 17.42% part-time, 5.25% casual. Employees self-identify in diversity groups: 53.86% female, 49.9% female EL2 and above, 4.36% Aboriginal or Torres Strait Islander, 2.7% with disability, 4.74% non-English speaking background. We are an Australian Workplace Equality index Bronze employ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7,107 employees. 77% full-time, 17.42% part-time, 5.25% casual. Employees self-identify in diversity groups: 53.86% female, 49.9% female EL2 and above, 4.36% Aboriginal or Torres Strait Islander, 2.7% with disability, 4.74% non-English speaking background. We are an Australian Workplace Equality index Bronze employer."/>
                    <pic:cNvPicPr/>
                  </pic:nvPicPr>
                  <pic:blipFill>
                    <a:blip r:embed="rId22" cstate="screen">
                      <a:extLst>
                        <a:ext uri="{28A0092B-C50C-407E-A947-70E740481C1C}">
                          <a14:useLocalDpi xmlns:a14="http://schemas.microsoft.com/office/drawing/2010/main"/>
                        </a:ext>
                      </a:extLst>
                    </a:blip>
                    <a:stretch>
                      <a:fillRect/>
                    </a:stretch>
                  </pic:blipFill>
                  <pic:spPr>
                    <a:xfrm>
                      <a:off x="0" y="0"/>
                      <a:ext cx="5759450" cy="5699125"/>
                    </a:xfrm>
                    <a:prstGeom prst="rect">
                      <a:avLst/>
                    </a:prstGeom>
                  </pic:spPr>
                </pic:pic>
              </a:graphicData>
            </a:graphic>
          </wp:inline>
        </w:drawing>
      </w:r>
    </w:p>
    <w:p w14:paraId="4FACEFCF" w14:textId="4095241A" w:rsidR="001F228A" w:rsidRPr="00DE45D6" w:rsidRDefault="001F228A" w:rsidP="00C6062D">
      <w:pPr>
        <w:pStyle w:val="FigureTableNoteSource"/>
      </w:pPr>
      <w:r>
        <w:t xml:space="preserve">Note: An employee has a non-English speaking background if they arrived in Australia after the age </w:t>
      </w:r>
      <w:r w:rsidR="003F798A">
        <w:t>of </w:t>
      </w:r>
      <w:r>
        <w:t xml:space="preserve">5 and their first language is a language other than English. The </w:t>
      </w:r>
      <w:hyperlink r:id="rId23" w:history="1">
        <w:r w:rsidRPr="001F228A">
          <w:rPr>
            <w:rStyle w:val="Hyperlink"/>
          </w:rPr>
          <w:t>Australian Workplace Equality Index</w:t>
        </w:r>
      </w:hyperlink>
      <w:r>
        <w:t xml:space="preserve"> provides a national benchmark on </w:t>
      </w:r>
      <w:r w:rsidR="00A97F95" w:rsidRPr="00A97F95">
        <w:t xml:space="preserve">lesbian, gay, bisexual, transgender and queer or questioning </w:t>
      </w:r>
      <w:r>
        <w:t>workplace inclusion in Australia.</w:t>
      </w:r>
      <w:r w:rsidR="00DE45D6">
        <w:t xml:space="preserve"> </w:t>
      </w:r>
      <w:r>
        <w:t>Source: Aurion and SAP</w:t>
      </w:r>
      <w:r w:rsidR="00061186">
        <w:t>.</w:t>
      </w:r>
    </w:p>
    <w:p w14:paraId="37E400F9" w14:textId="21F09B82" w:rsidR="00FE0853" w:rsidRDefault="003857B7" w:rsidP="00FE0853">
      <w:pPr>
        <w:pStyle w:val="Caption"/>
      </w:pPr>
      <w:bookmarkStart w:id="22" w:name="_Toc77254388"/>
      <w:r w:rsidRPr="00D52B9B">
        <w:lastRenderedPageBreak/>
        <w:t>Figure</w:t>
      </w:r>
      <w:r w:rsidR="00447F51" w:rsidRPr="00D52B9B">
        <w:t> </w:t>
      </w:r>
      <w:r w:rsidR="001F07E6" w:rsidRPr="00D52B9B">
        <w:rPr>
          <w:noProof/>
        </w:rPr>
        <w:t>3</w:t>
      </w:r>
      <w:r w:rsidRPr="00D52B9B">
        <w:t xml:space="preserve"> Our locations </w:t>
      </w:r>
      <w:r w:rsidR="00F02E43" w:rsidRPr="00D52B9B">
        <w:t xml:space="preserve">on </w:t>
      </w:r>
      <w:r w:rsidR="0004021E" w:rsidRPr="00D52B9B">
        <w:t>30 June </w:t>
      </w:r>
      <w:r w:rsidRPr="00D52B9B">
        <w:t>2021</w:t>
      </w:r>
      <w:bookmarkEnd w:id="22"/>
    </w:p>
    <w:p w14:paraId="41061D1C" w14:textId="1B208634" w:rsidR="001D1453" w:rsidRDefault="00D52B9B" w:rsidP="00C6062D">
      <w:pPr>
        <w:pStyle w:val="Picture"/>
      </w:pPr>
      <w:bookmarkStart w:id="23" w:name="_Toc76550791"/>
      <w:r>
        <w:drawing>
          <wp:inline distT="0" distB="0" distL="0" distR="0" wp14:anchorId="49C9283F" wp14:editId="196C0922">
            <wp:extent cx="5759450" cy="7328535"/>
            <wp:effectExtent l="0" t="0" r="0" b="5715"/>
            <wp:docPr id="8" name="Picture 8" descr="180 locations in Australia. 52 of these are in major cities, 128 are in regional and remote areas which include external territories such as Coco Island, Christmas Island and Norfolk Island. We are based in 17 locations outside Australia. We are in 4 locations in and around Antarc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180 locations in Australia. 52 of these are in major cities, 128 are in regional and remote areas which include external territories such as Coco Island, Christmas Island and Norfolk Island. We are based in 17 locations outside Australia. We are in 4 locations in and around Antarctica."/>
                    <pic:cNvPicPr/>
                  </pic:nvPicPr>
                  <pic:blipFill>
                    <a:blip r:embed="rId24" cstate="screen">
                      <a:extLst>
                        <a:ext uri="{28A0092B-C50C-407E-A947-70E740481C1C}">
                          <a14:useLocalDpi xmlns:a14="http://schemas.microsoft.com/office/drawing/2010/main"/>
                        </a:ext>
                      </a:extLst>
                    </a:blip>
                    <a:stretch>
                      <a:fillRect/>
                    </a:stretch>
                  </pic:blipFill>
                  <pic:spPr>
                    <a:xfrm>
                      <a:off x="0" y="0"/>
                      <a:ext cx="5759450" cy="7328535"/>
                    </a:xfrm>
                    <a:prstGeom prst="rect">
                      <a:avLst/>
                    </a:prstGeom>
                  </pic:spPr>
                </pic:pic>
              </a:graphicData>
            </a:graphic>
          </wp:inline>
        </w:drawing>
      </w:r>
    </w:p>
    <w:p w14:paraId="22978E0B" w14:textId="4B494B99" w:rsidR="001D1453" w:rsidRPr="00C6062D" w:rsidRDefault="00053B70" w:rsidP="00C6062D">
      <w:pPr>
        <w:pStyle w:val="FigureTableNoteSource"/>
      </w:pPr>
      <w:r w:rsidRPr="00DE45D6">
        <w:t>Note: Not a</w:t>
      </w:r>
      <w:r w:rsidR="00DE45D6">
        <w:t>l</w:t>
      </w:r>
      <w:r w:rsidRPr="00DE45D6">
        <w:t>l international locations ar</w:t>
      </w:r>
      <w:r w:rsidRPr="003B7A10">
        <w:t xml:space="preserve">e displayed due to the </w:t>
      </w:r>
      <w:r w:rsidR="00013395">
        <w:t>image size</w:t>
      </w:r>
      <w:r w:rsidRPr="00EC38DC">
        <w:t>.</w:t>
      </w:r>
    </w:p>
    <w:p w14:paraId="2B3111CA" w14:textId="74ECC7CE" w:rsidR="00FE0853" w:rsidRDefault="003857B7" w:rsidP="004F4502">
      <w:pPr>
        <w:pStyle w:val="Heading3"/>
        <w:pageBreakBefore/>
      </w:pPr>
      <w:bookmarkStart w:id="24" w:name="_Our_values_and"/>
      <w:bookmarkStart w:id="25" w:name="_Our_values_and_1"/>
      <w:bookmarkStart w:id="26" w:name="_Toc76972880"/>
      <w:bookmarkStart w:id="27" w:name="_Toc79585783"/>
      <w:bookmarkEnd w:id="24"/>
      <w:bookmarkEnd w:id="25"/>
      <w:r>
        <w:lastRenderedPageBreak/>
        <w:t>Our values</w:t>
      </w:r>
      <w:bookmarkEnd w:id="23"/>
      <w:r w:rsidR="00806931">
        <w:t xml:space="preserve"> and principles</w:t>
      </w:r>
      <w:bookmarkEnd w:id="26"/>
      <w:bookmarkEnd w:id="27"/>
    </w:p>
    <w:p w14:paraId="14844B67" w14:textId="5173E4F0" w:rsidR="00FE0853" w:rsidRDefault="003857B7" w:rsidP="00FE0853">
      <w:r>
        <w:t xml:space="preserve">Our values </w:t>
      </w:r>
      <w:r w:rsidR="00862435">
        <w:t xml:space="preserve">and principles </w:t>
      </w:r>
      <w:r>
        <w:t>underpin everything we do.</w:t>
      </w:r>
    </w:p>
    <w:p w14:paraId="20AA79B4" w14:textId="009CA096" w:rsidR="00404AB6" w:rsidRDefault="00404AB6" w:rsidP="00FE0853">
      <w:r>
        <w:t>We are</w:t>
      </w:r>
      <w:r w:rsidR="003857B7">
        <w:t xml:space="preserve"> part of the Australian Public Service</w:t>
      </w:r>
      <w:r w:rsidR="0004021E">
        <w:t> </w:t>
      </w:r>
      <w:r w:rsidR="003857B7">
        <w:t>(APS)</w:t>
      </w:r>
      <w:r w:rsidR="00540E21">
        <w:t xml:space="preserve"> and </w:t>
      </w:r>
      <w:r w:rsidR="003857B7">
        <w:t xml:space="preserve">adhere to the </w:t>
      </w:r>
      <w:r w:rsidR="00682192">
        <w:t>APS </w:t>
      </w:r>
      <w:r w:rsidR="003857B7">
        <w:t>Values</w:t>
      </w:r>
      <w:r w:rsidR="00862435">
        <w:t xml:space="preserve"> of</w:t>
      </w:r>
      <w:r w:rsidR="003857B7">
        <w:t xml:space="preserve"> impartial, committed to service, accountable, respectful, ethical.</w:t>
      </w:r>
    </w:p>
    <w:p w14:paraId="324D59CD" w14:textId="133BD1D5" w:rsidR="00FE0853" w:rsidRDefault="003857B7" w:rsidP="00FE0853">
      <w:r>
        <w:t xml:space="preserve">We support the </w:t>
      </w:r>
      <w:r w:rsidR="00682192">
        <w:t>APS </w:t>
      </w:r>
      <w:r>
        <w:t>Values through Our</w:t>
      </w:r>
      <w:r w:rsidR="00E66100">
        <w:t> </w:t>
      </w:r>
      <w:r w:rsidR="0004021E">
        <w:t>Core </w:t>
      </w:r>
      <w:r>
        <w:t>4</w:t>
      </w:r>
      <w:r w:rsidR="00743A41">
        <w:t xml:space="preserve"> values</w:t>
      </w:r>
      <w:r>
        <w:t xml:space="preserve">. These </w:t>
      </w:r>
      <w:r w:rsidR="00404AB6">
        <w:t>provide</w:t>
      </w:r>
      <w:r>
        <w:t xml:space="preserve"> a shared understanding of how we work together and </w:t>
      </w:r>
      <w:r w:rsidR="00404AB6">
        <w:t xml:space="preserve">how we work </w:t>
      </w:r>
      <w:r>
        <w:t>with our stakeholders and partners</w:t>
      </w:r>
      <w:r w:rsidR="00C65DDC">
        <w:t>. They help us</w:t>
      </w:r>
      <w:r>
        <w:t xml:space="preserve"> to achieve our purpose, objectives and priorities.</w:t>
      </w:r>
    </w:p>
    <w:p w14:paraId="5C7AEDD4" w14:textId="31E04CF2" w:rsidR="00FE0853" w:rsidRDefault="003857B7" w:rsidP="00FE0853">
      <w:r>
        <w:t>Our</w:t>
      </w:r>
      <w:r w:rsidR="00E66100">
        <w:t> </w:t>
      </w:r>
      <w:r w:rsidR="0004021E">
        <w:t>Core </w:t>
      </w:r>
      <w:r>
        <w:t>4 values</w:t>
      </w:r>
      <w:r w:rsidR="0004021E">
        <w:t xml:space="preserve"> (</w:t>
      </w:r>
      <w:r w:rsidR="001F07E6" w:rsidRPr="00E67317">
        <w:rPr>
          <w:color w:val="000000" w:themeColor="text1"/>
        </w:rPr>
        <w:t>Figure</w:t>
      </w:r>
      <w:r w:rsidR="00A60717">
        <w:rPr>
          <w:color w:val="000000" w:themeColor="text1"/>
        </w:rPr>
        <w:t> </w:t>
      </w:r>
      <w:r w:rsidR="001F07E6">
        <w:rPr>
          <w:noProof/>
          <w:color w:val="000000" w:themeColor="text1"/>
        </w:rPr>
        <w:t>4</w:t>
      </w:r>
      <w:r w:rsidR="0004021E">
        <w:t>)</w:t>
      </w:r>
      <w:r>
        <w:t xml:space="preserve"> are:</w:t>
      </w:r>
    </w:p>
    <w:p w14:paraId="7302CE7B" w14:textId="799E9CCF" w:rsidR="00FE0853" w:rsidRPr="004D27F0" w:rsidRDefault="003857B7" w:rsidP="00DE45D6">
      <w:pPr>
        <w:pStyle w:val="ListBullet"/>
      </w:pPr>
      <w:r w:rsidRPr="00C6062D">
        <w:rPr>
          <w:rStyle w:val="Strong"/>
        </w:rPr>
        <w:t>Working together</w:t>
      </w:r>
      <w:r w:rsidR="0004021E" w:rsidRPr="00C6062D">
        <w:rPr>
          <w:rStyle w:val="Strong"/>
        </w:rPr>
        <w:t>.</w:t>
      </w:r>
      <w:r w:rsidRPr="00DE45D6">
        <w:t xml:space="preserve"> </w:t>
      </w:r>
      <w:r w:rsidRPr="004D27F0">
        <w:t>We collaborate</w:t>
      </w:r>
      <w:r w:rsidR="00C65DDC">
        <w:t xml:space="preserve"> and</w:t>
      </w:r>
      <w:r w:rsidRPr="004D27F0">
        <w:t xml:space="preserve"> share information</w:t>
      </w:r>
      <w:r w:rsidR="00C65DDC">
        <w:t>. We</w:t>
      </w:r>
      <w:r w:rsidRPr="004D27F0">
        <w:t xml:space="preserve"> actively look for opportunities to connect across the department and with our stakeholders, partners and the community. We look after each other, support each other and work as a team.</w:t>
      </w:r>
    </w:p>
    <w:p w14:paraId="4DB8372C" w14:textId="7CBD9779" w:rsidR="00FE0853" w:rsidRDefault="003857B7" w:rsidP="00DE45D6">
      <w:pPr>
        <w:pStyle w:val="ListBullet"/>
      </w:pPr>
      <w:r w:rsidRPr="00C6062D">
        <w:rPr>
          <w:rStyle w:val="Strong"/>
        </w:rPr>
        <w:t>Courage</w:t>
      </w:r>
      <w:r w:rsidR="0004021E" w:rsidRPr="00C6062D">
        <w:rPr>
          <w:rStyle w:val="Strong"/>
        </w:rPr>
        <w:t>.</w:t>
      </w:r>
      <w:r>
        <w:t xml:space="preserve"> We look for opportunities to innovate</w:t>
      </w:r>
      <w:r w:rsidR="001F7F94">
        <w:t>. We</w:t>
      </w:r>
      <w:r>
        <w:t xml:space="preserve"> try new things and engage with risk. We call out unacceptable behaviour</w:t>
      </w:r>
      <w:r w:rsidR="001F7F94">
        <w:t>. W</w:t>
      </w:r>
      <w:r>
        <w:t>e own up to and learn from our mistakes.</w:t>
      </w:r>
    </w:p>
    <w:p w14:paraId="2F2981CE" w14:textId="1BD00D4E" w:rsidR="00FE0853" w:rsidRDefault="003857B7" w:rsidP="003B7A10">
      <w:pPr>
        <w:pStyle w:val="ListBullet"/>
      </w:pPr>
      <w:r w:rsidRPr="00C6062D">
        <w:rPr>
          <w:rStyle w:val="Strong"/>
        </w:rPr>
        <w:t>Diversity</w:t>
      </w:r>
      <w:r w:rsidR="0004021E" w:rsidRPr="00C6062D">
        <w:rPr>
          <w:rStyle w:val="Strong"/>
        </w:rPr>
        <w:t>.</w:t>
      </w:r>
      <w:r>
        <w:t xml:space="preserve"> We are diverse in who we are and the work we do. We listen to and draw on the</w:t>
      </w:r>
      <w:r w:rsidR="004F4502">
        <w:t xml:space="preserve"> </w:t>
      </w:r>
      <w:r w:rsidR="004F4502" w:rsidRPr="004F4502">
        <w:t>experience, expertise and knowledge</w:t>
      </w:r>
      <w:r>
        <w:t xml:space="preserve"> of others. We are inclusive</w:t>
      </w:r>
      <w:r w:rsidR="001F7F94">
        <w:t>. We</w:t>
      </w:r>
      <w:r>
        <w:t xml:space="preserve"> acknowledge and respect diverse cultures and backgrounds.</w:t>
      </w:r>
    </w:p>
    <w:p w14:paraId="6665881C" w14:textId="3BDCF1FF" w:rsidR="00FE0853" w:rsidRDefault="003857B7" w:rsidP="003B7A10">
      <w:pPr>
        <w:pStyle w:val="ListBullet"/>
      </w:pPr>
      <w:r w:rsidRPr="00C6062D">
        <w:rPr>
          <w:rStyle w:val="Strong"/>
        </w:rPr>
        <w:t>Excellence</w:t>
      </w:r>
      <w:r w:rsidR="0004021E" w:rsidRPr="00C6062D">
        <w:rPr>
          <w:rStyle w:val="Strong"/>
        </w:rPr>
        <w:t>.</w:t>
      </w:r>
      <w:r w:rsidRPr="00C6062D">
        <w:rPr>
          <w:rStyle w:val="Strong"/>
        </w:rPr>
        <w:t xml:space="preserve"> </w:t>
      </w:r>
      <w:r>
        <w:t>We work to the best of our ability</w:t>
      </w:r>
      <w:r w:rsidR="001F7F94">
        <w:t>. We</w:t>
      </w:r>
      <w:r>
        <w:t xml:space="preserve"> accept personal responsibility for our work</w:t>
      </w:r>
      <w:r w:rsidR="001F7F94">
        <w:t>. We</w:t>
      </w:r>
      <w:r>
        <w:t xml:space="preserve"> use data and research to make well-informed decisions.</w:t>
      </w:r>
    </w:p>
    <w:p w14:paraId="602396ED" w14:textId="01B03432" w:rsidR="00FE0853" w:rsidRDefault="00DE45D6" w:rsidP="00FE0853">
      <w:r>
        <w:t>The principles of safety and integrity underpin Our</w:t>
      </w:r>
      <w:r w:rsidR="00682192">
        <w:t> </w:t>
      </w:r>
      <w:r>
        <w:t>Core</w:t>
      </w:r>
      <w:r w:rsidR="00682192">
        <w:t> </w:t>
      </w:r>
      <w:r>
        <w:t xml:space="preserve">4. </w:t>
      </w:r>
      <w:r w:rsidR="00447F51" w:rsidRPr="00E67317">
        <w:rPr>
          <w:color w:val="000000" w:themeColor="text1"/>
        </w:rPr>
        <w:t>Figure</w:t>
      </w:r>
      <w:r w:rsidR="00447F51">
        <w:rPr>
          <w:color w:val="000000" w:themeColor="text1"/>
        </w:rPr>
        <w:t> </w:t>
      </w:r>
      <w:r w:rsidR="00447F51">
        <w:rPr>
          <w:noProof/>
          <w:color w:val="000000" w:themeColor="text1"/>
        </w:rPr>
        <w:t>4</w:t>
      </w:r>
      <w:r w:rsidR="00862435">
        <w:t xml:space="preserve"> </w:t>
      </w:r>
      <w:r w:rsidR="00634174">
        <w:t>and Figure</w:t>
      </w:r>
      <w:r w:rsidR="00A60717">
        <w:t> </w:t>
      </w:r>
      <w:r w:rsidR="00634174">
        <w:rPr>
          <w:noProof/>
        </w:rPr>
        <w:t>5</w:t>
      </w:r>
      <w:r w:rsidR="00634174">
        <w:t xml:space="preserve"> </w:t>
      </w:r>
      <w:r w:rsidR="00862435">
        <w:t xml:space="preserve">highlight </w:t>
      </w:r>
      <w:r w:rsidR="003857B7">
        <w:t xml:space="preserve">the importance of </w:t>
      </w:r>
      <w:r w:rsidR="00CF3922">
        <w:t>v</w:t>
      </w:r>
      <w:r w:rsidR="00F02E43">
        <w:t>alues and</w:t>
      </w:r>
      <w:r w:rsidR="00CF3922">
        <w:t xml:space="preserve"> </w:t>
      </w:r>
      <w:r>
        <w:t xml:space="preserve">principles </w:t>
      </w:r>
      <w:r w:rsidR="003857B7">
        <w:t>in our workplace.</w:t>
      </w:r>
    </w:p>
    <w:p w14:paraId="5061EC7F" w14:textId="23C6658D" w:rsidR="00FE0853" w:rsidRDefault="00447F51" w:rsidP="006621F0">
      <w:pPr>
        <w:pStyle w:val="Caption"/>
        <w:rPr>
          <w:color w:val="000000" w:themeColor="text1"/>
        </w:rPr>
      </w:pPr>
      <w:bookmarkStart w:id="28" w:name="_Ref75852135"/>
      <w:bookmarkStart w:id="29" w:name="_Toc77254389"/>
      <w:r w:rsidRPr="00E67317">
        <w:rPr>
          <w:color w:val="000000" w:themeColor="text1"/>
        </w:rPr>
        <w:t>Figure</w:t>
      </w:r>
      <w:r>
        <w:rPr>
          <w:color w:val="000000" w:themeColor="text1"/>
        </w:rPr>
        <w:t> </w:t>
      </w:r>
      <w:r w:rsidR="001F07E6">
        <w:rPr>
          <w:noProof/>
          <w:color w:val="000000" w:themeColor="text1"/>
        </w:rPr>
        <w:t>4</w:t>
      </w:r>
      <w:bookmarkEnd w:id="28"/>
      <w:r w:rsidR="003857B7" w:rsidRPr="00E67317">
        <w:rPr>
          <w:color w:val="000000" w:themeColor="text1"/>
        </w:rPr>
        <w:t xml:space="preserve"> Our</w:t>
      </w:r>
      <w:r w:rsidR="00E66100">
        <w:rPr>
          <w:color w:val="000000" w:themeColor="text1"/>
        </w:rPr>
        <w:t> </w:t>
      </w:r>
      <w:r w:rsidR="003857B7" w:rsidRPr="00E67317">
        <w:rPr>
          <w:color w:val="000000" w:themeColor="text1"/>
        </w:rPr>
        <w:t>Core</w:t>
      </w:r>
      <w:r w:rsidR="00AD09CB">
        <w:rPr>
          <w:color w:val="000000" w:themeColor="text1"/>
        </w:rPr>
        <w:t> </w:t>
      </w:r>
      <w:r w:rsidR="003857B7" w:rsidRPr="00E67317">
        <w:rPr>
          <w:color w:val="000000" w:themeColor="text1"/>
        </w:rPr>
        <w:t>4</w:t>
      </w:r>
      <w:bookmarkEnd w:id="29"/>
    </w:p>
    <w:p w14:paraId="57BA9B47" w14:textId="5D9F005F" w:rsidR="001D1453" w:rsidRPr="00101671" w:rsidRDefault="00A60717" w:rsidP="00A60717">
      <w:r>
        <w:rPr>
          <w:noProof/>
        </w:rPr>
        <w:drawing>
          <wp:inline distT="0" distB="0" distL="0" distR="0" wp14:anchorId="37DE2650" wp14:editId="64401C0C">
            <wp:extent cx="3657600" cy="3657600"/>
            <wp:effectExtent l="0" t="0" r="0" b="0"/>
            <wp:docPr id="9" name="Picture 9" descr="Circle with a quadrant for each value: working together, courage, diversity and excellence. Safety is in the centre. Integrity is the outer rim of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ircle with a quadrant for each value: working together, courage, diversity and excellence. Safety is in the centre. Integrity is the outer rim of circle."/>
                    <pic:cNvPicPr/>
                  </pic:nvPicPr>
                  <pic:blipFill>
                    <a:blip r:embed="rId25" cstate="screen">
                      <a:extLst>
                        <a:ext uri="{28A0092B-C50C-407E-A947-70E740481C1C}">
                          <a14:useLocalDpi xmlns:a14="http://schemas.microsoft.com/office/drawing/2010/main"/>
                        </a:ext>
                      </a:extLst>
                    </a:blip>
                    <a:stretch>
                      <a:fillRect/>
                    </a:stretch>
                  </pic:blipFill>
                  <pic:spPr>
                    <a:xfrm>
                      <a:off x="0" y="0"/>
                      <a:ext cx="3693684" cy="3693684"/>
                    </a:xfrm>
                    <a:prstGeom prst="rect">
                      <a:avLst/>
                    </a:prstGeom>
                  </pic:spPr>
                </pic:pic>
              </a:graphicData>
            </a:graphic>
          </wp:inline>
        </w:drawing>
      </w:r>
    </w:p>
    <w:p w14:paraId="2CE3D626" w14:textId="77777777" w:rsidR="00FE0853" w:rsidRDefault="003857B7" w:rsidP="006621F0">
      <w:pPr>
        <w:pStyle w:val="Heading3"/>
      </w:pPr>
      <w:bookmarkStart w:id="30" w:name="_Toc76550792"/>
      <w:bookmarkStart w:id="31" w:name="_Toc76972881"/>
      <w:bookmarkStart w:id="32" w:name="_Toc79585784"/>
      <w:r>
        <w:lastRenderedPageBreak/>
        <w:t>Our objectives</w:t>
      </w:r>
      <w:bookmarkEnd w:id="30"/>
      <w:bookmarkEnd w:id="31"/>
      <w:bookmarkEnd w:id="32"/>
    </w:p>
    <w:p w14:paraId="4E905A2F" w14:textId="134FF794" w:rsidR="00FE0853" w:rsidRDefault="003857B7" w:rsidP="00FE0853">
      <w:r>
        <w:t>Our purpose, objectives</w:t>
      </w:r>
      <w:r w:rsidR="00EC38DC">
        <w:t>, values and principles</w:t>
      </w:r>
      <w:r>
        <w:t xml:space="preserve"> </w:t>
      </w:r>
      <w:r w:rsidR="005B7CF4">
        <w:t>are</w:t>
      </w:r>
      <w:r>
        <w:t xml:space="preserve"> </w:t>
      </w:r>
      <w:r w:rsidR="00806931">
        <w:t xml:space="preserve">a clear statement about </w:t>
      </w:r>
      <w:r>
        <w:t>who we are and what we are here to do.</w:t>
      </w:r>
      <w:r w:rsidR="00EC38DC">
        <w:t xml:space="preserve"> </w:t>
      </w:r>
      <w:r>
        <w:t>Our 6 objectives</w:t>
      </w:r>
      <w:r w:rsidR="00806931">
        <w:t xml:space="preserve"> are </w:t>
      </w:r>
      <w:r w:rsidR="00EC38DC">
        <w:t>our</w:t>
      </w:r>
      <w:r>
        <w:t xml:space="preserve"> key areas of focus</w:t>
      </w:r>
      <w:r w:rsidR="00EC38DC">
        <w:t xml:space="preserve"> and the foundation for our strategic </w:t>
      </w:r>
      <w:r w:rsidR="00A54612">
        <w:t>priorities</w:t>
      </w:r>
      <w:r w:rsidR="00EC38DC">
        <w:t>.</w:t>
      </w:r>
    </w:p>
    <w:p w14:paraId="7DD99CD6" w14:textId="752D5E0C" w:rsidR="00A60717" w:rsidRDefault="00A60717" w:rsidP="00FE0853">
      <w:r>
        <w:t xml:space="preserve">The supporting performance measures for each objective are in the </w:t>
      </w:r>
      <w:hyperlink w:anchor="_Our_performance_measures" w:history="1">
        <w:r w:rsidRPr="00ED6502">
          <w:rPr>
            <w:rStyle w:val="Hyperlink"/>
          </w:rPr>
          <w:t>Our performance measures</w:t>
        </w:r>
      </w:hyperlink>
      <w:r>
        <w:t xml:space="preserve"> section of this plan.</w:t>
      </w:r>
    </w:p>
    <w:p w14:paraId="12E09485" w14:textId="611C75FB" w:rsidR="006621F0" w:rsidRDefault="003857B7" w:rsidP="006621F0">
      <w:pPr>
        <w:pStyle w:val="Caption"/>
      </w:pPr>
      <w:bookmarkStart w:id="33" w:name="_Ref75852150"/>
      <w:bookmarkStart w:id="34" w:name="_Toc77254390"/>
      <w:r>
        <w:t>Figure</w:t>
      </w:r>
      <w:r w:rsidR="00A60717">
        <w:t> </w:t>
      </w:r>
      <w:r w:rsidR="001F07E6">
        <w:rPr>
          <w:noProof/>
        </w:rPr>
        <w:t>5</w:t>
      </w:r>
      <w:bookmarkEnd w:id="33"/>
      <w:r>
        <w:t xml:space="preserve"> Our purpose</w:t>
      </w:r>
      <w:r w:rsidR="001A1230">
        <w:t>,</w:t>
      </w:r>
      <w:r>
        <w:t xml:space="preserve"> </w:t>
      </w:r>
      <w:proofErr w:type="gramStart"/>
      <w:r>
        <w:t>objectives</w:t>
      </w:r>
      <w:proofErr w:type="gramEnd"/>
      <w:r w:rsidR="00766221">
        <w:t xml:space="preserve"> and</w:t>
      </w:r>
      <w:r>
        <w:t xml:space="preserve"> values</w:t>
      </w:r>
      <w:r w:rsidR="00806931">
        <w:t xml:space="preserve"> </w:t>
      </w:r>
      <w:bookmarkEnd w:id="34"/>
    </w:p>
    <w:p w14:paraId="595E9019" w14:textId="5BB72D81" w:rsidR="001D1453" w:rsidRDefault="00A60717" w:rsidP="006621F0">
      <w:pPr>
        <w:pStyle w:val="Picture"/>
      </w:pPr>
      <w:r>
        <w:drawing>
          <wp:inline distT="0" distB="0" distL="0" distR="0" wp14:anchorId="1D5985E8" wp14:editId="3F235A46">
            <wp:extent cx="5759450" cy="5739765"/>
            <wp:effectExtent l="0" t="0" r="0" b="0"/>
            <wp:docPr id="11" name="Picture 11" descr="A circle image. In the middle is Our Purpose: Enhancing Australia’s agriculture, environment, heritage and water resources through regulation and partnership. 6 circle segments. Agriculture: Assist industry to accelerate growth towards a $100 billion agriculture sector by 2030. Environment and heritage: Improve stewardship and sustainable management of Australia’s environment and unique heritage. Being future ready: Integrate new capabilities and technology-enabled delivery to meet the demands of an increasingly connected, changing and complex world. Biosecurity: Work with our partners to lower biosecurity risks to Australian agriculture, the environment and our way of life. Antarctic: Advance Australia’s strategic, scientific and environmental interests in the Antarctic and Southern ocean. Water resources: Improve the sustainable management of Australia’s water resources for agriculture, the environment and communities. Outer rim of circle shows our values and principles: working together, courage, diversity and excellence, safety and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circle image. In the middle is Our Purpose: Enhancing Australia’s agriculture, environment, heritage and water resources through regulation and partnership. 6 circle segments. Agriculture: Assist industry to accelerate growth towards a $100 billion agriculture sector by 2030. Environment and heritage: Improve stewardship and sustainable management of Australia’s environment and unique heritage. Being future ready: Integrate new capabilities and technology-enabled delivery to meet the demands of an increasingly connected, changing and complex world. Biosecurity: Work with our partners to lower biosecurity risks to Australian agriculture, the environment and our way of life. Antarctic: Advance Australia’s strategic, scientific and environmental interests in the Antarctic and Southern ocean. Water resources: Improve the sustainable management of Australia’s water resources for agriculture, the environment and communities. Outer rim of circle shows our values and principles: working together, courage, diversity and excellence, safety and integrity."/>
                    <pic:cNvPicPr/>
                  </pic:nvPicPr>
                  <pic:blipFill>
                    <a:blip r:embed="rId26" cstate="screen">
                      <a:extLst>
                        <a:ext uri="{28A0092B-C50C-407E-A947-70E740481C1C}">
                          <a14:useLocalDpi xmlns:a14="http://schemas.microsoft.com/office/drawing/2010/main"/>
                        </a:ext>
                      </a:extLst>
                    </a:blip>
                    <a:stretch>
                      <a:fillRect/>
                    </a:stretch>
                  </pic:blipFill>
                  <pic:spPr>
                    <a:xfrm>
                      <a:off x="0" y="0"/>
                      <a:ext cx="5759450" cy="5739765"/>
                    </a:xfrm>
                    <a:prstGeom prst="rect">
                      <a:avLst/>
                    </a:prstGeom>
                  </pic:spPr>
                </pic:pic>
              </a:graphicData>
            </a:graphic>
          </wp:inline>
        </w:drawing>
      </w:r>
    </w:p>
    <w:p w14:paraId="6BBE9230" w14:textId="77777777" w:rsidR="00FE0853" w:rsidRDefault="003857B7" w:rsidP="00842063">
      <w:pPr>
        <w:pStyle w:val="Heading2"/>
      </w:pPr>
      <w:bookmarkStart w:id="35" w:name="_Toc79585738"/>
      <w:bookmarkStart w:id="36" w:name="_Toc79585785"/>
      <w:r>
        <w:lastRenderedPageBreak/>
        <w:t>Our operating environment</w:t>
      </w:r>
      <w:bookmarkEnd w:id="35"/>
      <w:bookmarkEnd w:id="36"/>
    </w:p>
    <w:p w14:paraId="08FB3CFE" w14:textId="03DC9C63" w:rsidR="00FE0853" w:rsidRDefault="003F2994" w:rsidP="00FE0853">
      <w:r>
        <w:t>Our operating</w:t>
      </w:r>
      <w:r w:rsidR="003857B7">
        <w:t xml:space="preserve"> environment </w:t>
      </w:r>
      <w:r w:rsidR="000B41DC">
        <w:t>has</w:t>
      </w:r>
      <w:r w:rsidR="003857B7">
        <w:t xml:space="preserve"> complex challenges and opportunities</w:t>
      </w:r>
      <w:r w:rsidR="000B41DC">
        <w:t>. C</w:t>
      </w:r>
      <w:r w:rsidR="003857B7">
        <w:t>hanging global markets</w:t>
      </w:r>
      <w:r w:rsidR="00E35B48">
        <w:t xml:space="preserve"> and consumer preferences</w:t>
      </w:r>
      <w:r w:rsidR="003857B7">
        <w:t>, increasing international competition, technological disruption, climate and water-related risk</w:t>
      </w:r>
      <w:r w:rsidR="00735DEC">
        <w:t>,</w:t>
      </w:r>
      <w:r w:rsidR="003857B7">
        <w:t xml:space="preserve"> and global shocks </w:t>
      </w:r>
      <w:r w:rsidR="0094239A">
        <w:t xml:space="preserve">such as </w:t>
      </w:r>
      <w:r w:rsidR="003857B7">
        <w:t>the COVID</w:t>
      </w:r>
      <w:r w:rsidR="00CF709D">
        <w:noBreakHyphen/>
        <w:t>19 </w:t>
      </w:r>
      <w:r w:rsidR="003857B7">
        <w:t>pandemic</w:t>
      </w:r>
      <w:r w:rsidR="000B41DC">
        <w:t xml:space="preserve"> affect</w:t>
      </w:r>
      <w:r w:rsidR="00E35B48">
        <w:t xml:space="preserve"> our people, communities</w:t>
      </w:r>
      <w:r>
        <w:t>, agriculture, the environment and the economy</w:t>
      </w:r>
      <w:r w:rsidR="003857B7">
        <w:t>.</w:t>
      </w:r>
    </w:p>
    <w:p w14:paraId="295F9200" w14:textId="77777777" w:rsidR="00FD06F6" w:rsidRDefault="003857B7" w:rsidP="005C442A">
      <w:pPr>
        <w:pStyle w:val="Heading3"/>
      </w:pPr>
      <w:bookmarkStart w:id="37" w:name="_Toc76550794"/>
      <w:bookmarkStart w:id="38" w:name="_Toc76972883"/>
      <w:bookmarkStart w:id="39" w:name="_Toc79585786"/>
      <w:r>
        <w:t>Partnering for better outcomes</w:t>
      </w:r>
      <w:bookmarkEnd w:id="37"/>
      <w:bookmarkEnd w:id="38"/>
      <w:bookmarkEnd w:id="39"/>
    </w:p>
    <w:p w14:paraId="5270C68B" w14:textId="0DDE06D0" w:rsidR="00735DEC" w:rsidRDefault="003857B7" w:rsidP="00735DEC">
      <w:r>
        <w:t>We recognise the importance of partnering with other organisations to help us meet these challenges.</w:t>
      </w:r>
      <w:r w:rsidRPr="00735DEC">
        <w:t xml:space="preserve"> </w:t>
      </w:r>
      <w:r>
        <w:t>W</w:t>
      </w:r>
      <w:r w:rsidRPr="00A85E60">
        <w:t xml:space="preserve">e work with agencies across </w:t>
      </w:r>
      <w:r w:rsidR="003F2994">
        <w:t>Australian</w:t>
      </w:r>
      <w:r w:rsidRPr="00A85E60">
        <w:t>, state and territory governments</w:t>
      </w:r>
      <w:r w:rsidR="003F2994">
        <w:t>. We also work</w:t>
      </w:r>
      <w:r w:rsidRPr="00A85E60">
        <w:t xml:space="preserve"> with industry, </w:t>
      </w:r>
      <w:r>
        <w:t xml:space="preserve">academia, </w:t>
      </w:r>
      <w:r w:rsidRPr="00A85E60">
        <w:t>non-government organisations and communities</w:t>
      </w:r>
      <w:r>
        <w:t>.</w:t>
      </w:r>
    </w:p>
    <w:p w14:paraId="1CA52A7C" w14:textId="08F7A5A9" w:rsidR="0094239A" w:rsidRDefault="007704FA" w:rsidP="00355289">
      <w:r>
        <w:t>For example, o</w:t>
      </w:r>
      <w:r w:rsidR="00355289">
        <w:t xml:space="preserve">ur science and research partners, CSIRO and Charles Sturt University, boost our scientific and technical expertise. </w:t>
      </w:r>
      <w:r w:rsidR="00355289" w:rsidRPr="0095505B">
        <w:t xml:space="preserve">Our strategic consulting services partner, </w:t>
      </w:r>
      <w:r w:rsidR="003857B7" w:rsidRPr="0095505B">
        <w:t>PwC, help</w:t>
      </w:r>
      <w:r w:rsidR="0094239A" w:rsidRPr="0095505B">
        <w:t xml:space="preserve">s with </w:t>
      </w:r>
      <w:r w:rsidR="003857B7" w:rsidRPr="0095505B">
        <w:t xml:space="preserve">strategic initiatives </w:t>
      </w:r>
      <w:r w:rsidR="005835D2" w:rsidRPr="0095505B">
        <w:t>to</w:t>
      </w:r>
      <w:r w:rsidR="00355289" w:rsidRPr="0095505B">
        <w:t xml:space="preserve"> </w:t>
      </w:r>
      <w:r w:rsidR="003857B7" w:rsidRPr="0095505B">
        <w:t>transform the way we work.</w:t>
      </w:r>
      <w:r w:rsidR="003857B7">
        <w:t xml:space="preserve"> </w:t>
      </w:r>
      <w:r w:rsidR="00355289">
        <w:t xml:space="preserve">We work with </w:t>
      </w:r>
      <w:r w:rsidR="00DB1C88" w:rsidRPr="007704FA">
        <w:t>regional natural resource management organisations</w:t>
      </w:r>
      <w:r w:rsidR="00736AC1">
        <w:t xml:space="preserve"> to </w:t>
      </w:r>
      <w:r>
        <w:t xml:space="preserve">better </w:t>
      </w:r>
      <w:r w:rsidR="00736AC1">
        <w:t>protect our</w:t>
      </w:r>
      <w:r w:rsidR="00736AC1" w:rsidRPr="00736AC1">
        <w:t xml:space="preserve"> land</w:t>
      </w:r>
      <w:r w:rsidR="00736AC1">
        <w:t xml:space="preserve"> and seascapes.</w:t>
      </w:r>
    </w:p>
    <w:p w14:paraId="4B7D9358" w14:textId="17A831BD" w:rsidR="00735DEC" w:rsidRDefault="007704FA" w:rsidP="00355289">
      <w:r>
        <w:t xml:space="preserve">Further examples </w:t>
      </w:r>
      <w:r w:rsidR="0094239A">
        <w:t xml:space="preserve">of our partnering approach </w:t>
      </w:r>
      <w:r w:rsidR="00E501C5">
        <w:t>are</w:t>
      </w:r>
      <w:r w:rsidR="0094239A">
        <w:t xml:space="preserve"> in </w:t>
      </w:r>
      <w:hyperlink w:anchor="_Enhancing_our_capabilities" w:history="1">
        <w:r w:rsidR="0094239A" w:rsidRPr="0094239A">
          <w:rPr>
            <w:rStyle w:val="Hyperlink"/>
          </w:rPr>
          <w:t>Enhancing our capabilities</w:t>
        </w:r>
      </w:hyperlink>
      <w:r w:rsidR="0094239A">
        <w:t>.</w:t>
      </w:r>
    </w:p>
    <w:p w14:paraId="2B8A706F" w14:textId="2A88D4F0" w:rsidR="009323AC" w:rsidRDefault="003857B7" w:rsidP="005C442A">
      <w:pPr>
        <w:pStyle w:val="Heading3"/>
      </w:pPr>
      <w:bookmarkStart w:id="40" w:name="_Toc76550795"/>
      <w:bookmarkStart w:id="41" w:name="_Toc76972884"/>
      <w:bookmarkStart w:id="42" w:name="_Toc79585787"/>
      <w:r>
        <w:t>Responding to COVID</w:t>
      </w:r>
      <w:r w:rsidR="00E501C5">
        <w:noBreakHyphen/>
      </w:r>
      <w:r>
        <w:t>19</w:t>
      </w:r>
      <w:bookmarkEnd w:id="40"/>
      <w:bookmarkEnd w:id="41"/>
      <w:bookmarkEnd w:id="42"/>
    </w:p>
    <w:p w14:paraId="1B657DE7" w14:textId="4BDA17BB" w:rsidR="00E36743" w:rsidRDefault="00E36743" w:rsidP="00E36743">
      <w:r>
        <w:t>We remain at the forefront of the ongoing response to COVID 19. We continue to provide border clearance processes and regulatory services to Australian exporting industries, at times in high-risk environments. Our biosecurity officers board all international flights to provide COVID</w:t>
      </w:r>
      <w:r w:rsidR="00E501C5">
        <w:noBreakHyphen/>
      </w:r>
      <w:r>
        <w:t xml:space="preserve">19 health </w:t>
      </w:r>
      <w:proofErr w:type="gramStart"/>
      <w:r>
        <w:t>measures, and</w:t>
      </w:r>
      <w:proofErr w:type="gramEnd"/>
      <w:r>
        <w:t xml:space="preserve"> administer human health functions when required.</w:t>
      </w:r>
    </w:p>
    <w:p w14:paraId="6B0B7CC8" w14:textId="1C85C997" w:rsidR="00E36743" w:rsidRDefault="00E36743" w:rsidP="00E36743">
      <w:r>
        <w:t>We are part of whole-of-government working groups for safe travel zones and arrangements for quarantine-free international arrivals. With the Department of Health, we ensure consignments of imported therapeutics, such as COVID</w:t>
      </w:r>
      <w:r w:rsidR="00E501C5">
        <w:noBreakHyphen/>
      </w:r>
      <w:r>
        <w:t>19 vaccines, meet biosecurity requirements.</w:t>
      </w:r>
    </w:p>
    <w:p w14:paraId="60286E53" w14:textId="78FA3851" w:rsidR="00445A65" w:rsidRDefault="00C04FDD" w:rsidP="00E36743">
      <w:r>
        <w:t xml:space="preserve">Agriculture is critical to Australia’s economic recovery. </w:t>
      </w:r>
      <w:r w:rsidR="00066793" w:rsidRPr="005E33E9">
        <w:t>In</w:t>
      </w:r>
      <w:r w:rsidR="00682192">
        <w:t> </w:t>
      </w:r>
      <w:r w:rsidR="00066793" w:rsidRPr="005E33E9">
        <w:t xml:space="preserve">2020–21 the gross value of </w:t>
      </w:r>
      <w:r w:rsidR="005E33E9">
        <w:t xml:space="preserve">the </w:t>
      </w:r>
      <w:r w:rsidR="00066793" w:rsidRPr="005E33E9">
        <w:t>agricultural</w:t>
      </w:r>
      <w:r w:rsidR="005E33E9">
        <w:t>,</w:t>
      </w:r>
      <w:r w:rsidR="00066793" w:rsidRPr="005E33E9">
        <w:t xml:space="preserve"> </w:t>
      </w:r>
      <w:r w:rsidR="005E33E9" w:rsidRPr="005E33E9">
        <w:t>fish</w:t>
      </w:r>
      <w:r w:rsidR="005E33E9">
        <w:t>eries</w:t>
      </w:r>
      <w:r w:rsidR="005E33E9" w:rsidRPr="005E33E9">
        <w:t xml:space="preserve"> and forestry </w:t>
      </w:r>
      <w:r w:rsidR="005E33E9">
        <w:t>sectors</w:t>
      </w:r>
      <w:r w:rsidR="00066793" w:rsidRPr="005E33E9">
        <w:t xml:space="preserve"> reached </w:t>
      </w:r>
      <w:r w:rsidR="005E33E9" w:rsidRPr="005E33E9">
        <w:t>$71.7</w:t>
      </w:r>
      <w:r w:rsidR="00682192">
        <w:t> </w:t>
      </w:r>
      <w:r w:rsidR="005E33E9" w:rsidRPr="005E33E9">
        <w:t>billion</w:t>
      </w:r>
      <w:r w:rsidR="00066793" w:rsidRPr="005E33E9">
        <w:t>.</w:t>
      </w:r>
      <w:r w:rsidR="00E36743">
        <w:t xml:space="preserve"> To help maintain this growth, w</w:t>
      </w:r>
      <w:r w:rsidR="007E7981">
        <w:t xml:space="preserve">e </w:t>
      </w:r>
      <w:r w:rsidR="00E36743">
        <w:t>are providing continued support for</w:t>
      </w:r>
      <w:r w:rsidR="007E7981">
        <w:t xml:space="preserve"> Australian agri-food exporters to expand and diversify their export markets.</w:t>
      </w:r>
    </w:p>
    <w:p w14:paraId="48E0E0F3" w14:textId="1D8E8479" w:rsidR="00CF709D" w:rsidRDefault="003857B7" w:rsidP="00FE0853">
      <w:r>
        <w:t xml:space="preserve">We </w:t>
      </w:r>
      <w:r w:rsidR="00BF2B85">
        <w:t xml:space="preserve">continue to </w:t>
      </w:r>
      <w:r w:rsidR="00D71A36">
        <w:t xml:space="preserve">work with other government departments on meeting </w:t>
      </w:r>
      <w:r>
        <w:t xml:space="preserve">agricultural workforce </w:t>
      </w:r>
      <w:r w:rsidR="00D71A36">
        <w:t xml:space="preserve">needs through the </w:t>
      </w:r>
      <w:r>
        <w:t>Pacific Labour Scheme and Seasonal Worker Programme.</w:t>
      </w:r>
    </w:p>
    <w:p w14:paraId="762296A0" w14:textId="77777777" w:rsidR="00FE0853" w:rsidRDefault="003857B7" w:rsidP="00842063">
      <w:pPr>
        <w:pStyle w:val="Heading3"/>
      </w:pPr>
      <w:bookmarkStart w:id="43" w:name="_Toc76550796"/>
      <w:bookmarkStart w:id="44" w:name="_Toc76972885"/>
      <w:bookmarkStart w:id="45" w:name="_Toc79585788"/>
      <w:r>
        <w:t>Changing global markets</w:t>
      </w:r>
      <w:bookmarkEnd w:id="43"/>
      <w:bookmarkEnd w:id="44"/>
      <w:bookmarkEnd w:id="45"/>
    </w:p>
    <w:p w14:paraId="3195E79C" w14:textId="43EFF421" w:rsidR="006B2EA2" w:rsidRDefault="006B2EA2" w:rsidP="006B2EA2">
      <w:r>
        <w:t>China remains our biggest agricultural trading partner, despite geopolitical shifts and trade tensions.</w:t>
      </w:r>
    </w:p>
    <w:p w14:paraId="5EE31F71" w14:textId="324F83A6" w:rsidR="006B2EA2" w:rsidRDefault="006B2EA2" w:rsidP="006B2EA2">
      <w:r>
        <w:t xml:space="preserve">We continue to build and deepen export market opportunities for Australian primary producers. We have met our counterparts in </w:t>
      </w:r>
      <w:r w:rsidR="00B26547">
        <w:t xml:space="preserve">the European Union, India, Indonesia, Japan, Malaysia, New Zealand, South Korea and </w:t>
      </w:r>
      <w:r>
        <w:t xml:space="preserve">the </w:t>
      </w:r>
      <w:r w:rsidR="00E501C5">
        <w:t>United </w:t>
      </w:r>
      <w:r>
        <w:t>Kingdom to improve market access for our producers and ease regulatory burdens.</w:t>
      </w:r>
    </w:p>
    <w:p w14:paraId="4A3A0EBD" w14:textId="1F2EA2B8" w:rsidR="006B2EA2" w:rsidRDefault="006B2EA2" w:rsidP="006B2EA2">
      <w:r>
        <w:t xml:space="preserve">At the </w:t>
      </w:r>
      <w:r w:rsidR="00E501C5">
        <w:t>7</w:t>
      </w:r>
      <w:r w:rsidR="00E501C5" w:rsidRPr="004D27F0">
        <w:t>th</w:t>
      </w:r>
      <w:r w:rsidR="00E501C5">
        <w:t> </w:t>
      </w:r>
      <w:r>
        <w:t>Australia–Japan High Level Dialogue of February 2021 we reached agreement to progress a Statement of Intent on Agri-Food Value Chains</w:t>
      </w:r>
      <w:r w:rsidRPr="00874892">
        <w:t xml:space="preserve"> </w:t>
      </w:r>
      <w:r>
        <w:t xml:space="preserve">with our second biggest agricultural </w:t>
      </w:r>
      <w:r>
        <w:lastRenderedPageBreak/>
        <w:t>trading partner. When finalised this will solidify the commitment of both countries to work together on supply chain resilience, export modernisation and future food systems.</w:t>
      </w:r>
    </w:p>
    <w:p w14:paraId="30543696" w14:textId="6D0B6CA3" w:rsidR="006B2EA2" w:rsidRDefault="00D006EB" w:rsidP="006B2EA2">
      <w:r w:rsidRPr="007E7981">
        <w:t>The Australian</w:t>
      </w:r>
      <w:r>
        <w:t> </w:t>
      </w:r>
      <w:r w:rsidRPr="007E7981">
        <w:t xml:space="preserve">Government has </w:t>
      </w:r>
      <w:r>
        <w:t>achieved</w:t>
      </w:r>
      <w:r w:rsidRPr="007E7981">
        <w:t xml:space="preserve"> in</w:t>
      </w:r>
      <w:r>
        <w:t> </w:t>
      </w:r>
      <w:r w:rsidRPr="007E7981">
        <w:t xml:space="preserve">principle agreement </w:t>
      </w:r>
      <w:r>
        <w:t>f</w:t>
      </w:r>
      <w:r w:rsidRPr="007E7981">
        <w:t>o</w:t>
      </w:r>
      <w:r>
        <w:t>r</w:t>
      </w:r>
      <w:r w:rsidRPr="007E7981">
        <w:t xml:space="preserve"> </w:t>
      </w:r>
      <w:r>
        <w:t xml:space="preserve">a free trade agreement between </w:t>
      </w:r>
      <w:r w:rsidRPr="007E7981">
        <w:t>Australia</w:t>
      </w:r>
      <w:r>
        <w:t xml:space="preserve"> and the </w:t>
      </w:r>
      <w:r w:rsidRPr="005060E8">
        <w:t>United</w:t>
      </w:r>
      <w:r>
        <w:t xml:space="preserve"> </w:t>
      </w:r>
      <w:r w:rsidRPr="005060E8">
        <w:t>Kingdom</w:t>
      </w:r>
      <w:r>
        <w:t>.</w:t>
      </w:r>
      <w:r w:rsidRPr="007E7981">
        <w:t xml:space="preserve"> </w:t>
      </w:r>
      <w:r w:rsidR="006B2EA2">
        <w:t xml:space="preserve">When finalised this </w:t>
      </w:r>
      <w:r w:rsidR="00375D1C">
        <w:t xml:space="preserve">agreement </w:t>
      </w:r>
      <w:r w:rsidR="006B2EA2">
        <w:t>will</w:t>
      </w:r>
      <w:r w:rsidR="006B2EA2" w:rsidRPr="007E7981">
        <w:t xml:space="preserve"> further expand agricultural trade opportunities for Australian industries.</w:t>
      </w:r>
    </w:p>
    <w:p w14:paraId="327BFE2D" w14:textId="487A641B" w:rsidR="009639B0" w:rsidRDefault="00AB249A" w:rsidP="00FE0853">
      <w:r>
        <w:t>C</w:t>
      </w:r>
      <w:r w:rsidR="009639B0" w:rsidRPr="009639B0">
        <w:t>hanges in global trade are increasing pressure on Australia’s biosecurity system. Global trade routes are shifting</w:t>
      </w:r>
      <w:r w:rsidR="002820AE">
        <w:t>. This creat</w:t>
      </w:r>
      <w:r w:rsidR="00D95DEF">
        <w:t>es</w:t>
      </w:r>
      <w:r w:rsidR="009639B0" w:rsidRPr="009639B0">
        <w:t xml:space="preserve"> new and complex biosecurity risk pathways</w:t>
      </w:r>
      <w:r w:rsidR="002820AE">
        <w:t xml:space="preserve">. Higher </w:t>
      </w:r>
      <w:r w:rsidR="009639B0" w:rsidRPr="009639B0">
        <w:t>volume</w:t>
      </w:r>
      <w:r w:rsidR="002820AE">
        <w:t>s</w:t>
      </w:r>
      <w:r w:rsidR="009639B0" w:rsidRPr="009639B0">
        <w:t xml:space="preserve"> and complexity of trade lead to more detections at the border</w:t>
      </w:r>
      <w:r w:rsidR="002820AE">
        <w:t xml:space="preserve">. </w:t>
      </w:r>
      <w:r w:rsidR="009639B0" w:rsidRPr="009639B0">
        <w:t xml:space="preserve">We </w:t>
      </w:r>
      <w:r w:rsidR="002820AE">
        <w:t xml:space="preserve">continue to </w:t>
      </w:r>
      <w:r w:rsidR="009639B0" w:rsidRPr="009639B0">
        <w:t xml:space="preserve">invest in screening and detection technologies, intelligence and information, and risk management systems to protect Australia from </w:t>
      </w:r>
      <w:r>
        <w:t>biosecurity</w:t>
      </w:r>
      <w:r w:rsidR="009639B0" w:rsidRPr="009639B0">
        <w:t xml:space="preserve"> threats.</w:t>
      </w:r>
    </w:p>
    <w:p w14:paraId="29111A43" w14:textId="351577F7" w:rsidR="00305837" w:rsidRPr="00390787" w:rsidRDefault="007A0D7A" w:rsidP="00305837">
      <w:r>
        <w:t>There is a significant shift in g</w:t>
      </w:r>
      <w:r w:rsidR="00AB249A">
        <w:t>lobal e</w:t>
      </w:r>
      <w:r w:rsidR="003857B7">
        <w:t xml:space="preserve">xpectations </w:t>
      </w:r>
      <w:r>
        <w:t xml:space="preserve">for </w:t>
      </w:r>
      <w:r w:rsidR="003857B7">
        <w:t>the transport, processing and re-use of waste materials</w:t>
      </w:r>
      <w:r>
        <w:t>. This</w:t>
      </w:r>
      <w:r w:rsidR="003857B7">
        <w:t xml:space="preserve"> illustrat</w:t>
      </w:r>
      <w:r>
        <w:t>es</w:t>
      </w:r>
      <w:r w:rsidR="003857B7">
        <w:t xml:space="preserve"> the importance of Australia’s world</w:t>
      </w:r>
      <w:r>
        <w:t>-</w:t>
      </w:r>
      <w:r w:rsidR="003857B7">
        <w:t xml:space="preserve">first waste export ban. We are working </w:t>
      </w:r>
      <w:r>
        <w:t xml:space="preserve">across government </w:t>
      </w:r>
      <w:r w:rsidR="003857B7">
        <w:t>and industry to support transformation of the waste and recycling sectors</w:t>
      </w:r>
      <w:r>
        <w:t xml:space="preserve">. This will help Australia </w:t>
      </w:r>
      <w:r w:rsidR="003857B7">
        <w:t xml:space="preserve">take responsibility for </w:t>
      </w:r>
      <w:r>
        <w:t xml:space="preserve">its </w:t>
      </w:r>
      <w:r w:rsidR="003857B7">
        <w:t>own waste.</w:t>
      </w:r>
    </w:p>
    <w:p w14:paraId="10293B6F" w14:textId="77777777" w:rsidR="00FE0853" w:rsidRDefault="003857B7" w:rsidP="00842063">
      <w:pPr>
        <w:pStyle w:val="Heading3"/>
      </w:pPr>
      <w:bookmarkStart w:id="46" w:name="_Toc76550797"/>
      <w:bookmarkStart w:id="47" w:name="_Toc76972886"/>
      <w:bookmarkStart w:id="48" w:name="_Toc79585789"/>
      <w:r>
        <w:t>Technology and innovation</w:t>
      </w:r>
      <w:bookmarkEnd w:id="46"/>
      <w:bookmarkEnd w:id="47"/>
      <w:bookmarkEnd w:id="48"/>
    </w:p>
    <w:p w14:paraId="18D9C28E" w14:textId="20CDC0ED" w:rsidR="00FE0853" w:rsidRDefault="003857B7" w:rsidP="00FE0853">
      <w:r>
        <w:t xml:space="preserve">We </w:t>
      </w:r>
      <w:r w:rsidR="00C223FD">
        <w:t xml:space="preserve">are strongly committed to using </w:t>
      </w:r>
      <w:r>
        <w:t>digital service</w:t>
      </w:r>
      <w:r w:rsidR="00C223FD">
        <w:t xml:space="preserve">s and providing </w:t>
      </w:r>
      <w:r>
        <w:t xml:space="preserve">user-centred </w:t>
      </w:r>
      <w:r w:rsidR="00C223FD">
        <w:t>service delivery in line with industry and community expectations.</w:t>
      </w:r>
    </w:p>
    <w:p w14:paraId="75098205" w14:textId="739C4C4D" w:rsidR="00FE0853" w:rsidRDefault="00C223FD" w:rsidP="00FE0853">
      <w:r>
        <w:t xml:space="preserve">As noted in </w:t>
      </w:r>
      <w:hyperlink r:id="rId27" w:history="1">
        <w:r w:rsidR="003857B7" w:rsidRPr="00022630">
          <w:rPr>
            <w:rStyle w:val="Hyperlink"/>
          </w:rPr>
          <w:t>The future of agricultural technologies report</w:t>
        </w:r>
      </w:hyperlink>
      <w:r w:rsidR="003857B7">
        <w:t>, emerging technology presents opportunities</w:t>
      </w:r>
      <w:r>
        <w:t xml:space="preserve">. It can </w:t>
      </w:r>
      <w:r w:rsidR="003857B7">
        <w:t xml:space="preserve">improve efficiency and profitability of production, develop novel industries and markets, and contribute to social and environmental values. The report examined the future impact of </w:t>
      </w:r>
      <w:r w:rsidR="008C735B">
        <w:t xml:space="preserve">9 </w:t>
      </w:r>
      <w:r w:rsidR="003857B7">
        <w:t>technologies on the agriculture sector, including the internet of things, robotics, machine learning, biotechnology, and distributed ledger technology.</w:t>
      </w:r>
    </w:p>
    <w:p w14:paraId="08CE021D" w14:textId="38788F1C" w:rsidR="00EF7893" w:rsidRDefault="003857B7" w:rsidP="00FE0853">
      <w:r>
        <w:t xml:space="preserve">We are investing in </w:t>
      </w:r>
      <w:r w:rsidR="00AF245A">
        <w:t>many of these technologies</w:t>
      </w:r>
      <w:r w:rsidR="00441852">
        <w:t>. A</w:t>
      </w:r>
      <w:r>
        <w:t xml:space="preserve">n advanced blockchain traceability system </w:t>
      </w:r>
      <w:r w:rsidR="00441852">
        <w:t xml:space="preserve">will </w:t>
      </w:r>
      <w:r>
        <w:t>digitise end-to-end traceability in horticulture</w:t>
      </w:r>
      <w:r w:rsidR="00441852">
        <w:t xml:space="preserve">. </w:t>
      </w:r>
      <w:r w:rsidR="00375D1C">
        <w:t xml:space="preserve">We are using </w:t>
      </w:r>
      <w:r>
        <w:t>3D</w:t>
      </w:r>
      <w:r w:rsidR="003E49F5">
        <w:t> </w:t>
      </w:r>
      <w:r w:rsidR="00441852">
        <w:t>X</w:t>
      </w:r>
      <w:r>
        <w:t>-ray</w:t>
      </w:r>
      <w:r w:rsidR="00B26547">
        <w:t>s</w:t>
      </w:r>
      <w:r>
        <w:t xml:space="preserve"> </w:t>
      </w:r>
      <w:r w:rsidR="00022630">
        <w:t>to</w:t>
      </w:r>
      <w:r w:rsidR="00441852">
        <w:t xml:space="preserve"> </w:t>
      </w:r>
      <w:r>
        <w:t>detect biosecurity risk material and smuggled wildlife at airports and mail centres.</w:t>
      </w:r>
      <w:r w:rsidR="005835D2">
        <w:t xml:space="preserve"> </w:t>
      </w:r>
      <w:r w:rsidR="00AF245A">
        <w:t xml:space="preserve">We use drones for myriad </w:t>
      </w:r>
      <w:proofErr w:type="gramStart"/>
      <w:r w:rsidR="00AF245A">
        <w:t>purposes</w:t>
      </w:r>
      <w:proofErr w:type="gramEnd"/>
      <w:r w:rsidR="00AF245A">
        <w:t xml:space="preserve"> and they</w:t>
      </w:r>
      <w:r w:rsidR="00441852">
        <w:t xml:space="preserve"> are likely to </w:t>
      </w:r>
      <w:r w:rsidR="00441852" w:rsidRPr="00EF7893">
        <w:t>become a foundational scientific capability</w:t>
      </w:r>
      <w:r w:rsidR="00441852">
        <w:t xml:space="preserve">. They help us </w:t>
      </w:r>
      <w:r w:rsidRPr="00EF7893">
        <w:t>monitor wildlife and vegetation conditions</w:t>
      </w:r>
      <w:r w:rsidR="00441852">
        <w:t xml:space="preserve">, and monitor </w:t>
      </w:r>
      <w:r w:rsidRPr="00EF7893">
        <w:t>compliance activities such as land clearing</w:t>
      </w:r>
      <w:r>
        <w:t xml:space="preserve">. </w:t>
      </w:r>
      <w:r w:rsidR="00441852">
        <w:t xml:space="preserve">We have appointed a Chief Remote Pilot and a </w:t>
      </w:r>
      <w:r w:rsidR="00441852" w:rsidRPr="00C67B4F">
        <w:t>Drone Compliance and Policy Officer</w:t>
      </w:r>
      <w:r w:rsidR="00441852">
        <w:t xml:space="preserve">, and we </w:t>
      </w:r>
      <w:r>
        <w:t>are creating a drone management framework</w:t>
      </w:r>
      <w:r w:rsidR="00C67B4F" w:rsidRPr="00C67B4F">
        <w:t>.</w:t>
      </w:r>
    </w:p>
    <w:p w14:paraId="6233D598" w14:textId="6A346473" w:rsidR="00FE0853" w:rsidRDefault="003857B7" w:rsidP="00FE0853">
      <w:r>
        <w:t xml:space="preserve">The </w:t>
      </w:r>
      <w:r w:rsidR="00441852">
        <w:t xml:space="preserve">Australian Government </w:t>
      </w:r>
      <w:r>
        <w:t>is investing $</w:t>
      </w:r>
      <w:r w:rsidR="00CF709D">
        <w:t>86 </w:t>
      </w:r>
      <w:r>
        <w:t>million</w:t>
      </w:r>
      <w:r w:rsidR="00022630">
        <w:t xml:space="preserve"> through the Future Drought Fund</w:t>
      </w:r>
      <w:r>
        <w:t xml:space="preserve"> to establish </w:t>
      </w:r>
      <w:hyperlink r:id="rId28" w:history="1">
        <w:r w:rsidR="00D06094">
          <w:rPr>
            <w:rStyle w:val="Hyperlink"/>
          </w:rPr>
          <w:t>8</w:t>
        </w:r>
        <w:r w:rsidR="003E49F5">
          <w:rPr>
            <w:rStyle w:val="Hyperlink"/>
          </w:rPr>
          <w:t> </w:t>
        </w:r>
        <w:r w:rsidR="00D06094">
          <w:rPr>
            <w:rStyle w:val="Hyperlink"/>
          </w:rPr>
          <w:t>d</w:t>
        </w:r>
        <w:r w:rsidR="00CF709D" w:rsidRPr="00D06094">
          <w:rPr>
            <w:rStyle w:val="Hyperlink"/>
          </w:rPr>
          <w:t xml:space="preserve">rought resilience adoption </w:t>
        </w:r>
        <w:r w:rsidRPr="00D06094">
          <w:rPr>
            <w:rStyle w:val="Hyperlink"/>
          </w:rPr>
          <w:t xml:space="preserve">and </w:t>
        </w:r>
        <w:r w:rsidR="00CF709D" w:rsidRPr="00D06094">
          <w:rPr>
            <w:rStyle w:val="Hyperlink"/>
          </w:rPr>
          <w:t>innovation hubs</w:t>
        </w:r>
      </w:hyperlink>
      <w:r w:rsidR="00441852">
        <w:t xml:space="preserve">. These will </w:t>
      </w:r>
      <w:r w:rsidR="00D06094">
        <w:t xml:space="preserve">create a regional focus for research and </w:t>
      </w:r>
      <w:r>
        <w:t>accelerate the uptake of new technologies by farmers.</w:t>
      </w:r>
    </w:p>
    <w:p w14:paraId="799617DC" w14:textId="77777777" w:rsidR="00FE0853" w:rsidRDefault="003857B7" w:rsidP="004D27F0">
      <w:pPr>
        <w:pStyle w:val="Heading3"/>
      </w:pPr>
      <w:bookmarkStart w:id="49" w:name="_Toc76550798"/>
      <w:bookmarkStart w:id="50" w:name="_Toc76972887"/>
      <w:bookmarkStart w:id="51" w:name="_Toc79585790"/>
      <w:r>
        <w:t>Climate resilience</w:t>
      </w:r>
      <w:bookmarkEnd w:id="49"/>
      <w:bookmarkEnd w:id="50"/>
      <w:bookmarkEnd w:id="51"/>
    </w:p>
    <w:p w14:paraId="0E1E457E" w14:textId="01635781" w:rsidR="00FE0853" w:rsidRDefault="00D06094" w:rsidP="00FE0853">
      <w:r>
        <w:t>E</w:t>
      </w:r>
      <w:r w:rsidR="003857B7">
        <w:t xml:space="preserve">xtreme weather </w:t>
      </w:r>
      <w:r>
        <w:t xml:space="preserve">is </w:t>
      </w:r>
      <w:r w:rsidR="003857B7">
        <w:t>increas</w:t>
      </w:r>
      <w:r>
        <w:t>ing</w:t>
      </w:r>
      <w:r w:rsidR="003857B7">
        <w:t xml:space="preserve"> in intensity and frequency</w:t>
      </w:r>
      <w:r>
        <w:t xml:space="preserve">. Climate forecasting and disaster preparedness are integral to </w:t>
      </w:r>
      <w:r w:rsidR="00C93AD3">
        <w:t xml:space="preserve">our </w:t>
      </w:r>
      <w:proofErr w:type="spellStart"/>
      <w:r w:rsidR="00C93AD3">
        <w:t>responsiblities</w:t>
      </w:r>
      <w:proofErr w:type="spellEnd"/>
      <w:r w:rsidR="00C519C2">
        <w:t xml:space="preserve">. We </w:t>
      </w:r>
      <w:r w:rsidR="003857B7">
        <w:t xml:space="preserve">help </w:t>
      </w:r>
      <w:r w:rsidR="00C519C2">
        <w:t xml:space="preserve">governments, industry, </w:t>
      </w:r>
      <w:r w:rsidR="003857B7">
        <w:t>businesses</w:t>
      </w:r>
      <w:r w:rsidR="00C519C2">
        <w:t xml:space="preserve"> and</w:t>
      </w:r>
      <w:r w:rsidR="003857B7">
        <w:t xml:space="preserve"> communities </w:t>
      </w:r>
      <w:r w:rsidR="00C519C2">
        <w:t xml:space="preserve">to </w:t>
      </w:r>
      <w:r w:rsidR="003857B7">
        <w:t>anticipate and manage the risks associated with climate change</w:t>
      </w:r>
      <w:r w:rsidR="00C93AD3">
        <w:t>.</w:t>
      </w:r>
    </w:p>
    <w:p w14:paraId="3A5C9BE9" w14:textId="0F53DD47" w:rsidR="00FE0853" w:rsidRDefault="009E3E80" w:rsidP="00FE0853">
      <w:r>
        <w:t>As a single trusted source for climate and disaster risk advice, t</w:t>
      </w:r>
      <w:r w:rsidR="003857B7">
        <w:t xml:space="preserve">he new </w:t>
      </w:r>
      <w:hyperlink r:id="rId29" w:history="1">
        <w:r w:rsidR="003857B7" w:rsidRPr="00D06094">
          <w:rPr>
            <w:rStyle w:val="Hyperlink"/>
          </w:rPr>
          <w:t>Australian Climate Service</w:t>
        </w:r>
      </w:hyperlink>
      <w:r w:rsidR="003857B7">
        <w:t xml:space="preserve"> will</w:t>
      </w:r>
      <w:r>
        <w:t xml:space="preserve"> provide a strong foundation for us to support future climate resilience action.</w:t>
      </w:r>
      <w:r w:rsidR="003857B7">
        <w:t xml:space="preserve"> </w:t>
      </w:r>
      <w:r>
        <w:t xml:space="preserve">This new service will consolidate data from scientists and climate research institutions. </w:t>
      </w:r>
      <w:r w:rsidR="00D06094">
        <w:t>It will</w:t>
      </w:r>
      <w:r>
        <w:t xml:space="preserve"> </w:t>
      </w:r>
      <w:r w:rsidR="00C519C2">
        <w:t>contribute to</w:t>
      </w:r>
      <w:r w:rsidR="00D06094">
        <w:t xml:space="preserve"> an environmental road map that supports planning for infrastructure, housing</w:t>
      </w:r>
      <w:r w:rsidR="00C519C2">
        <w:t>,</w:t>
      </w:r>
      <w:r w:rsidR="00D06094">
        <w:t xml:space="preserve"> </w:t>
      </w:r>
      <w:r w:rsidR="00D06094">
        <w:lastRenderedPageBreak/>
        <w:t xml:space="preserve">power, telecommunications, and water. </w:t>
      </w:r>
      <w:r w:rsidR="00C519C2">
        <w:t xml:space="preserve">The service </w:t>
      </w:r>
      <w:r w:rsidR="003857B7">
        <w:t>complement</w:t>
      </w:r>
      <w:r w:rsidR="00C519C2">
        <w:t>s</w:t>
      </w:r>
      <w:r w:rsidR="003857B7">
        <w:t xml:space="preserve"> </w:t>
      </w:r>
      <w:r w:rsidR="00D06094">
        <w:t>our</w:t>
      </w:r>
      <w:r w:rsidR="003857B7">
        <w:t xml:space="preserve"> </w:t>
      </w:r>
      <w:hyperlink r:id="rId30" w:history="1">
        <w:r w:rsidR="003857B7" w:rsidRPr="00D06094">
          <w:rPr>
            <w:rStyle w:val="Hyperlink"/>
          </w:rPr>
          <w:t>National Environmental Science Program</w:t>
        </w:r>
      </w:hyperlink>
      <w:r w:rsidR="003857B7">
        <w:t xml:space="preserve">, </w:t>
      </w:r>
      <w:r w:rsidR="00C519C2">
        <w:t xml:space="preserve">our </w:t>
      </w:r>
      <w:hyperlink r:id="rId31" w:history="1">
        <w:r w:rsidR="003857B7" w:rsidRPr="00D06094">
          <w:rPr>
            <w:rStyle w:val="Hyperlink"/>
          </w:rPr>
          <w:t xml:space="preserve">Reef </w:t>
        </w:r>
        <w:r w:rsidR="00D06094" w:rsidRPr="00D06094">
          <w:rPr>
            <w:rStyle w:val="Hyperlink"/>
          </w:rPr>
          <w:t>R</w:t>
        </w:r>
        <w:r w:rsidR="003857B7" w:rsidRPr="00D06094">
          <w:rPr>
            <w:rStyle w:val="Hyperlink"/>
          </w:rPr>
          <w:t xml:space="preserve">estoration and </w:t>
        </w:r>
        <w:r w:rsidR="00D06094" w:rsidRPr="00D06094">
          <w:rPr>
            <w:rStyle w:val="Hyperlink"/>
          </w:rPr>
          <w:t>A</w:t>
        </w:r>
        <w:r w:rsidR="003857B7" w:rsidRPr="00D06094">
          <w:rPr>
            <w:rStyle w:val="Hyperlink"/>
          </w:rPr>
          <w:t xml:space="preserve">daptation </w:t>
        </w:r>
        <w:r w:rsidR="00D06094" w:rsidRPr="00D06094">
          <w:rPr>
            <w:rStyle w:val="Hyperlink"/>
          </w:rPr>
          <w:t>Program</w:t>
        </w:r>
      </w:hyperlink>
      <w:r w:rsidR="003857B7">
        <w:t xml:space="preserve">, and </w:t>
      </w:r>
      <w:r w:rsidR="00D06094">
        <w:t xml:space="preserve">our </w:t>
      </w:r>
      <w:r w:rsidR="003857B7">
        <w:t xml:space="preserve">refreshed </w:t>
      </w:r>
      <w:hyperlink r:id="rId32" w:history="1">
        <w:r w:rsidR="003857B7" w:rsidRPr="00D06094">
          <w:rPr>
            <w:rStyle w:val="Hyperlink"/>
          </w:rPr>
          <w:t>National Climate Resilience and Adaptation Strategy</w:t>
        </w:r>
      </w:hyperlink>
      <w:r w:rsidR="003857B7">
        <w:t>.</w:t>
      </w:r>
    </w:p>
    <w:p w14:paraId="0DD608C6" w14:textId="5826C304" w:rsidR="00FE0853" w:rsidRDefault="00D06094" w:rsidP="00FE0853">
      <w:r>
        <w:t xml:space="preserve">Our </w:t>
      </w:r>
      <w:r w:rsidR="003857B7">
        <w:t>country</w:t>
      </w:r>
      <w:r>
        <w:t xml:space="preserve"> </w:t>
      </w:r>
      <w:r w:rsidR="00D95DEF">
        <w:t>needs to</w:t>
      </w:r>
      <w:r w:rsidR="003857B7">
        <w:t xml:space="preserve"> ensur</w:t>
      </w:r>
      <w:r w:rsidR="00D95DEF">
        <w:t>e</w:t>
      </w:r>
      <w:r w:rsidR="003857B7">
        <w:t xml:space="preserve"> sustainable water supply in the face of increased climate variability and rising demand for water. Water is critical to </w:t>
      </w:r>
      <w:r w:rsidR="00C519C2">
        <w:t xml:space="preserve">the </w:t>
      </w:r>
      <w:r w:rsidR="003857B7">
        <w:t xml:space="preserve">environment, </w:t>
      </w:r>
      <w:r w:rsidR="00B26547">
        <w:t xml:space="preserve">to </w:t>
      </w:r>
      <w:r w:rsidR="003857B7">
        <w:t xml:space="preserve">the wellbeing of communities and </w:t>
      </w:r>
      <w:r w:rsidR="00C519C2">
        <w:t>to</w:t>
      </w:r>
      <w:r w:rsidR="003857B7">
        <w:t xml:space="preserve"> agriculture, which accounts for 59</w:t>
      </w:r>
      <w:r w:rsidR="00CF709D">
        <w:t>% </w:t>
      </w:r>
      <w:r w:rsidR="003857B7">
        <w:t>of water extractions.</w:t>
      </w:r>
    </w:p>
    <w:p w14:paraId="671B4036" w14:textId="7297B76D" w:rsidR="00FE0853" w:rsidRDefault="003857B7" w:rsidP="00FE0853">
      <w:r>
        <w:t>We support the sustainable management and productive use of Australia’s water resources</w:t>
      </w:r>
      <w:r w:rsidR="00C519C2">
        <w:t xml:space="preserve">. We </w:t>
      </w:r>
      <w:r w:rsidR="001F690A">
        <w:t>continue to</w:t>
      </w:r>
      <w:r w:rsidR="00C519C2">
        <w:t xml:space="preserve"> work</w:t>
      </w:r>
      <w:r w:rsidR="001F690A">
        <w:t xml:space="preserve"> on </w:t>
      </w:r>
      <w:r>
        <w:t>improv</w:t>
      </w:r>
      <w:r w:rsidR="001F690A">
        <w:t>ing</w:t>
      </w:r>
      <w:r>
        <w:t xml:space="preserve"> the health of rivers and freshwater systems. We provide national leadership </w:t>
      </w:r>
      <w:r w:rsidR="001F690A">
        <w:t xml:space="preserve">for implementing the Murray–Darling Basin Plan. We are </w:t>
      </w:r>
      <w:r w:rsidR="003C25E5">
        <w:t>part of the</w:t>
      </w:r>
      <w:r w:rsidR="001F690A">
        <w:t xml:space="preserve"> </w:t>
      </w:r>
      <w:r>
        <w:t xml:space="preserve">collaborative national </w:t>
      </w:r>
      <w:r w:rsidR="003C25E5">
        <w:t xml:space="preserve">efforts </w:t>
      </w:r>
      <w:r>
        <w:t>to upgrad</w:t>
      </w:r>
      <w:r w:rsidR="003C25E5">
        <w:t>e</w:t>
      </w:r>
      <w:r>
        <w:t xml:space="preserve"> water modelling capability and </w:t>
      </w:r>
      <w:r w:rsidR="003C25E5">
        <w:t xml:space="preserve">develop </w:t>
      </w:r>
      <w:r>
        <w:t>phased reform of water markets in the Basin.</w:t>
      </w:r>
    </w:p>
    <w:p w14:paraId="1B7B3EDF" w14:textId="77777777" w:rsidR="00FE0853" w:rsidRDefault="003857B7" w:rsidP="00842063">
      <w:pPr>
        <w:pStyle w:val="Heading2"/>
      </w:pPr>
      <w:bookmarkStart w:id="52" w:name="_Our_strategic_priorities"/>
      <w:bookmarkStart w:id="53" w:name="_Ref76651247"/>
      <w:bookmarkStart w:id="54" w:name="_Toc79585739"/>
      <w:bookmarkStart w:id="55" w:name="_Toc79585791"/>
      <w:bookmarkEnd w:id="52"/>
      <w:r>
        <w:lastRenderedPageBreak/>
        <w:t>Our strategic priorities</w:t>
      </w:r>
      <w:bookmarkEnd w:id="53"/>
      <w:bookmarkEnd w:id="54"/>
      <w:bookmarkEnd w:id="55"/>
    </w:p>
    <w:p w14:paraId="6227B006" w14:textId="16111588" w:rsidR="00FE0853" w:rsidRDefault="003857B7" w:rsidP="00FE0853">
      <w:r>
        <w:t xml:space="preserve">Our strategic priorities are the key activities we will deliver across the next </w:t>
      </w:r>
      <w:r w:rsidR="00CF709D">
        <w:t>4 </w:t>
      </w:r>
      <w:r>
        <w:t>years (</w:t>
      </w:r>
      <w:r w:rsidR="001F07E6">
        <w:t>Figure</w:t>
      </w:r>
      <w:r w:rsidR="00447F51">
        <w:t> </w:t>
      </w:r>
      <w:r w:rsidR="001F07E6">
        <w:rPr>
          <w:noProof/>
        </w:rPr>
        <w:t>6</w:t>
      </w:r>
      <w:r>
        <w:t xml:space="preserve">). </w:t>
      </w:r>
      <w:r w:rsidR="00A56384">
        <w:t>D</w:t>
      </w:r>
      <w:r>
        <w:t xml:space="preserve">elivery </w:t>
      </w:r>
      <w:r w:rsidR="00A56384">
        <w:t xml:space="preserve">of </w:t>
      </w:r>
      <w:r>
        <w:t>these priorities will contribute to achieving our purpose and objectives.</w:t>
      </w:r>
    </w:p>
    <w:p w14:paraId="2798CD2B" w14:textId="1EF3D6D2" w:rsidR="00FE0853" w:rsidRDefault="003857B7" w:rsidP="00FE0853">
      <w:r>
        <w:t xml:space="preserve">In setting </w:t>
      </w:r>
      <w:r w:rsidR="00FF309B">
        <w:t xml:space="preserve">our </w:t>
      </w:r>
      <w:r>
        <w:t xml:space="preserve">priorities, we reflected on issues that affect our </w:t>
      </w:r>
      <w:r w:rsidR="009E5B66">
        <w:t xml:space="preserve">industries, </w:t>
      </w:r>
      <w:r w:rsidR="00A56384">
        <w:t xml:space="preserve">communities and </w:t>
      </w:r>
      <w:r>
        <w:t>stakeholders</w:t>
      </w:r>
      <w:r w:rsidR="00A56384">
        <w:t xml:space="preserve">. We considered </w:t>
      </w:r>
      <w:r w:rsidR="00FF309B">
        <w:t xml:space="preserve">the </w:t>
      </w:r>
      <w:r w:rsidR="00A56384">
        <w:t>Australian G</w:t>
      </w:r>
      <w:r>
        <w:t>overnment</w:t>
      </w:r>
      <w:r w:rsidR="00FF309B">
        <w:t>'s</w:t>
      </w:r>
      <w:r w:rsidR="00FF309B" w:rsidRPr="00FF309B">
        <w:t xml:space="preserve"> </w:t>
      </w:r>
      <w:r w:rsidR="00FF309B">
        <w:t>agenda</w:t>
      </w:r>
      <w:r>
        <w:t xml:space="preserve">. </w:t>
      </w:r>
      <w:r w:rsidR="00B66DD5">
        <w:t xml:space="preserve">To achieve our </w:t>
      </w:r>
      <w:proofErr w:type="spellStart"/>
      <w:r w:rsidR="00B66DD5">
        <w:t>priorites</w:t>
      </w:r>
      <w:proofErr w:type="spellEnd"/>
      <w:r w:rsidR="00B66DD5">
        <w:t>, w</w:t>
      </w:r>
      <w:r>
        <w:t>e acknowledge the</w:t>
      </w:r>
      <w:r w:rsidR="00A56384">
        <w:t xml:space="preserve"> ongoing</w:t>
      </w:r>
      <w:r>
        <w:t xml:space="preserve"> importance of </w:t>
      </w:r>
      <w:r w:rsidR="00A56384">
        <w:t xml:space="preserve">stakeholder </w:t>
      </w:r>
      <w:r>
        <w:t>engagement, worki</w:t>
      </w:r>
      <w:r w:rsidR="00A56384">
        <w:t xml:space="preserve">ng </w:t>
      </w:r>
      <w:r>
        <w:t>with our partners, scan</w:t>
      </w:r>
      <w:r w:rsidR="00A56384">
        <w:t>ning</w:t>
      </w:r>
      <w:r>
        <w:t xml:space="preserve"> our operating context, and agil</w:t>
      </w:r>
      <w:r w:rsidR="00A56384">
        <w:t>ity</w:t>
      </w:r>
      <w:r>
        <w:t xml:space="preserve"> in responding to emerging priorities.</w:t>
      </w:r>
    </w:p>
    <w:p w14:paraId="2C03AF2F" w14:textId="7CA1F36A" w:rsidR="00FE0853" w:rsidRDefault="00447F51" w:rsidP="00842063">
      <w:pPr>
        <w:pStyle w:val="Caption"/>
      </w:pPr>
      <w:bookmarkStart w:id="56" w:name="_Ref75853128"/>
      <w:bookmarkStart w:id="57" w:name="_Toc77254391"/>
      <w:r>
        <w:t>Figure </w:t>
      </w:r>
      <w:r w:rsidR="001F07E6">
        <w:rPr>
          <w:noProof/>
        </w:rPr>
        <w:t>6</w:t>
      </w:r>
      <w:bookmarkEnd w:id="56"/>
      <w:r w:rsidR="003857B7">
        <w:t xml:space="preserve"> Our strategic priorities</w:t>
      </w:r>
      <w:bookmarkEnd w:id="57"/>
    </w:p>
    <w:p w14:paraId="38C17293" w14:textId="7D780966" w:rsidR="00FE0853" w:rsidRPr="00C6062D" w:rsidRDefault="003B3B7E" w:rsidP="00634174">
      <w:pPr>
        <w:pStyle w:val="BoxTextBullet"/>
      </w:pPr>
      <w:r>
        <w:t>i</w:t>
      </w:r>
      <w:r w:rsidRPr="00C6062D">
        <w:t>mprove</w:t>
      </w:r>
      <w:r w:rsidR="00B66DD5">
        <w:t xml:space="preserve"> </w:t>
      </w:r>
      <w:r w:rsidR="003857B7" w:rsidRPr="00C6062D">
        <w:t>market access and, with our partners, maximise opportunities for agricultural exports</w:t>
      </w:r>
    </w:p>
    <w:p w14:paraId="70554851" w14:textId="5ED55F25" w:rsidR="00FE0853" w:rsidRPr="00B71EBA" w:rsidRDefault="003B3B7E" w:rsidP="00634174">
      <w:pPr>
        <w:pStyle w:val="BoxTextBullet"/>
      </w:pPr>
      <w:r w:rsidRPr="00B71EBA">
        <w:t xml:space="preserve">transform </w:t>
      </w:r>
      <w:r w:rsidR="003857B7" w:rsidRPr="00B71EBA">
        <w:t>the export regulatory system</w:t>
      </w:r>
    </w:p>
    <w:p w14:paraId="12C4403E" w14:textId="46C94F36" w:rsidR="00FE0853" w:rsidRPr="00B71EBA" w:rsidRDefault="003B3B7E" w:rsidP="00634174">
      <w:pPr>
        <w:pStyle w:val="BoxTextBullet"/>
      </w:pPr>
      <w:r w:rsidRPr="00B71EBA">
        <w:t xml:space="preserve">foster </w:t>
      </w:r>
      <w:r w:rsidR="003857B7" w:rsidRPr="00B71EBA">
        <w:t>collaboration in research and development to drive uptake of innovative practices in the agricultural sector</w:t>
      </w:r>
    </w:p>
    <w:p w14:paraId="0DE144E5" w14:textId="6FFF8C80" w:rsidR="00FE0853" w:rsidRPr="00B71EBA" w:rsidRDefault="003B3B7E" w:rsidP="00634174">
      <w:pPr>
        <w:pStyle w:val="BoxTextBullet"/>
      </w:pPr>
      <w:r w:rsidRPr="00B71EBA">
        <w:t xml:space="preserve">deliver </w:t>
      </w:r>
      <w:r w:rsidR="003857B7" w:rsidRPr="00B71EBA">
        <w:t>policies and programs to support profitable and resilient agribusiness</w:t>
      </w:r>
    </w:p>
    <w:p w14:paraId="161CCBC7" w14:textId="7E7BCB4B" w:rsidR="00FE0853" w:rsidRPr="00B71EBA" w:rsidRDefault="003B3B7E" w:rsidP="00634174">
      <w:pPr>
        <w:pStyle w:val="BoxTextBullet"/>
      </w:pPr>
      <w:r w:rsidRPr="00B71EBA">
        <w:t xml:space="preserve">support </w:t>
      </w:r>
      <w:r w:rsidR="003857B7" w:rsidRPr="00B71EBA">
        <w:t xml:space="preserve">economic recovery </w:t>
      </w:r>
      <w:r w:rsidRPr="00B71EBA">
        <w:t>post-</w:t>
      </w:r>
      <w:r w:rsidR="003857B7" w:rsidRPr="00B71EBA">
        <w:t>COVID-19 across industry</w:t>
      </w:r>
    </w:p>
    <w:p w14:paraId="69C248D0" w14:textId="50E7F730" w:rsidR="00FE0853" w:rsidRPr="00B71EBA" w:rsidRDefault="003B3B7E" w:rsidP="00634174">
      <w:pPr>
        <w:pStyle w:val="BoxTextBullet"/>
      </w:pPr>
      <w:r w:rsidRPr="00B71EBA">
        <w:t xml:space="preserve">improve </w:t>
      </w:r>
      <w:r w:rsidR="003857B7" w:rsidRPr="00B71EBA">
        <w:t>the status of threatened species and ecosystems</w:t>
      </w:r>
    </w:p>
    <w:p w14:paraId="5D704441" w14:textId="6B47590F" w:rsidR="00FE0853" w:rsidRPr="00B71EBA" w:rsidRDefault="008B0B25" w:rsidP="00634174">
      <w:pPr>
        <w:pStyle w:val="BoxTextBullet"/>
      </w:pPr>
      <w:r>
        <w:t xml:space="preserve">administer and </w:t>
      </w:r>
      <w:r w:rsidR="003B3B7E" w:rsidRPr="00B71EBA">
        <w:t xml:space="preserve">reform </w:t>
      </w:r>
      <w:r w:rsidR="003857B7" w:rsidRPr="00B71EBA">
        <w:t xml:space="preserve">the </w:t>
      </w:r>
      <w:r w:rsidR="005A6ACE" w:rsidRPr="00B71EBA">
        <w:rPr>
          <w:i/>
          <w:iCs/>
        </w:rPr>
        <w:t xml:space="preserve">Environment Protection and Biodiversity Conservation </w:t>
      </w:r>
      <w:r w:rsidR="003E49F5" w:rsidRPr="00B71EBA">
        <w:rPr>
          <w:i/>
          <w:iCs/>
        </w:rPr>
        <w:t>Act </w:t>
      </w:r>
      <w:r w:rsidR="005A6ACE" w:rsidRPr="00B71EBA">
        <w:rPr>
          <w:i/>
          <w:iCs/>
        </w:rPr>
        <w:t>1999</w:t>
      </w:r>
      <w:r w:rsidR="005A6ACE" w:rsidRPr="00B71EBA">
        <w:t xml:space="preserve"> </w:t>
      </w:r>
      <w:r w:rsidR="003857B7" w:rsidRPr="00B71EBA">
        <w:t>to drive economic recovery post</w:t>
      </w:r>
      <w:r w:rsidR="003B3B7E" w:rsidRPr="00B71EBA">
        <w:t>-</w:t>
      </w:r>
      <w:r w:rsidR="003857B7" w:rsidRPr="00B71EBA">
        <w:t>COVID-19 and strong environment and heritage outcomes</w:t>
      </w:r>
    </w:p>
    <w:p w14:paraId="36F752A5" w14:textId="2FCEFA8C" w:rsidR="00FE0853" w:rsidRPr="00B71EBA" w:rsidRDefault="003B3B7E" w:rsidP="00634174">
      <w:pPr>
        <w:pStyle w:val="BoxTextBullet"/>
      </w:pPr>
      <w:r w:rsidRPr="00B71EBA">
        <w:t xml:space="preserve">provide </w:t>
      </w:r>
      <w:r w:rsidR="003857B7" w:rsidRPr="00B71EBA">
        <w:t>national leadership to effectively manage Australia’s waste</w:t>
      </w:r>
    </w:p>
    <w:p w14:paraId="492A6666" w14:textId="3F755788" w:rsidR="00FE0853" w:rsidRPr="00B71EBA" w:rsidRDefault="003B3B7E" w:rsidP="00634174">
      <w:pPr>
        <w:pStyle w:val="BoxTextBullet"/>
      </w:pPr>
      <w:r w:rsidRPr="00B71EBA">
        <w:t xml:space="preserve">conserve </w:t>
      </w:r>
      <w:r w:rsidR="003857B7" w:rsidRPr="00B71EBA">
        <w:t>and maintain Australia’s unique heritage</w:t>
      </w:r>
    </w:p>
    <w:p w14:paraId="7AA72474" w14:textId="1289283F" w:rsidR="00FE0853" w:rsidRPr="00B71EBA" w:rsidRDefault="003B3B7E" w:rsidP="00634174">
      <w:pPr>
        <w:pStyle w:val="BoxTextBullet"/>
      </w:pPr>
      <w:r w:rsidRPr="00B71EBA">
        <w:t xml:space="preserve">partner </w:t>
      </w:r>
      <w:r w:rsidR="003857B7" w:rsidRPr="00B71EBA">
        <w:t>with Murray–Darling Basin states to implement the Basin Plan and manage Basin water resources in the national interest</w:t>
      </w:r>
    </w:p>
    <w:p w14:paraId="792E6854" w14:textId="5502C6AF" w:rsidR="00FE0853" w:rsidRPr="00B71EBA" w:rsidRDefault="00A56384" w:rsidP="00634174">
      <w:pPr>
        <w:pStyle w:val="BoxTextBullet"/>
      </w:pPr>
      <w:r w:rsidRPr="00B71EBA">
        <w:t xml:space="preserve">maintain </w:t>
      </w:r>
      <w:r w:rsidR="003857B7" w:rsidRPr="00B71EBA">
        <w:t>and strengthen our biosecurity system</w:t>
      </w:r>
      <w:r w:rsidR="000522C6">
        <w:t xml:space="preserve"> by</w:t>
      </w:r>
      <w:r w:rsidR="003857B7" w:rsidRPr="00B71EBA">
        <w:t xml:space="preserve"> working with our partners and through innovation and business transformation</w:t>
      </w:r>
    </w:p>
    <w:p w14:paraId="046557D4" w14:textId="1B7CC80A" w:rsidR="00FE0853" w:rsidRDefault="00A56384" w:rsidP="00634174">
      <w:pPr>
        <w:pStyle w:val="BoxTextBullet"/>
      </w:pPr>
      <w:r w:rsidRPr="00B71EBA">
        <w:t xml:space="preserve">maintain </w:t>
      </w:r>
      <w:r w:rsidR="003857B7" w:rsidRPr="00B71EBA">
        <w:t>Australian leadership in Antarctica and the Southern Ocean</w:t>
      </w:r>
    </w:p>
    <w:p w14:paraId="1D12EF31" w14:textId="7B1FF096" w:rsidR="00561179" w:rsidRPr="00B71EBA" w:rsidRDefault="00561179" w:rsidP="00634174">
      <w:pPr>
        <w:pStyle w:val="BoxTextBullet"/>
      </w:pPr>
      <w:r>
        <w:t xml:space="preserve">improve regulatory efficiency, </w:t>
      </w:r>
      <w:proofErr w:type="gramStart"/>
      <w:r>
        <w:t>effectiveness</w:t>
      </w:r>
      <w:proofErr w:type="gramEnd"/>
      <w:r>
        <w:t xml:space="preserve"> and maturity, including through deregulation</w:t>
      </w:r>
    </w:p>
    <w:p w14:paraId="42569546" w14:textId="73C6E296" w:rsidR="00FE0853" w:rsidRPr="00C6062D" w:rsidRDefault="009E3E80" w:rsidP="00634174">
      <w:pPr>
        <w:pStyle w:val="BoxTextBullet"/>
      </w:pPr>
      <w:r>
        <w:t>p</w:t>
      </w:r>
      <w:r w:rsidR="003857B7" w:rsidRPr="00C6062D">
        <w:t xml:space="preserve">rotect, </w:t>
      </w:r>
      <w:proofErr w:type="gramStart"/>
      <w:r w:rsidR="003857B7" w:rsidRPr="00C6062D">
        <w:t>conserve</w:t>
      </w:r>
      <w:proofErr w:type="gramEnd"/>
      <w:r w:rsidR="003857B7" w:rsidRPr="00C6062D">
        <w:t xml:space="preserve"> and enhance the value of Commonwealth </w:t>
      </w:r>
      <w:r w:rsidR="006D59D1" w:rsidRPr="00C6062D">
        <w:t xml:space="preserve">marine and terrestrial </w:t>
      </w:r>
      <w:r w:rsidR="003857B7" w:rsidRPr="00C6062D">
        <w:t>parks and gardens for the use and wellbeing of all Australians</w:t>
      </w:r>
    </w:p>
    <w:p w14:paraId="0EA96C6F" w14:textId="4E68FB45" w:rsidR="00FE0853" w:rsidRPr="00C6062D" w:rsidRDefault="009E3E80" w:rsidP="00634174">
      <w:pPr>
        <w:pStyle w:val="BoxTextBullet"/>
      </w:pPr>
      <w:r>
        <w:t>d</w:t>
      </w:r>
      <w:r w:rsidR="003857B7" w:rsidRPr="00C6062D">
        <w:t>eliver substantial actions to</w:t>
      </w:r>
      <w:r w:rsidR="003857B7" w:rsidRPr="00B66DD5">
        <w:t xml:space="preserve"> build climate adaptation and resilience in the economy, community and environment</w:t>
      </w:r>
      <w:r w:rsidR="00E66100">
        <w:t>.</w:t>
      </w:r>
    </w:p>
    <w:p w14:paraId="14B1952D" w14:textId="77777777" w:rsidR="005A6ACE" w:rsidRDefault="003857B7" w:rsidP="00544C5E">
      <w:pPr>
        <w:pStyle w:val="Heading3"/>
        <w:keepLines w:val="0"/>
        <w:pageBreakBefore/>
        <w:spacing w:before="240" w:after="120"/>
      </w:pPr>
      <w:bookmarkStart w:id="58" w:name="_Toc76550800"/>
      <w:bookmarkStart w:id="59" w:name="_Toc76972889"/>
      <w:bookmarkStart w:id="60" w:name="_Toc79585792"/>
      <w:r>
        <w:lastRenderedPageBreak/>
        <w:t>Supporting our primary industries</w:t>
      </w:r>
      <w:bookmarkEnd w:id="58"/>
      <w:bookmarkEnd w:id="59"/>
      <w:bookmarkEnd w:id="60"/>
    </w:p>
    <w:p w14:paraId="7BB49152" w14:textId="68CAA9DF" w:rsidR="006A2780" w:rsidRDefault="003B3B7E" w:rsidP="00FE0853">
      <w:r>
        <w:t>R</w:t>
      </w:r>
      <w:r w:rsidR="003857B7">
        <w:t xml:space="preserve">ecovery from </w:t>
      </w:r>
      <w:r w:rsidR="00027872">
        <w:t xml:space="preserve">the </w:t>
      </w:r>
      <w:r w:rsidR="003857B7">
        <w:t>COVID</w:t>
      </w:r>
      <w:r w:rsidR="007C312F">
        <w:noBreakHyphen/>
      </w:r>
      <w:r w:rsidR="003857B7">
        <w:t xml:space="preserve">19 </w:t>
      </w:r>
      <w:r w:rsidR="00027872">
        <w:t>pandemic is</w:t>
      </w:r>
      <w:r w:rsidR="003857B7">
        <w:t xml:space="preserve"> a long-term focus for government, industry and the community</w:t>
      </w:r>
      <w:r>
        <w:t>.</w:t>
      </w:r>
      <w:r w:rsidR="003857B7">
        <w:t xml:space="preserve"> </w:t>
      </w:r>
      <w:hyperlink r:id="rId33" w:history="1">
        <w:r w:rsidRPr="003B3B7E">
          <w:rPr>
            <w:rStyle w:val="Hyperlink"/>
          </w:rPr>
          <w:t xml:space="preserve">Delivering </w:t>
        </w:r>
        <w:r w:rsidR="003857B7" w:rsidRPr="003B3B7E">
          <w:rPr>
            <w:rStyle w:val="Hyperlink"/>
          </w:rPr>
          <w:t>Ag2030</w:t>
        </w:r>
      </w:hyperlink>
      <w:r w:rsidR="003857B7">
        <w:t xml:space="preserve"> </w:t>
      </w:r>
      <w:r>
        <w:t xml:space="preserve">contributes to </w:t>
      </w:r>
      <w:r w:rsidR="003857B7">
        <w:t xml:space="preserve">the government’s </w:t>
      </w:r>
      <w:r>
        <w:t xml:space="preserve">efforts </w:t>
      </w:r>
      <w:r w:rsidR="003857B7">
        <w:t>to get Australians back into jobs and revitalise the regions</w:t>
      </w:r>
      <w:r>
        <w:t xml:space="preserve">. It </w:t>
      </w:r>
      <w:r w:rsidR="00027872">
        <w:t>will also</w:t>
      </w:r>
      <w:r>
        <w:t xml:space="preserve"> </w:t>
      </w:r>
      <w:r w:rsidR="00FA1E05">
        <w:t xml:space="preserve">help Australian farmers, fishers and foresters achieve their vision of a $100 billion </w:t>
      </w:r>
      <w:r>
        <w:t xml:space="preserve">agricultural </w:t>
      </w:r>
      <w:r w:rsidR="00FA1E05">
        <w:t>sector by 2030.</w:t>
      </w:r>
    </w:p>
    <w:p w14:paraId="5937FCE9" w14:textId="039D94BA" w:rsidR="00FE0853" w:rsidRDefault="003857B7" w:rsidP="00FE0853">
      <w:r>
        <w:t xml:space="preserve">We are </w:t>
      </w:r>
      <w:r w:rsidR="003B3B7E">
        <w:t xml:space="preserve">supporting this vision by </w:t>
      </w:r>
      <w:r w:rsidR="00FA1E05">
        <w:t>encouraging better land management</w:t>
      </w:r>
      <w:r w:rsidR="00E8029C">
        <w:t>, i</w:t>
      </w:r>
      <w:r w:rsidR="00FA1E05">
        <w:t xml:space="preserve">mproving regulatory processes, </w:t>
      </w:r>
      <w:r>
        <w:t>tackling emerging trade challenges</w:t>
      </w:r>
      <w:r w:rsidR="003B3B7E">
        <w:t xml:space="preserve"> and</w:t>
      </w:r>
      <w:r>
        <w:t xml:space="preserve"> supporting industry resilience</w:t>
      </w:r>
      <w:r w:rsidR="003B3B7E">
        <w:t xml:space="preserve">. We are </w:t>
      </w:r>
      <w:r>
        <w:t xml:space="preserve">promoting </w:t>
      </w:r>
      <w:r w:rsidR="00FA1E05">
        <w:t xml:space="preserve">science and </w:t>
      </w:r>
      <w:r>
        <w:t>innovation</w:t>
      </w:r>
      <w:r w:rsidR="003B3B7E">
        <w:t xml:space="preserve">, which is enhanced </w:t>
      </w:r>
      <w:r>
        <w:t xml:space="preserve">through </w:t>
      </w:r>
      <w:r w:rsidR="00E8456C">
        <w:t xml:space="preserve">the </w:t>
      </w:r>
      <w:r>
        <w:t xml:space="preserve">creation of </w:t>
      </w:r>
      <w:hyperlink r:id="rId34" w:history="1">
        <w:r w:rsidRPr="003B3B7E">
          <w:rPr>
            <w:rStyle w:val="Hyperlink"/>
          </w:rPr>
          <w:t>Agricultural Innovation Australia</w:t>
        </w:r>
      </w:hyperlink>
      <w:r w:rsidR="00FA1E05">
        <w:t>.</w:t>
      </w:r>
    </w:p>
    <w:p w14:paraId="20B5FE07" w14:textId="4E28EC89" w:rsidR="009639B0" w:rsidRDefault="009639B0" w:rsidP="009639B0">
      <w:pPr>
        <w:rPr>
          <w:rFonts w:cs="Calibri"/>
          <w:color w:val="000000"/>
        </w:rPr>
      </w:pPr>
      <w:r w:rsidRPr="00637C4D">
        <w:rPr>
          <w:rFonts w:cs="Calibri"/>
          <w:color w:val="000000"/>
        </w:rPr>
        <w:t xml:space="preserve">Soil supports every Australian. The </w:t>
      </w:r>
      <w:hyperlink r:id="rId35" w:history="1">
        <w:r w:rsidRPr="00552FEA">
          <w:rPr>
            <w:rStyle w:val="Hyperlink"/>
            <w:rFonts w:cs="Calibri"/>
          </w:rPr>
          <w:t>National Soil Strategy</w:t>
        </w:r>
      </w:hyperlink>
      <w:r w:rsidRPr="00637C4D">
        <w:rPr>
          <w:rFonts w:cs="Calibri"/>
          <w:color w:val="000000"/>
        </w:rPr>
        <w:t xml:space="preserve"> sets out how Australia </w:t>
      </w:r>
      <w:r w:rsidR="00027872">
        <w:rPr>
          <w:rFonts w:cs="Calibri"/>
          <w:color w:val="000000"/>
        </w:rPr>
        <w:t>should</w:t>
      </w:r>
      <w:r w:rsidRPr="00637C4D">
        <w:rPr>
          <w:rFonts w:cs="Calibri"/>
          <w:color w:val="000000"/>
        </w:rPr>
        <w:t xml:space="preserve"> value, manage and improve its soil. </w:t>
      </w:r>
      <w:r w:rsidR="00027872">
        <w:rPr>
          <w:rFonts w:cs="Calibri"/>
          <w:color w:val="000000"/>
        </w:rPr>
        <w:t>T</w:t>
      </w:r>
      <w:r w:rsidR="00552FEA">
        <w:rPr>
          <w:rFonts w:cs="Calibri"/>
          <w:color w:val="000000"/>
        </w:rPr>
        <w:t>he</w:t>
      </w:r>
      <w:r w:rsidRPr="00637C4D">
        <w:rPr>
          <w:rFonts w:cs="Calibri"/>
          <w:color w:val="000000"/>
        </w:rPr>
        <w:t xml:space="preserve"> </w:t>
      </w:r>
      <w:r w:rsidR="00552FEA">
        <w:rPr>
          <w:rFonts w:cs="Calibri"/>
          <w:color w:val="000000"/>
        </w:rPr>
        <w:t>2</w:t>
      </w:r>
      <w:r w:rsidRPr="00637C4D">
        <w:rPr>
          <w:rFonts w:cs="Calibri"/>
          <w:color w:val="000000"/>
        </w:rPr>
        <w:t>-year National Soil Monitoring and Incentives Pilot Program</w:t>
      </w:r>
      <w:r w:rsidR="00552FEA">
        <w:rPr>
          <w:rFonts w:cs="Calibri"/>
          <w:color w:val="000000"/>
        </w:rPr>
        <w:t xml:space="preserve"> will </w:t>
      </w:r>
      <w:r w:rsidRPr="00637C4D">
        <w:rPr>
          <w:rFonts w:cs="Calibri"/>
          <w:color w:val="000000"/>
        </w:rPr>
        <w:t xml:space="preserve">improve our understanding of Australia’s soil condition and how to </w:t>
      </w:r>
      <w:r w:rsidR="004932BA">
        <w:rPr>
          <w:rFonts w:cs="Calibri"/>
          <w:color w:val="000000"/>
        </w:rPr>
        <w:t xml:space="preserve">better </w:t>
      </w:r>
      <w:r w:rsidRPr="00637C4D">
        <w:rPr>
          <w:rFonts w:cs="Calibri"/>
          <w:color w:val="000000"/>
        </w:rPr>
        <w:t>manage it</w:t>
      </w:r>
      <w:r w:rsidR="00552FEA">
        <w:rPr>
          <w:rFonts w:cs="Calibri"/>
          <w:color w:val="000000"/>
        </w:rPr>
        <w:t xml:space="preserve">. The pilot will </w:t>
      </w:r>
      <w:r w:rsidRPr="00637C4D">
        <w:rPr>
          <w:rFonts w:cs="Calibri"/>
          <w:color w:val="000000"/>
        </w:rPr>
        <w:t xml:space="preserve">assess the impact of land management practices, assist farmers to improve their productivity and profitability, and support </w:t>
      </w:r>
      <w:r w:rsidR="00E8456C">
        <w:rPr>
          <w:rFonts w:cs="Calibri"/>
          <w:color w:val="000000"/>
        </w:rPr>
        <w:t>them</w:t>
      </w:r>
      <w:r w:rsidR="00E8456C" w:rsidRPr="00637C4D">
        <w:rPr>
          <w:rFonts w:cs="Calibri"/>
          <w:color w:val="000000"/>
        </w:rPr>
        <w:t xml:space="preserve"> </w:t>
      </w:r>
      <w:r w:rsidRPr="00637C4D">
        <w:rPr>
          <w:rFonts w:cs="Calibri"/>
          <w:color w:val="000000"/>
        </w:rPr>
        <w:t>to participate in the Emissions Reduction Fund.</w:t>
      </w:r>
    </w:p>
    <w:p w14:paraId="53EE55E1" w14:textId="28207DDA" w:rsidR="009C39E4" w:rsidRDefault="003857B7" w:rsidP="009C39E4">
      <w:r>
        <w:t>The $328 million Busting Congestion for Agricultural Exporters package fund</w:t>
      </w:r>
      <w:r w:rsidR="00027872">
        <w:t>s</w:t>
      </w:r>
      <w:r>
        <w:t xml:space="preserve"> reform for Australian agricultural sectors</w:t>
      </w:r>
      <w:r w:rsidR="00552FEA">
        <w:t xml:space="preserve">. </w:t>
      </w:r>
      <w:r w:rsidR="00027872">
        <w:t xml:space="preserve">We aim to </w:t>
      </w:r>
      <w:r>
        <w:t>reduce unnecessary red tape, get products to export markets faster and support jobs in rural and remote Australia. The package will modernise Australia’s regulatory approach</w:t>
      </w:r>
      <w:r w:rsidR="00552FEA">
        <w:t xml:space="preserve">. It will provide best-practice </w:t>
      </w:r>
      <w:r>
        <w:t>systems and enabl</w:t>
      </w:r>
      <w:r w:rsidR="00552FEA">
        <w:t xml:space="preserve">e us, </w:t>
      </w:r>
      <w:r>
        <w:t>as the agricultural export regulator, to undertake assurance more efficiently.</w:t>
      </w:r>
    </w:p>
    <w:p w14:paraId="79616D67" w14:textId="77777777" w:rsidR="005A6ACE" w:rsidRDefault="003857B7" w:rsidP="005C442A">
      <w:pPr>
        <w:pStyle w:val="Heading3"/>
      </w:pPr>
      <w:bookmarkStart w:id="61" w:name="_Toc76550801"/>
      <w:bookmarkStart w:id="62" w:name="_Toc76972890"/>
      <w:bookmarkStart w:id="63" w:name="_Toc79585793"/>
      <w:r>
        <w:t>Improving how we regulate</w:t>
      </w:r>
      <w:bookmarkEnd w:id="61"/>
      <w:bookmarkEnd w:id="62"/>
      <w:bookmarkEnd w:id="63"/>
    </w:p>
    <w:p w14:paraId="0267A9FC" w14:textId="2F7A3379" w:rsidR="009A2786" w:rsidRDefault="008B0B25" w:rsidP="009A2786">
      <w:r>
        <w:t xml:space="preserve">Good regulation is important. </w:t>
      </w:r>
      <w:r w:rsidR="009A2786">
        <w:t xml:space="preserve">We are accountable to the public in how we </w:t>
      </w:r>
      <w:proofErr w:type="gramStart"/>
      <w:r w:rsidR="009A2786">
        <w:t>regulate</w:t>
      </w:r>
      <w:proofErr w:type="gramEnd"/>
      <w:r w:rsidR="009A2786">
        <w:t xml:space="preserve"> and we recog</w:t>
      </w:r>
      <w:r w:rsidR="00C04FDD">
        <w:t>n</w:t>
      </w:r>
      <w:r w:rsidR="009A2786">
        <w:t xml:space="preserve">ise the need to reduce red tape and streamline regulation. We have </w:t>
      </w:r>
      <w:r w:rsidR="00447F51">
        <w:t>12 </w:t>
      </w:r>
      <w:r w:rsidR="009A2786">
        <w:t xml:space="preserve">regulatory systems and administer more than </w:t>
      </w:r>
      <w:r w:rsidR="00447F51">
        <w:t>120 </w:t>
      </w:r>
      <w:r w:rsidR="009A2786">
        <w:t xml:space="preserve">pieces of legislation. Our </w:t>
      </w:r>
      <w:hyperlink r:id="rId36" w:history="1">
        <w:r w:rsidR="009A2786" w:rsidRPr="009A2786">
          <w:rPr>
            <w:rStyle w:val="Hyperlink"/>
          </w:rPr>
          <w:t>Regulatory Practice Statement</w:t>
        </w:r>
      </w:hyperlink>
      <w:r w:rsidR="009A2786">
        <w:t xml:space="preserve"> outlines our commitment to regulate in accordance with principles of better practice and sets an aspiration for each of our regulatory systems to work towards. </w:t>
      </w:r>
      <w:r w:rsidR="003E30C0">
        <w:t>T</w:t>
      </w:r>
      <w:r w:rsidR="00CF2DE0">
        <w:t xml:space="preserve">he </w:t>
      </w:r>
      <w:r w:rsidR="003E30C0">
        <w:t>r</w:t>
      </w:r>
      <w:r w:rsidR="00CF2DE0">
        <w:t>egulatory maturity section of</w:t>
      </w:r>
      <w:r w:rsidR="009A2786">
        <w:t xml:space="preserve"> </w:t>
      </w:r>
      <w:hyperlink w:anchor="_Enhancing_our_capabilities" w:history="1">
        <w:r w:rsidR="00CF2DE0" w:rsidRPr="0094239A">
          <w:rPr>
            <w:rStyle w:val="Hyperlink"/>
          </w:rPr>
          <w:t>Enhancing our capabilities</w:t>
        </w:r>
      </w:hyperlink>
      <w:r w:rsidR="00CF2DE0">
        <w:t xml:space="preserve"> </w:t>
      </w:r>
      <w:r w:rsidR="003E30C0">
        <w:t xml:space="preserve">has </w:t>
      </w:r>
      <w:r w:rsidR="009A2786">
        <w:t>more detail on our Regulatory Practice Statement.</w:t>
      </w:r>
    </w:p>
    <w:p w14:paraId="5DF0DFC4" w14:textId="77777777" w:rsidR="009A2786" w:rsidRDefault="009A2786" w:rsidP="009A2786">
      <w:r>
        <w:t>We will mature the practice of each of our regulatory systems. Our Regulatory Practice Committee and regulatory leaders will drive improvements across our regulatory functions. We will progress reforms to address issues identified by independent reviewers, and issues emerging in the evolving markets and industries we regulate. We will continue to clearly outline our approach to managing compliance, with a focus on enabling voluntary compliance.</w:t>
      </w:r>
    </w:p>
    <w:p w14:paraId="5DE66BBF" w14:textId="28D38E33" w:rsidR="009A2786" w:rsidRDefault="009A2786" w:rsidP="009A2786">
      <w:r>
        <w:t>We will continue implementing the $6.</w:t>
      </w:r>
      <w:r w:rsidR="0068351B">
        <w:t>4 </w:t>
      </w:r>
      <w:r>
        <w:t xml:space="preserve">million Excellence in Professional Regulation training pilot, in partnership with the Australian Public Service Commission. This training will enhance the capability and performance of agricultural export regulators and upskill other </w:t>
      </w:r>
      <w:r w:rsidR="0068351B">
        <w:t>APS </w:t>
      </w:r>
      <w:r>
        <w:t>regulators.</w:t>
      </w:r>
    </w:p>
    <w:p w14:paraId="0F68C2F6" w14:textId="77777777" w:rsidR="00B16B46" w:rsidRDefault="003857B7" w:rsidP="00B16B46">
      <w:pPr>
        <w:pStyle w:val="Heading3"/>
      </w:pPr>
      <w:bookmarkStart w:id="64" w:name="_Toc76550802"/>
      <w:bookmarkStart w:id="65" w:name="_Toc76972891"/>
      <w:bookmarkStart w:id="66" w:name="_Toc79585794"/>
      <w:r>
        <w:t>Strengthening biosecurity</w:t>
      </w:r>
      <w:bookmarkEnd w:id="64"/>
      <w:bookmarkEnd w:id="65"/>
      <w:bookmarkEnd w:id="66"/>
    </w:p>
    <w:p w14:paraId="410BFFAE" w14:textId="52882CAC" w:rsidR="00B16B46" w:rsidRDefault="003857B7" w:rsidP="00B16B46">
      <w:r>
        <w:t>Australia’s biosecurity system protects $</w:t>
      </w:r>
      <w:r w:rsidR="004F1559">
        <w:t>5.7</w:t>
      </w:r>
      <w:r>
        <w:t> trillion in environmental assets</w:t>
      </w:r>
      <w:r w:rsidR="007C122D">
        <w:t xml:space="preserve">; </w:t>
      </w:r>
      <w:r>
        <w:t>$</w:t>
      </w:r>
      <w:r w:rsidR="004F1559">
        <w:t>50 </w:t>
      </w:r>
      <w:r>
        <w:t>billion in inbound tourism</w:t>
      </w:r>
      <w:r w:rsidR="007C122D">
        <w:t xml:space="preserve">; </w:t>
      </w:r>
      <w:r>
        <w:t>$</w:t>
      </w:r>
      <w:r w:rsidR="00322A12">
        <w:t>7</w:t>
      </w:r>
      <w:r w:rsidR="004F1559">
        <w:t>1</w:t>
      </w:r>
      <w:r>
        <w:t> billion in agricultu</w:t>
      </w:r>
      <w:r w:rsidR="00322A12">
        <w:t>re, fisheries and forestry</w:t>
      </w:r>
      <w:r>
        <w:t xml:space="preserve"> production</w:t>
      </w:r>
      <w:r w:rsidR="007C122D">
        <w:t xml:space="preserve">; </w:t>
      </w:r>
      <w:r>
        <w:t>$5</w:t>
      </w:r>
      <w:r w:rsidR="004F1559">
        <w:t>1</w:t>
      </w:r>
      <w:r>
        <w:t> billion in agricultural exports</w:t>
      </w:r>
      <w:r w:rsidR="007C122D">
        <w:t>;</w:t>
      </w:r>
      <w:r>
        <w:t xml:space="preserve"> and 1.6 million jobs across the agriculture supply chain</w:t>
      </w:r>
      <w:r w:rsidR="00322A12">
        <w:t>.</w:t>
      </w:r>
    </w:p>
    <w:p w14:paraId="045C856A" w14:textId="6679DB85" w:rsidR="00B16B46" w:rsidRDefault="003857B7" w:rsidP="00B16B46">
      <w:r>
        <w:lastRenderedPageBreak/>
        <w:t xml:space="preserve">To ensure Australia stays ahead of biosecurity threats, we have launched </w:t>
      </w:r>
      <w:hyperlink r:id="rId37" w:history="1">
        <w:r w:rsidRPr="007C122D">
          <w:rPr>
            <w:rStyle w:val="Hyperlink"/>
          </w:rPr>
          <w:t>Commonwealth Biosecurity 2030</w:t>
        </w:r>
      </w:hyperlink>
      <w:r w:rsidR="007C122D">
        <w:t>.</w:t>
      </w:r>
      <w:r>
        <w:t xml:space="preserve"> </w:t>
      </w:r>
      <w:r w:rsidR="007C122D">
        <w:t xml:space="preserve">This is </w:t>
      </w:r>
      <w:r>
        <w:t xml:space="preserve">a roadmap to a stronger, smarter biosecurity system. We will use our stakeholder </w:t>
      </w:r>
      <w:r w:rsidR="007C122D">
        <w:t xml:space="preserve">networks </w:t>
      </w:r>
      <w:r>
        <w:t xml:space="preserve">to guide annual action plans and </w:t>
      </w:r>
      <w:r w:rsidR="00430E63">
        <w:t>develop</w:t>
      </w:r>
      <w:r w:rsidR="007C122D">
        <w:t xml:space="preserve"> a n</w:t>
      </w:r>
      <w:r>
        <w:t xml:space="preserve">ational </w:t>
      </w:r>
      <w:r w:rsidR="007C122D">
        <w:t>biosecurity strategy</w:t>
      </w:r>
      <w:r>
        <w:t>.</w:t>
      </w:r>
    </w:p>
    <w:p w14:paraId="6C76E6C2" w14:textId="77777777" w:rsidR="005A6ACE" w:rsidRDefault="003857B7" w:rsidP="005C442A">
      <w:pPr>
        <w:pStyle w:val="Heading3"/>
      </w:pPr>
      <w:bookmarkStart w:id="67" w:name="_Toc76550803"/>
      <w:bookmarkStart w:id="68" w:name="_Toc76972892"/>
      <w:bookmarkStart w:id="69" w:name="_Toc79585795"/>
      <w:r>
        <w:t>Protecting our environment and heritage</w:t>
      </w:r>
      <w:bookmarkEnd w:id="67"/>
      <w:bookmarkEnd w:id="68"/>
      <w:bookmarkEnd w:id="69"/>
    </w:p>
    <w:p w14:paraId="3EE8B723" w14:textId="46E575C3" w:rsidR="00FE0853" w:rsidRDefault="003857B7" w:rsidP="00FE0853">
      <w:r>
        <w:t xml:space="preserve">Our heritage is important </w:t>
      </w:r>
      <w:r w:rsidR="007C122D">
        <w:t xml:space="preserve">to </w:t>
      </w:r>
      <w:r w:rsidR="00224C9A">
        <w:t>Australia’s</w:t>
      </w:r>
      <w:r w:rsidR="00110CE8">
        <w:t xml:space="preserve"> </w:t>
      </w:r>
      <w:r>
        <w:t>national identity</w:t>
      </w:r>
      <w:r w:rsidR="007C122D">
        <w:t xml:space="preserve">. </w:t>
      </w:r>
      <w:r w:rsidR="0004276E">
        <w:t>It</w:t>
      </w:r>
      <w:r w:rsidR="007C122D">
        <w:t xml:space="preserve"> is</w:t>
      </w:r>
      <w:r>
        <w:t xml:space="preserve"> not just something we look back on, but something we carry into the future. We will work to protect </w:t>
      </w:r>
      <w:r w:rsidR="0004276E">
        <w:t xml:space="preserve">the </w:t>
      </w:r>
      <w:r>
        <w:t>national and world heritage places</w:t>
      </w:r>
      <w:r w:rsidR="0004276E">
        <w:t xml:space="preserve"> that </w:t>
      </w:r>
      <w:r>
        <w:t>tell stories of our history, our Indigenous heritage and the exceptional environment of our continent and its surrounding waters.</w:t>
      </w:r>
    </w:p>
    <w:p w14:paraId="00C68DCA" w14:textId="41E3386C" w:rsidR="00FE0853" w:rsidRDefault="003857B7" w:rsidP="00FE0853">
      <w:r>
        <w:t xml:space="preserve">Through Parks Australia, we manage national parks, gardens and marine parks in partnership with </w:t>
      </w:r>
      <w:r w:rsidR="0004276E">
        <w:t>Traditional Owners</w:t>
      </w:r>
      <w:r>
        <w:t>, communities and business. The COVID</w:t>
      </w:r>
      <w:r w:rsidR="007C312F">
        <w:noBreakHyphen/>
      </w:r>
      <w:r>
        <w:t>19 pandemic affected touris</w:t>
      </w:r>
      <w:r w:rsidR="007C122D">
        <w:t>m</w:t>
      </w:r>
      <w:r>
        <w:t xml:space="preserve"> </w:t>
      </w:r>
      <w:r w:rsidR="007C122D">
        <w:t>and w</w:t>
      </w:r>
      <w:r>
        <w:t xml:space="preserve">e are investing in upgrades and new infrastructure to boost visitation. </w:t>
      </w:r>
      <w:r w:rsidR="0004276E">
        <w:t>F</w:t>
      </w:r>
      <w:r>
        <w:t>unding for Uluru</w:t>
      </w:r>
      <w:r w:rsidR="0004276E">
        <w:noBreakHyphen/>
      </w:r>
      <w:r w:rsidR="003E49F5">
        <w:t>Kata </w:t>
      </w:r>
      <w:r>
        <w:t>Tjuta</w:t>
      </w:r>
      <w:r w:rsidR="007C122D">
        <w:t xml:space="preserve">, </w:t>
      </w:r>
      <w:r>
        <w:t>Kakadu</w:t>
      </w:r>
      <w:r w:rsidR="007C122D">
        <w:t xml:space="preserve"> and </w:t>
      </w:r>
      <w:proofErr w:type="spellStart"/>
      <w:r>
        <w:t>Booderee</w:t>
      </w:r>
      <w:proofErr w:type="spellEnd"/>
      <w:r>
        <w:t xml:space="preserve"> </w:t>
      </w:r>
      <w:r w:rsidR="007C122D">
        <w:t xml:space="preserve">national parks, </w:t>
      </w:r>
      <w:r>
        <w:t>Christmas Island, and the Australian National Botanic Gardens will help tourism businesses and the economy.</w:t>
      </w:r>
    </w:p>
    <w:p w14:paraId="5C3A2A37" w14:textId="02F5C859" w:rsidR="00FE0853" w:rsidRDefault="0004276E" w:rsidP="00FE0853">
      <w:r>
        <w:t xml:space="preserve">The </w:t>
      </w:r>
      <w:r w:rsidR="003857B7">
        <w:t xml:space="preserve">environment, ecosystems and biodiversity continue to </w:t>
      </w:r>
      <w:r w:rsidR="00AA6202">
        <w:t xml:space="preserve">be affected by </w:t>
      </w:r>
      <w:r w:rsidR="003857B7">
        <w:t xml:space="preserve">catastrophic events </w:t>
      </w:r>
      <w:r w:rsidR="00AA6202">
        <w:t xml:space="preserve">such as </w:t>
      </w:r>
      <w:r w:rsidR="003857B7">
        <w:t>the 2019–20</w:t>
      </w:r>
      <w:r w:rsidR="007C312F">
        <w:t> </w:t>
      </w:r>
      <w:r w:rsidR="00AA6202">
        <w:t xml:space="preserve">Black Summer </w:t>
      </w:r>
      <w:r w:rsidR="003857B7">
        <w:t xml:space="preserve">bushfires, the </w:t>
      </w:r>
      <w:r w:rsidR="00AA6202">
        <w:t xml:space="preserve">New South Wales </w:t>
      </w:r>
      <w:r w:rsidR="003857B7">
        <w:t xml:space="preserve">floods and the associated mouse plague. </w:t>
      </w:r>
      <w:r w:rsidR="00224C9A">
        <w:t>In response, we have developed t</w:t>
      </w:r>
      <w:r w:rsidR="003857B7">
        <w:t xml:space="preserve">he </w:t>
      </w:r>
      <w:hyperlink r:id="rId38" w:history="1">
        <w:r w:rsidR="003857B7" w:rsidRPr="00AA6202">
          <w:rPr>
            <w:rStyle w:val="Hyperlink"/>
          </w:rPr>
          <w:t>Threatened Species Strategy</w:t>
        </w:r>
        <w:r w:rsidR="007C312F" w:rsidRPr="00AA6202">
          <w:rPr>
            <w:rStyle w:val="Hyperlink"/>
          </w:rPr>
          <w:t> </w:t>
        </w:r>
        <w:r w:rsidR="003857B7" w:rsidRPr="00AA6202">
          <w:rPr>
            <w:rStyle w:val="Hyperlink"/>
          </w:rPr>
          <w:t>2021–2031</w:t>
        </w:r>
      </w:hyperlink>
      <w:r w:rsidR="00224C9A">
        <w:t xml:space="preserve">, </w:t>
      </w:r>
      <w:r w:rsidR="00AA6202">
        <w:t xml:space="preserve">a </w:t>
      </w:r>
      <w:r w:rsidR="003857B7">
        <w:t>10-year blueprint for protecting Australia’s biodiversity</w:t>
      </w:r>
      <w:r w:rsidR="00AA6202">
        <w:t xml:space="preserve">. It was </w:t>
      </w:r>
      <w:r w:rsidR="00E8029C">
        <w:t xml:space="preserve">created </w:t>
      </w:r>
      <w:r w:rsidR="003857B7">
        <w:t xml:space="preserve">with environmental scientists, threatened species experts, environmental groups, landholders and </w:t>
      </w:r>
      <w:r>
        <w:t>Traditional Owners</w:t>
      </w:r>
      <w:r w:rsidR="00AA6202">
        <w:t xml:space="preserve">. The strategy </w:t>
      </w:r>
      <w:r w:rsidR="00C6058C">
        <w:t xml:space="preserve">draws on lessons </w:t>
      </w:r>
      <w:r>
        <w:t xml:space="preserve">from </w:t>
      </w:r>
      <w:r w:rsidR="00C6058C">
        <w:t>the Black Summer bushfires</w:t>
      </w:r>
      <w:r w:rsidR="003857B7">
        <w:t>. It sets a vision to drive practical on-ground action for the recovery of threatened species and ecological communities</w:t>
      </w:r>
      <w:r w:rsidR="00AA6202">
        <w:t xml:space="preserve">. It </w:t>
      </w:r>
      <w:r w:rsidR="003857B7">
        <w:t>establishes principles for identifying priority threatened species</w:t>
      </w:r>
      <w:r w:rsidR="00AA6202">
        <w:t xml:space="preserve">. It provides </w:t>
      </w:r>
      <w:r w:rsidR="003857B7">
        <w:t>plans for deploy</w:t>
      </w:r>
      <w:r>
        <w:t>ing</w:t>
      </w:r>
      <w:r w:rsidR="003857B7">
        <w:t xml:space="preserve"> monitoring technologies</w:t>
      </w:r>
      <w:r w:rsidR="00224C9A">
        <w:t>, such as drones</w:t>
      </w:r>
      <w:r w:rsidR="003857B7">
        <w:t xml:space="preserve"> and environmental</w:t>
      </w:r>
      <w:r w:rsidR="007C312F">
        <w:t> </w:t>
      </w:r>
      <w:r w:rsidR="003857B7">
        <w:t>DNA.</w:t>
      </w:r>
    </w:p>
    <w:p w14:paraId="3E7263C9" w14:textId="428488FB" w:rsidR="00E404C2" w:rsidRDefault="003857B7" w:rsidP="00B16B46">
      <w:r>
        <w:t xml:space="preserve">Climate science and adaptation is critical in building environmental resilience. We </w:t>
      </w:r>
      <w:r w:rsidR="008E4C1F">
        <w:t xml:space="preserve">will </w:t>
      </w:r>
      <w:r>
        <w:t xml:space="preserve">consult widely to refresh the </w:t>
      </w:r>
      <w:hyperlink r:id="rId39" w:history="1">
        <w:r w:rsidRPr="00AA6202">
          <w:rPr>
            <w:rStyle w:val="Hyperlink"/>
          </w:rPr>
          <w:t>National Climate Resilience and Adaptation Strategy</w:t>
        </w:r>
      </w:hyperlink>
      <w:r>
        <w:t>. We will release the new strategy in the second half of 2021.</w:t>
      </w:r>
    </w:p>
    <w:p w14:paraId="456AF939" w14:textId="1DA0184C" w:rsidR="0027478C" w:rsidRDefault="003857B7" w:rsidP="00B16B46">
      <w:r w:rsidRPr="0027478C">
        <w:t xml:space="preserve">The climate and the </w:t>
      </w:r>
      <w:r>
        <w:t xml:space="preserve">health of the </w:t>
      </w:r>
      <w:r w:rsidRPr="0027478C">
        <w:t xml:space="preserve">planet’s oceans are inextricably linked. </w:t>
      </w:r>
      <w:r>
        <w:t xml:space="preserve">The Australian </w:t>
      </w:r>
      <w:r w:rsidR="00AA6202">
        <w:t xml:space="preserve">Government </w:t>
      </w:r>
      <w:r>
        <w:t>is investing $100</w:t>
      </w:r>
      <w:r w:rsidR="00E66100">
        <w:t> </w:t>
      </w:r>
      <w:r>
        <w:t xml:space="preserve">million to </w:t>
      </w:r>
      <w:r w:rsidR="009C39E4">
        <w:t xml:space="preserve">protect oceans and coastal environments. </w:t>
      </w:r>
      <w:r w:rsidR="009C39E4" w:rsidRPr="0027478C">
        <w:t>This is a major contribution to domestic and international efforts to build healthier oceans and combat climate change.</w:t>
      </w:r>
      <w:r w:rsidR="009C39E4">
        <w:t xml:space="preserve"> </w:t>
      </w:r>
      <w:r w:rsidR="00AA6202">
        <w:t>We</w:t>
      </w:r>
      <w:r w:rsidR="009C39E4">
        <w:t xml:space="preserve"> will deliver initiatives to </w:t>
      </w:r>
      <w:r w:rsidR="00AA6202">
        <w:t xml:space="preserve">protect marine life and </w:t>
      </w:r>
      <w:r w:rsidR="009C39E4">
        <w:t xml:space="preserve">boost </w:t>
      </w:r>
      <w:r w:rsidRPr="0027478C">
        <w:t>blue carbon ecosystems that draw carbon out of the atmosphere.</w:t>
      </w:r>
    </w:p>
    <w:p w14:paraId="21D0DC80" w14:textId="187B8BA4" w:rsidR="00D006EB" w:rsidRDefault="00D006EB" w:rsidP="00B16B46">
      <w:r>
        <w:t xml:space="preserve">We will progress environmental law reform in response to the </w:t>
      </w:r>
      <w:hyperlink r:id="rId40" w:history="1">
        <w:r w:rsidRPr="00C04FDD">
          <w:rPr>
            <w:rStyle w:val="Hyperlink"/>
          </w:rPr>
          <w:t>Independent Review</w:t>
        </w:r>
      </w:hyperlink>
      <w:r w:rsidRPr="00C04FDD">
        <w:t xml:space="preserve"> of the</w:t>
      </w:r>
      <w:r w:rsidRPr="00C04FDD">
        <w:rPr>
          <w:i/>
          <w:iCs/>
        </w:rPr>
        <w:t xml:space="preserve"> Environment Protection and Biodiversity Conservation Act 1999</w:t>
      </w:r>
      <w:r>
        <w:t>. This will include new national environmental standards, streamlining approval processes with state and territory governments, rigorous assurance monitoring for bilateral agreements, and improving Indigenous cultural heritage protection.</w:t>
      </w:r>
    </w:p>
    <w:p w14:paraId="33E7EC6E" w14:textId="0A418317" w:rsidR="00B16B46" w:rsidRDefault="003857B7" w:rsidP="005C442A">
      <w:pPr>
        <w:pStyle w:val="Heading3"/>
      </w:pPr>
      <w:bookmarkStart w:id="70" w:name="_Toc76550804"/>
      <w:bookmarkStart w:id="71" w:name="_Toc76972893"/>
      <w:bookmarkStart w:id="72" w:name="_Toc79585796"/>
      <w:r>
        <w:t>Managing water and waste</w:t>
      </w:r>
      <w:bookmarkEnd w:id="70"/>
      <w:bookmarkEnd w:id="71"/>
      <w:bookmarkEnd w:id="72"/>
    </w:p>
    <w:p w14:paraId="636600F0" w14:textId="19B4D3CC" w:rsidR="00FE0853" w:rsidRDefault="003857B7" w:rsidP="00FE0853">
      <w:r>
        <w:t>Sustainable water supply underpins Australia’s environment, agriculture and the wellbeing of our communities. We take an adaptive, evidence-based approach to policymaking for Australia’s largest river system, the Murray–Darling Basin</w:t>
      </w:r>
      <w:r w:rsidR="00AA6202">
        <w:t xml:space="preserve">. We </w:t>
      </w:r>
      <w:r>
        <w:t xml:space="preserve">seek to align Basin management with nationally agreed strategies and frameworks, including the </w:t>
      </w:r>
      <w:hyperlink r:id="rId41" w:history="1">
        <w:r w:rsidRPr="00AA6202">
          <w:rPr>
            <w:rStyle w:val="Hyperlink"/>
          </w:rPr>
          <w:t>National Water Initiative</w:t>
        </w:r>
      </w:hyperlink>
      <w:r>
        <w:t xml:space="preserve">. We have a similar approach </w:t>
      </w:r>
      <w:r w:rsidR="00AA6202">
        <w:t xml:space="preserve">for </w:t>
      </w:r>
      <w:r>
        <w:t xml:space="preserve">the </w:t>
      </w:r>
      <w:hyperlink r:id="rId42" w:history="1">
        <w:r w:rsidR="00AA6202" w:rsidRPr="00AA6202">
          <w:rPr>
            <w:rStyle w:val="Hyperlink"/>
          </w:rPr>
          <w:t xml:space="preserve">Great Artesian Basin </w:t>
        </w:r>
        <w:r w:rsidRPr="00AA6202">
          <w:rPr>
            <w:rStyle w:val="Hyperlink"/>
          </w:rPr>
          <w:t>Strategic Management Plan</w:t>
        </w:r>
      </w:hyperlink>
      <w:r>
        <w:t>.</w:t>
      </w:r>
    </w:p>
    <w:p w14:paraId="5B3EF43E" w14:textId="79CCC038" w:rsidR="00305837" w:rsidRDefault="003857B7" w:rsidP="00FE0853">
      <w:r>
        <w:lastRenderedPageBreak/>
        <w:t>Actions to drive a billion-dollar transformation of Australia’s waste and recycling industry by</w:t>
      </w:r>
      <w:r w:rsidR="007C312F">
        <w:t> </w:t>
      </w:r>
      <w:r>
        <w:t xml:space="preserve">2030 continue under the </w:t>
      </w:r>
      <w:hyperlink r:id="rId43" w:history="1">
        <w:r w:rsidRPr="00DE62E2">
          <w:rPr>
            <w:rStyle w:val="Hyperlink"/>
          </w:rPr>
          <w:t>National Waste Policy Action Plan</w:t>
        </w:r>
        <w:r w:rsidR="007C312F" w:rsidRPr="00DE62E2">
          <w:rPr>
            <w:rStyle w:val="Hyperlink"/>
          </w:rPr>
          <w:t> </w:t>
        </w:r>
        <w:r w:rsidRPr="00DE62E2">
          <w:rPr>
            <w:rStyle w:val="Hyperlink"/>
          </w:rPr>
          <w:t>2019</w:t>
        </w:r>
      </w:hyperlink>
      <w:r>
        <w:t>. Each year Australia send</w:t>
      </w:r>
      <w:r w:rsidR="00DE62E2">
        <w:t>s</w:t>
      </w:r>
      <w:r>
        <w:t xml:space="preserve"> 27</w:t>
      </w:r>
      <w:r w:rsidR="00E66100">
        <w:t> </w:t>
      </w:r>
      <w:r>
        <w:t>million tonnes of waste to landfill</w:t>
      </w:r>
      <w:r w:rsidR="00DE62E2">
        <w:t>. This</w:t>
      </w:r>
      <w:r>
        <w:t xml:space="preserve"> cost</w:t>
      </w:r>
      <w:r w:rsidR="00DE62E2">
        <w:t>s</w:t>
      </w:r>
      <w:r>
        <w:t xml:space="preserve"> the economy </w:t>
      </w:r>
      <w:r w:rsidR="00DE62E2">
        <w:t xml:space="preserve">about </w:t>
      </w:r>
      <w:r>
        <w:t>$20</w:t>
      </w:r>
      <w:r w:rsidR="007C312F">
        <w:t> </w:t>
      </w:r>
      <w:r>
        <w:t>billion each year.</w:t>
      </w:r>
    </w:p>
    <w:p w14:paraId="192CCE6F" w14:textId="5C4B4D55" w:rsidR="009C39E4" w:rsidRDefault="003857B7" w:rsidP="00FE0853">
      <w:pPr>
        <w:rPr>
          <w:rFonts w:cs="Calibri"/>
          <w:color w:val="000000"/>
        </w:rPr>
      </w:pPr>
      <w:r w:rsidRPr="00367527">
        <w:rPr>
          <w:rFonts w:cs="Calibri"/>
          <w:color w:val="000000"/>
        </w:rPr>
        <w:t xml:space="preserve">We are </w:t>
      </w:r>
      <w:r>
        <w:rPr>
          <w:rFonts w:cs="Calibri"/>
          <w:color w:val="000000"/>
        </w:rPr>
        <w:t xml:space="preserve">implementing the world’s first ban on the </w:t>
      </w:r>
      <w:r w:rsidRPr="00A17126">
        <w:rPr>
          <w:rFonts w:cstheme="minorHAnsi"/>
        </w:rPr>
        <w:t>export of unprocessed waste</w:t>
      </w:r>
      <w:r w:rsidR="00DE62E2">
        <w:rPr>
          <w:rFonts w:cstheme="minorHAnsi"/>
        </w:rPr>
        <w:t xml:space="preserve">. This includes </w:t>
      </w:r>
      <w:r w:rsidRPr="00A17126">
        <w:rPr>
          <w:rFonts w:cstheme="minorHAnsi"/>
        </w:rPr>
        <w:t>build</w:t>
      </w:r>
      <w:r>
        <w:rPr>
          <w:rFonts w:cstheme="minorHAnsi"/>
        </w:rPr>
        <w:t>ing</w:t>
      </w:r>
      <w:r w:rsidRPr="00A17126">
        <w:rPr>
          <w:rFonts w:cstheme="minorHAnsi"/>
        </w:rPr>
        <w:t xml:space="preserve"> </w:t>
      </w:r>
      <w:r w:rsidR="00637C4D">
        <w:rPr>
          <w:rFonts w:cstheme="minorHAnsi"/>
        </w:rPr>
        <w:t>a</w:t>
      </w:r>
      <w:r w:rsidRPr="00A17126">
        <w:rPr>
          <w:rFonts w:cstheme="minorHAnsi"/>
        </w:rPr>
        <w:t xml:space="preserve"> domestic</w:t>
      </w:r>
      <w:r w:rsidRPr="002C3FB1">
        <w:rPr>
          <w:rFonts w:cstheme="minorHAnsi"/>
        </w:rPr>
        <w:t xml:space="preserve"> resource recovery industry</w:t>
      </w:r>
      <w:r>
        <w:rPr>
          <w:rFonts w:cstheme="minorHAnsi"/>
        </w:rPr>
        <w:t xml:space="preserve"> so Australia can take care of its waste</w:t>
      </w:r>
      <w:r w:rsidRPr="002C3FB1">
        <w:rPr>
          <w:rFonts w:cstheme="minorHAnsi"/>
        </w:rPr>
        <w:t>.</w:t>
      </w:r>
      <w:r>
        <w:rPr>
          <w:rFonts w:cstheme="minorHAnsi"/>
        </w:rPr>
        <w:t xml:space="preserve"> </w:t>
      </w:r>
      <w:r w:rsidR="00272FCC">
        <w:rPr>
          <w:rFonts w:cstheme="minorHAnsi"/>
        </w:rPr>
        <w:t>Each</w:t>
      </w:r>
      <w:r w:rsidR="00272FCC" w:rsidRPr="00A17126">
        <w:rPr>
          <w:rFonts w:cstheme="minorHAnsi"/>
        </w:rPr>
        <w:t xml:space="preserve"> 10,000</w:t>
      </w:r>
      <w:r w:rsidR="00272FCC">
        <w:rPr>
          <w:rFonts w:cstheme="minorHAnsi"/>
        </w:rPr>
        <w:t> </w:t>
      </w:r>
      <w:r w:rsidR="00272FCC" w:rsidRPr="00A17126">
        <w:rPr>
          <w:rFonts w:cstheme="minorHAnsi"/>
        </w:rPr>
        <w:t xml:space="preserve">tonnes of </w:t>
      </w:r>
      <w:r w:rsidR="00272FCC">
        <w:rPr>
          <w:rFonts w:cstheme="minorHAnsi"/>
        </w:rPr>
        <w:t xml:space="preserve">waste that is </w:t>
      </w:r>
      <w:r w:rsidR="00272FCC" w:rsidRPr="00A17126">
        <w:rPr>
          <w:rFonts w:cstheme="minorHAnsi"/>
        </w:rPr>
        <w:t>recycled</w:t>
      </w:r>
      <w:r w:rsidR="00272FCC">
        <w:rPr>
          <w:rFonts w:cstheme="minorHAnsi"/>
        </w:rPr>
        <w:t xml:space="preserve"> will </w:t>
      </w:r>
      <w:r>
        <w:rPr>
          <w:rFonts w:cs="Calibri"/>
          <w:color w:val="000000"/>
        </w:rPr>
        <w:t xml:space="preserve">reduce pollution and </w:t>
      </w:r>
      <w:r w:rsidRPr="00367527">
        <w:rPr>
          <w:rFonts w:cs="Calibri"/>
          <w:color w:val="000000"/>
        </w:rPr>
        <w:t xml:space="preserve">create </w:t>
      </w:r>
      <w:r>
        <w:rPr>
          <w:rFonts w:cs="Calibri"/>
          <w:color w:val="000000"/>
        </w:rPr>
        <w:t>6.4</w:t>
      </w:r>
      <w:r w:rsidR="000351C8">
        <w:rPr>
          <w:rFonts w:cs="Calibri"/>
          <w:color w:val="000000"/>
        </w:rPr>
        <w:t> </w:t>
      </w:r>
      <w:r>
        <w:rPr>
          <w:rFonts w:cs="Calibri"/>
          <w:color w:val="000000"/>
        </w:rPr>
        <w:t xml:space="preserve">new </w:t>
      </w:r>
      <w:r w:rsidR="00DE62E2">
        <w:rPr>
          <w:rFonts w:cs="Calibri"/>
          <w:color w:val="000000"/>
        </w:rPr>
        <w:t>local</w:t>
      </w:r>
      <w:r w:rsidR="00DE62E2" w:rsidRPr="00367527">
        <w:rPr>
          <w:rFonts w:cs="Calibri"/>
          <w:color w:val="000000"/>
        </w:rPr>
        <w:t xml:space="preserve"> </w:t>
      </w:r>
      <w:r w:rsidRPr="00367527">
        <w:rPr>
          <w:rFonts w:cs="Calibri"/>
          <w:color w:val="000000"/>
        </w:rPr>
        <w:t>jobs</w:t>
      </w:r>
      <w:r w:rsidRPr="008210B0">
        <w:rPr>
          <w:rFonts w:cs="Calibri"/>
          <w:color w:val="000000"/>
        </w:rPr>
        <w:t>.</w:t>
      </w:r>
    </w:p>
    <w:p w14:paraId="66F83EFB" w14:textId="0C5414F7" w:rsidR="00637C4D" w:rsidRDefault="00272FCC" w:rsidP="00FE0853">
      <w:pPr>
        <w:rPr>
          <w:rFonts w:cs="Calibri"/>
          <w:color w:val="000000"/>
        </w:rPr>
      </w:pPr>
      <w:r>
        <w:t xml:space="preserve">We are driving </w:t>
      </w:r>
      <w:r w:rsidRPr="00DE62E2">
        <w:t>product stewardship</w:t>
      </w:r>
      <w:r>
        <w:t xml:space="preserve"> and </w:t>
      </w:r>
      <w:r w:rsidR="003857B7">
        <w:t>partnering with industry to increase recycling, tackle food and organic waste</w:t>
      </w:r>
      <w:r w:rsidR="0043465A">
        <w:t xml:space="preserve">, </w:t>
      </w:r>
      <w:r w:rsidR="003857B7">
        <w:t>and support better waste management</w:t>
      </w:r>
      <w:r w:rsidR="00DE62E2">
        <w:t xml:space="preserve">. </w:t>
      </w:r>
      <w:r>
        <w:rPr>
          <w:rFonts w:cs="Calibri"/>
          <w:color w:val="000000"/>
        </w:rPr>
        <w:t xml:space="preserve">The $67 million </w:t>
      </w:r>
      <w:hyperlink r:id="rId44" w:history="1">
        <w:r w:rsidRPr="00DE62E2">
          <w:rPr>
            <w:rStyle w:val="Hyperlink"/>
            <w:rFonts w:cs="Calibri"/>
          </w:rPr>
          <w:t>Food Waste for Healthy Soils Fund</w:t>
        </w:r>
      </w:hyperlink>
      <w:r>
        <w:rPr>
          <w:rFonts w:cs="Calibri"/>
          <w:color w:val="000000"/>
        </w:rPr>
        <w:t xml:space="preserve"> is supporting </w:t>
      </w:r>
      <w:r w:rsidR="00DE62E2">
        <w:t xml:space="preserve">the diversion </w:t>
      </w:r>
      <w:r w:rsidR="00DE62E2">
        <w:rPr>
          <w:rFonts w:cs="Calibri"/>
          <w:color w:val="000000"/>
        </w:rPr>
        <w:t xml:space="preserve">of about </w:t>
      </w:r>
      <w:r w:rsidR="0043465A">
        <w:rPr>
          <w:rFonts w:cs="Calibri"/>
          <w:color w:val="000000"/>
        </w:rPr>
        <w:t>3.4</w:t>
      </w:r>
      <w:r w:rsidR="00A947ED">
        <w:rPr>
          <w:rFonts w:cs="Calibri"/>
          <w:color w:val="000000"/>
        </w:rPr>
        <w:t> </w:t>
      </w:r>
      <w:r w:rsidR="0043465A">
        <w:rPr>
          <w:rFonts w:cs="Calibri"/>
          <w:color w:val="000000"/>
        </w:rPr>
        <w:t xml:space="preserve">million tonnes of food and garden waste from landfill to </w:t>
      </w:r>
      <w:r>
        <w:rPr>
          <w:rFonts w:cs="Calibri"/>
          <w:color w:val="000000"/>
        </w:rPr>
        <w:t xml:space="preserve">productive </w:t>
      </w:r>
      <w:r w:rsidR="0043465A">
        <w:rPr>
          <w:rFonts w:cs="Calibri"/>
          <w:color w:val="000000"/>
        </w:rPr>
        <w:t>use as nutrient rich compost and soil enhancers</w:t>
      </w:r>
      <w:r>
        <w:rPr>
          <w:rFonts w:cs="Calibri"/>
          <w:color w:val="000000"/>
        </w:rPr>
        <w:t xml:space="preserve">. </w:t>
      </w:r>
    </w:p>
    <w:p w14:paraId="5C622DD7" w14:textId="7808577C" w:rsidR="009C39E4" w:rsidRDefault="003857B7" w:rsidP="00FE0853">
      <w:r>
        <w:rPr>
          <w:rFonts w:cs="Calibri"/>
          <w:color w:val="000000"/>
        </w:rPr>
        <w:t>Under</w:t>
      </w:r>
      <w:r w:rsidRPr="00F16001">
        <w:rPr>
          <w:rFonts w:cs="Calibri"/>
          <w:color w:val="000000"/>
        </w:rPr>
        <w:t xml:space="preserve"> the first </w:t>
      </w:r>
      <w:hyperlink r:id="rId45" w:history="1">
        <w:r w:rsidRPr="00DE62E2">
          <w:rPr>
            <w:rStyle w:val="Hyperlink"/>
            <w:rFonts w:cs="Calibri"/>
          </w:rPr>
          <w:t>National Plastics Plan</w:t>
        </w:r>
      </w:hyperlink>
      <w:r>
        <w:rPr>
          <w:rFonts w:cs="Calibri"/>
          <w:color w:val="000000"/>
        </w:rPr>
        <w:t xml:space="preserve">, we are working </w:t>
      </w:r>
      <w:r w:rsidRPr="00F16001">
        <w:rPr>
          <w:rFonts w:cs="Calibri"/>
          <w:color w:val="000000"/>
        </w:rPr>
        <w:t xml:space="preserve">with </w:t>
      </w:r>
      <w:r>
        <w:rPr>
          <w:rFonts w:cs="Calibri"/>
          <w:color w:val="000000"/>
        </w:rPr>
        <w:t>governments</w:t>
      </w:r>
      <w:r w:rsidRPr="00F16001">
        <w:rPr>
          <w:rFonts w:cs="Calibri"/>
          <w:color w:val="000000"/>
        </w:rPr>
        <w:t xml:space="preserve">, industry and </w:t>
      </w:r>
      <w:r>
        <w:rPr>
          <w:rFonts w:cs="Calibri"/>
          <w:color w:val="000000"/>
        </w:rPr>
        <w:t>households</w:t>
      </w:r>
      <w:r w:rsidR="00DE62E2">
        <w:rPr>
          <w:rFonts w:cs="Calibri"/>
          <w:color w:val="000000"/>
        </w:rPr>
        <w:t xml:space="preserve"> on </w:t>
      </w:r>
      <w:r>
        <w:rPr>
          <w:rFonts w:cs="Calibri"/>
          <w:color w:val="000000"/>
        </w:rPr>
        <w:t>a whole</w:t>
      </w:r>
      <w:r w:rsidR="00DE62E2">
        <w:rPr>
          <w:rFonts w:cs="Calibri"/>
          <w:color w:val="000000"/>
        </w:rPr>
        <w:t>-</w:t>
      </w:r>
      <w:r>
        <w:rPr>
          <w:rFonts w:cs="Calibri"/>
          <w:color w:val="000000"/>
        </w:rPr>
        <w:t>of</w:t>
      </w:r>
      <w:r w:rsidR="00DE62E2">
        <w:rPr>
          <w:rFonts w:cs="Calibri"/>
          <w:color w:val="000000"/>
        </w:rPr>
        <w:t>-</w:t>
      </w:r>
      <w:r>
        <w:rPr>
          <w:rFonts w:cs="Calibri"/>
          <w:color w:val="000000"/>
        </w:rPr>
        <w:t xml:space="preserve">lifecycle </w:t>
      </w:r>
      <w:r w:rsidRPr="00D741DB">
        <w:rPr>
          <w:rFonts w:eastAsia="Arial"/>
          <w:color w:val="000000"/>
        </w:rPr>
        <w:t>approach to plastic</w:t>
      </w:r>
      <w:r w:rsidR="00DE62E2">
        <w:rPr>
          <w:rFonts w:eastAsia="Arial"/>
          <w:color w:val="000000"/>
        </w:rPr>
        <w:t xml:space="preserve">. This includes </w:t>
      </w:r>
      <w:r>
        <w:rPr>
          <w:rFonts w:eastAsia="Arial"/>
          <w:color w:val="000000"/>
        </w:rPr>
        <w:t>phasing out problematic plastics,</w:t>
      </w:r>
      <w:r w:rsidRPr="00D741DB">
        <w:rPr>
          <w:rFonts w:eastAsia="Arial"/>
          <w:color w:val="000000"/>
        </w:rPr>
        <w:t xml:space="preserve"> increasing Australia’s recycling capacity, stimulating demand for recycled content, and preventing plastics from leaking into the environment</w:t>
      </w:r>
      <w:r w:rsidRPr="009967A8">
        <w:rPr>
          <w:rFonts w:cs="Calibri"/>
          <w:color w:val="000000"/>
        </w:rPr>
        <w:t>.</w:t>
      </w:r>
    </w:p>
    <w:p w14:paraId="3D857283" w14:textId="76C809BC" w:rsidR="00FE0853" w:rsidRDefault="003857B7" w:rsidP="00FE0853">
      <w:r w:rsidRPr="009967A8">
        <w:rPr>
          <w:rFonts w:cs="Calibri"/>
          <w:color w:val="000000"/>
        </w:rPr>
        <w:t xml:space="preserve">We are driving national reforms to better manage risks to </w:t>
      </w:r>
      <w:r w:rsidR="00DE62E2">
        <w:rPr>
          <w:rFonts w:cs="Calibri"/>
          <w:color w:val="000000"/>
        </w:rPr>
        <w:t>the</w:t>
      </w:r>
      <w:r w:rsidR="00DE62E2" w:rsidRPr="009967A8">
        <w:rPr>
          <w:rFonts w:cs="Calibri"/>
          <w:color w:val="000000"/>
        </w:rPr>
        <w:t xml:space="preserve"> </w:t>
      </w:r>
      <w:r w:rsidRPr="009967A8">
        <w:rPr>
          <w:rFonts w:cs="Calibri"/>
          <w:color w:val="000000"/>
        </w:rPr>
        <w:t>environment from chemicals</w:t>
      </w:r>
      <w:r w:rsidR="00DE62E2">
        <w:rPr>
          <w:rFonts w:cs="Calibri"/>
          <w:color w:val="000000"/>
        </w:rPr>
        <w:t xml:space="preserve">. This includes ongoing work to implement the </w:t>
      </w:r>
      <w:hyperlink r:id="rId46" w:history="1">
        <w:r w:rsidRPr="00AE109D">
          <w:rPr>
            <w:rStyle w:val="Hyperlink"/>
            <w:rFonts w:cs="Calibri"/>
          </w:rPr>
          <w:t>Industrial Chemicals Environmental Management Standard</w:t>
        </w:r>
      </w:hyperlink>
      <w:r w:rsidRPr="00C47E6A">
        <w:rPr>
          <w:rFonts w:cs="Calibri"/>
          <w:color w:val="000000"/>
        </w:rPr>
        <w:t>.</w:t>
      </w:r>
    </w:p>
    <w:p w14:paraId="29DFF5D7" w14:textId="77777777" w:rsidR="00FE0853" w:rsidRDefault="003857B7" w:rsidP="00842063">
      <w:pPr>
        <w:pStyle w:val="Heading2"/>
      </w:pPr>
      <w:bookmarkStart w:id="73" w:name="_Enhancing_our_capabilities"/>
      <w:bookmarkStart w:id="74" w:name="_Ref76651279"/>
      <w:bookmarkStart w:id="75" w:name="_Ref76652893"/>
      <w:bookmarkStart w:id="76" w:name="_Toc79585740"/>
      <w:bookmarkStart w:id="77" w:name="_Toc79585797"/>
      <w:bookmarkEnd w:id="73"/>
      <w:r>
        <w:lastRenderedPageBreak/>
        <w:t>Enhancing our capabilities</w:t>
      </w:r>
      <w:bookmarkEnd w:id="74"/>
      <w:bookmarkEnd w:id="75"/>
      <w:bookmarkEnd w:id="76"/>
      <w:bookmarkEnd w:id="77"/>
    </w:p>
    <w:p w14:paraId="355860EB" w14:textId="3442F158" w:rsidR="001B66D0" w:rsidRDefault="001B66D0" w:rsidP="001B66D0">
      <w:r>
        <w:t>We are on a journey to transform the way we work. We continue to adapt to a dynamic operating environment and strengthen the capability of our workforce. We are building our future capacity to support Australians and the Australian Government in our critical areas of responsibility.</w:t>
      </w:r>
    </w:p>
    <w:p w14:paraId="2CFCF48A" w14:textId="7479770A" w:rsidR="00FE0853" w:rsidRDefault="003857B7" w:rsidP="00FE0853">
      <w:r>
        <w:t xml:space="preserve">We </w:t>
      </w:r>
      <w:r w:rsidR="00637C4D">
        <w:t xml:space="preserve">regularly </w:t>
      </w:r>
      <w:r>
        <w:t>review and invest in our capabilities</w:t>
      </w:r>
      <w:r w:rsidR="00E350D7">
        <w:t xml:space="preserve"> to </w:t>
      </w:r>
      <w:r>
        <w:t>ensure we have the right balance and combination of skills, expertise and knowledge to deliver on our purpose and objectives.</w:t>
      </w:r>
      <w:r w:rsidR="00AE109D">
        <w:t xml:space="preserve"> </w:t>
      </w:r>
      <w:r w:rsidR="001F07E6">
        <w:t>Figure</w:t>
      </w:r>
      <w:r w:rsidR="00F60A17">
        <w:t> </w:t>
      </w:r>
      <w:r w:rsidR="001F07E6">
        <w:rPr>
          <w:noProof/>
        </w:rPr>
        <w:t>7</w:t>
      </w:r>
      <w:r w:rsidR="00AE109D">
        <w:t xml:space="preserve"> highlights the </w:t>
      </w:r>
      <w:r>
        <w:t>core capabilit</w:t>
      </w:r>
      <w:r w:rsidR="00E350D7">
        <w:t>ies</w:t>
      </w:r>
      <w:r w:rsidR="0045452F">
        <w:t xml:space="preserve"> we are investing in.</w:t>
      </w:r>
    </w:p>
    <w:p w14:paraId="7F3E1497" w14:textId="69BF72FE" w:rsidR="00FE0853" w:rsidRDefault="0068351B" w:rsidP="00842063">
      <w:pPr>
        <w:pStyle w:val="Caption"/>
      </w:pPr>
      <w:bookmarkStart w:id="78" w:name="_Ref75853510"/>
      <w:bookmarkStart w:id="79" w:name="_Toc77254392"/>
      <w:r>
        <w:t>Figure </w:t>
      </w:r>
      <w:r w:rsidR="001F07E6">
        <w:rPr>
          <w:noProof/>
        </w:rPr>
        <w:t>7</w:t>
      </w:r>
      <w:bookmarkEnd w:id="78"/>
      <w:r w:rsidR="003857B7">
        <w:t xml:space="preserve"> Our capability priorities</w:t>
      </w:r>
      <w:bookmarkEnd w:id="79"/>
      <w:r w:rsidR="00357C5B">
        <w:t xml:space="preserve"> for a future-ready workforce</w:t>
      </w:r>
    </w:p>
    <w:p w14:paraId="08902143" w14:textId="1F6BF9BB" w:rsidR="00561179" w:rsidRDefault="00561179" w:rsidP="00561179">
      <w:pPr>
        <w:pStyle w:val="BoxTextBullet"/>
        <w:numPr>
          <w:ilvl w:val="0"/>
          <w:numId w:val="0"/>
        </w:numPr>
      </w:pPr>
      <w:r>
        <w:t>As part of our Future Department Blueprint, we will realise our potential by enhancing core capabilities across our department through:</w:t>
      </w:r>
    </w:p>
    <w:p w14:paraId="726DB44B" w14:textId="33D94E27" w:rsidR="00FE0853" w:rsidRDefault="00561179" w:rsidP="00634174">
      <w:pPr>
        <w:pStyle w:val="BoxTextBullet"/>
      </w:pPr>
      <w:r>
        <w:t xml:space="preserve">building a safe, diverse, </w:t>
      </w:r>
      <w:proofErr w:type="gramStart"/>
      <w:r>
        <w:t>inclusive</w:t>
      </w:r>
      <w:proofErr w:type="gramEnd"/>
      <w:r>
        <w:t xml:space="preserve"> and high-performing culture united by our purpose and values</w:t>
      </w:r>
    </w:p>
    <w:p w14:paraId="32980EE7" w14:textId="16E9F25F" w:rsidR="00561179" w:rsidRDefault="00561179" w:rsidP="00634174">
      <w:pPr>
        <w:pStyle w:val="BoxTextBullet"/>
      </w:pPr>
      <w:r>
        <w:t>building innovation, digital and technology skills to confidently deliver great services</w:t>
      </w:r>
    </w:p>
    <w:p w14:paraId="2803E740" w14:textId="18AAD5B2" w:rsidR="00561179" w:rsidRDefault="00561179" w:rsidP="00634174">
      <w:pPr>
        <w:pStyle w:val="BoxTextBullet"/>
      </w:pPr>
      <w:r>
        <w:t>harnessing data and analytics to inform decision-making</w:t>
      </w:r>
    </w:p>
    <w:p w14:paraId="6CD4C8DB" w14:textId="6C00A3FA" w:rsidR="00561179" w:rsidRDefault="00561179" w:rsidP="00634174">
      <w:pPr>
        <w:pStyle w:val="BoxTextBullet"/>
      </w:pPr>
      <w:r>
        <w:t>pursuing ways to better connect with our stakeholders, partners, portfolio agencies and communities</w:t>
      </w:r>
    </w:p>
    <w:p w14:paraId="6F9FA3D4" w14:textId="35DAB9F8" w:rsidR="00561179" w:rsidRDefault="00561179" w:rsidP="00634174">
      <w:pPr>
        <w:pStyle w:val="BoxTextBullet"/>
      </w:pPr>
      <w:r>
        <w:t xml:space="preserve">strengthening our cross-cutting science, </w:t>
      </w:r>
      <w:proofErr w:type="gramStart"/>
      <w:r>
        <w:t>information</w:t>
      </w:r>
      <w:proofErr w:type="gramEnd"/>
      <w:r>
        <w:t xml:space="preserve"> and research activities</w:t>
      </w:r>
    </w:p>
    <w:p w14:paraId="231D3603" w14:textId="057FBBDC" w:rsidR="00561179" w:rsidRDefault="00561179" w:rsidP="00634174">
      <w:pPr>
        <w:pStyle w:val="BoxTextBullet"/>
      </w:pPr>
      <w:r>
        <w:t xml:space="preserve">improving financial discipline and sustainability to maximise outcomes from regulation, policy, </w:t>
      </w:r>
      <w:proofErr w:type="gramStart"/>
      <w:r>
        <w:t>programs</w:t>
      </w:r>
      <w:proofErr w:type="gramEnd"/>
      <w:r>
        <w:t xml:space="preserve"> and service delivery</w:t>
      </w:r>
    </w:p>
    <w:p w14:paraId="10568E7D" w14:textId="27A1847C" w:rsidR="00561179" w:rsidRDefault="00561179" w:rsidP="00634174">
      <w:pPr>
        <w:pStyle w:val="BoxTextBullet"/>
      </w:pPr>
      <w:r>
        <w:t xml:space="preserve">strengthening our ability to deliver informed, influential, </w:t>
      </w:r>
      <w:proofErr w:type="gramStart"/>
      <w:r>
        <w:t>integrated</w:t>
      </w:r>
      <w:proofErr w:type="gramEnd"/>
      <w:r>
        <w:t xml:space="preserve"> and innovative policies</w:t>
      </w:r>
    </w:p>
    <w:p w14:paraId="7A645E6D" w14:textId="553A1DE8" w:rsidR="00561179" w:rsidRDefault="00561179" w:rsidP="00634174">
      <w:pPr>
        <w:pStyle w:val="BoxTextBullet"/>
      </w:pPr>
      <w:r>
        <w:t>Building world leading regulation of our agricultural, environmental, heritage and water resources.</w:t>
      </w:r>
    </w:p>
    <w:p w14:paraId="319A3270" w14:textId="0144A7C0" w:rsidR="00561179" w:rsidRDefault="00561179" w:rsidP="00561179">
      <w:pPr>
        <w:pStyle w:val="BoxTextBullet"/>
        <w:numPr>
          <w:ilvl w:val="0"/>
          <w:numId w:val="0"/>
        </w:numPr>
      </w:pPr>
      <w:r>
        <w:t>In developing and realising these core capabilities we will also continue to:</w:t>
      </w:r>
    </w:p>
    <w:p w14:paraId="009A5DEA" w14:textId="77777777" w:rsidR="00561179" w:rsidRDefault="00561179" w:rsidP="00634174">
      <w:pPr>
        <w:pStyle w:val="BoxTextBullet"/>
      </w:pPr>
      <w:r>
        <w:t>provide excellent advice and support to ministers and government</w:t>
      </w:r>
    </w:p>
    <w:p w14:paraId="37A88DBC" w14:textId="676B63A8" w:rsidR="00357C5B" w:rsidRDefault="00561179" w:rsidP="00634174">
      <w:pPr>
        <w:pStyle w:val="BoxTextBullet"/>
      </w:pPr>
      <w:r>
        <w:t xml:space="preserve">collaborate across government to capture, </w:t>
      </w:r>
      <w:proofErr w:type="gramStart"/>
      <w:r>
        <w:t>analyse</w:t>
      </w:r>
      <w:proofErr w:type="gramEnd"/>
      <w:r>
        <w:t xml:space="preserve"> and apply intelligence </w:t>
      </w:r>
    </w:p>
    <w:p w14:paraId="6BDD7317" w14:textId="749FA5DC" w:rsidR="00357C5B" w:rsidRDefault="00561179" w:rsidP="00561179">
      <w:pPr>
        <w:pStyle w:val="BoxTextBullet"/>
      </w:pPr>
      <w:r>
        <w:t>r</w:t>
      </w:r>
      <w:r w:rsidR="00357C5B" w:rsidRPr="0045452F">
        <w:t xml:space="preserve">espect and </w:t>
      </w:r>
      <w:r>
        <w:t>engage with</w:t>
      </w:r>
      <w:r w:rsidR="00357C5B" w:rsidRPr="0045452F">
        <w:t xml:space="preserve"> Aboriginal and Torres Strait Islander peoples, their culture, history and ongoing connection to the land, </w:t>
      </w:r>
      <w:proofErr w:type="gramStart"/>
      <w:r w:rsidR="00357C5B" w:rsidRPr="0045452F">
        <w:t>sea</w:t>
      </w:r>
      <w:proofErr w:type="gramEnd"/>
      <w:r w:rsidR="00357C5B" w:rsidRPr="0045452F">
        <w:t xml:space="preserve"> and community</w:t>
      </w:r>
      <w:r>
        <w:t>.</w:t>
      </w:r>
    </w:p>
    <w:p w14:paraId="20611F91" w14:textId="45989D39" w:rsidR="00A87D8B" w:rsidRPr="0045452F" w:rsidRDefault="00F60A17" w:rsidP="00A87D8B">
      <w:pPr>
        <w:pStyle w:val="ListBullet"/>
        <w:numPr>
          <w:ilvl w:val="0"/>
          <w:numId w:val="0"/>
        </w:numPr>
      </w:pPr>
      <w:r w:rsidRPr="00D53579">
        <w:t>O</w:t>
      </w:r>
      <w:r w:rsidR="00A87D8B" w:rsidRPr="00D53579">
        <w:t xml:space="preserve">ur Future Department Blueprint </w:t>
      </w:r>
      <w:r w:rsidR="00191CAA" w:rsidRPr="00D53579">
        <w:t>provides greater detail</w:t>
      </w:r>
      <w:r w:rsidRPr="00D53579">
        <w:t xml:space="preserve"> </w:t>
      </w:r>
      <w:r w:rsidR="00191CAA" w:rsidRPr="00D53579">
        <w:t xml:space="preserve">on </w:t>
      </w:r>
      <w:r w:rsidR="00A87D8B" w:rsidRPr="00D53579">
        <w:t>how we are transforming our capabilities to meet the demands of an increasingly connected, changing and complex world.</w:t>
      </w:r>
    </w:p>
    <w:p w14:paraId="2E0C0A02" w14:textId="7852A574" w:rsidR="00FE0853" w:rsidRDefault="003857B7" w:rsidP="00842063">
      <w:pPr>
        <w:pStyle w:val="Heading3"/>
      </w:pPr>
      <w:bookmarkStart w:id="80" w:name="_Toc76550806"/>
      <w:bookmarkStart w:id="81" w:name="_Toc76972895"/>
      <w:bookmarkStart w:id="82" w:name="_Toc79585798"/>
      <w:r>
        <w:t xml:space="preserve">People, </w:t>
      </w:r>
      <w:proofErr w:type="gramStart"/>
      <w:r w:rsidR="00561179">
        <w:t>culture</w:t>
      </w:r>
      <w:proofErr w:type="gramEnd"/>
      <w:r w:rsidR="00561179">
        <w:t xml:space="preserve"> and </w:t>
      </w:r>
      <w:r>
        <w:t>leadership</w:t>
      </w:r>
      <w:bookmarkEnd w:id="80"/>
      <w:bookmarkEnd w:id="81"/>
      <w:bookmarkEnd w:id="82"/>
      <w:r w:rsidR="00357C5B">
        <w:t xml:space="preserve"> </w:t>
      </w:r>
    </w:p>
    <w:p w14:paraId="1EE8BEAD" w14:textId="59F0EC59" w:rsidR="00FE0853" w:rsidRDefault="0045452F" w:rsidP="00FE0853">
      <w:r>
        <w:t>Effective l</w:t>
      </w:r>
      <w:r w:rsidR="003857B7">
        <w:t>ead</w:t>
      </w:r>
      <w:r w:rsidR="00D40DC4">
        <w:t>ership and</w:t>
      </w:r>
      <w:r>
        <w:t xml:space="preserve"> a positive</w:t>
      </w:r>
      <w:r w:rsidR="00D40DC4">
        <w:t xml:space="preserve"> </w:t>
      </w:r>
      <w:r w:rsidR="00C55524">
        <w:t>culture</w:t>
      </w:r>
      <w:r w:rsidR="003857B7">
        <w:t xml:space="preserve"> </w:t>
      </w:r>
      <w:r w:rsidR="00D40DC4">
        <w:t xml:space="preserve">help </w:t>
      </w:r>
      <w:r w:rsidR="003857B7">
        <w:t>our workforce to thrive</w:t>
      </w:r>
      <w:r w:rsidR="00D40DC4">
        <w:t xml:space="preserve">. </w:t>
      </w:r>
      <w:r w:rsidR="003857B7">
        <w:t xml:space="preserve">We </w:t>
      </w:r>
      <w:r w:rsidR="005A1BA3">
        <w:t xml:space="preserve">continue to integrate people strategies, policies, guidance and initiatives to </w:t>
      </w:r>
      <w:r w:rsidR="003857B7">
        <w:t xml:space="preserve">build the capability of our </w:t>
      </w:r>
      <w:r w:rsidR="00EA642D">
        <w:t>people</w:t>
      </w:r>
      <w:r w:rsidR="003857B7">
        <w:t>.</w:t>
      </w:r>
    </w:p>
    <w:p w14:paraId="61E7C56B" w14:textId="38DFEEAB" w:rsidR="00FE0853" w:rsidRDefault="0013411A" w:rsidP="00FE0853">
      <w:hyperlink w:anchor="_Our_values_and_1" w:history="1">
        <w:r w:rsidR="005A1BA3" w:rsidRPr="00AE109D">
          <w:rPr>
            <w:rStyle w:val="Hyperlink"/>
          </w:rPr>
          <w:t>O</w:t>
        </w:r>
        <w:r w:rsidR="005A1BA3" w:rsidRPr="004070F7">
          <w:rPr>
            <w:rStyle w:val="Hyperlink"/>
          </w:rPr>
          <w:t xml:space="preserve">ur </w:t>
        </w:r>
        <w:r w:rsidR="005A1BA3" w:rsidRPr="00AE109D">
          <w:rPr>
            <w:rStyle w:val="Hyperlink"/>
          </w:rPr>
          <w:t>C</w:t>
        </w:r>
        <w:r w:rsidR="005A1BA3" w:rsidRPr="004070F7">
          <w:rPr>
            <w:rStyle w:val="Hyperlink"/>
          </w:rPr>
          <w:t>ore</w:t>
        </w:r>
        <w:r w:rsidR="003E49F5">
          <w:rPr>
            <w:rStyle w:val="Hyperlink"/>
          </w:rPr>
          <w:t> </w:t>
        </w:r>
        <w:r w:rsidR="005A1BA3" w:rsidRPr="00AE109D">
          <w:rPr>
            <w:rStyle w:val="Hyperlink"/>
          </w:rPr>
          <w:t>4 value</w:t>
        </w:r>
        <w:r w:rsidR="005A1BA3">
          <w:rPr>
            <w:rStyle w:val="Hyperlink"/>
          </w:rPr>
          <w:t>s and principles</w:t>
        </w:r>
      </w:hyperlink>
      <w:r w:rsidR="00230E90">
        <w:t xml:space="preserve"> </w:t>
      </w:r>
      <w:r w:rsidR="005A1BA3">
        <w:t xml:space="preserve">are </w:t>
      </w:r>
      <w:r w:rsidR="00230E90">
        <w:t>specific to our department and</w:t>
      </w:r>
      <w:r w:rsidR="003857B7">
        <w:t xml:space="preserve"> aligned to the </w:t>
      </w:r>
      <w:r w:rsidR="003E49F5">
        <w:t>APS </w:t>
      </w:r>
      <w:r w:rsidR="003857B7">
        <w:t>Values</w:t>
      </w:r>
      <w:r w:rsidR="005A1BA3">
        <w:t>. They</w:t>
      </w:r>
      <w:r w:rsidR="003857B7">
        <w:t xml:space="preserve"> underpin our culture</w:t>
      </w:r>
      <w:r w:rsidR="005A1BA3">
        <w:t xml:space="preserve"> and </w:t>
      </w:r>
      <w:r w:rsidR="003857B7">
        <w:t xml:space="preserve">reflect </w:t>
      </w:r>
      <w:r w:rsidR="00C55524">
        <w:t>how</w:t>
      </w:r>
      <w:r w:rsidR="003857B7">
        <w:t xml:space="preserve"> we work together</w:t>
      </w:r>
      <w:r w:rsidR="005A1BA3">
        <w:t xml:space="preserve">. </w:t>
      </w:r>
      <w:r w:rsidR="00D622BB">
        <w:t>We</w:t>
      </w:r>
      <w:r w:rsidR="003857B7">
        <w:t xml:space="preserve"> embrace courage, excellence and diversity while maintaining integrity and ensuring the safety of </w:t>
      </w:r>
      <w:r w:rsidR="00D622BB">
        <w:t>our workers</w:t>
      </w:r>
      <w:r w:rsidR="00C55524">
        <w:t xml:space="preserve"> </w:t>
      </w:r>
      <w:r w:rsidR="003857B7">
        <w:t>and visitors.</w:t>
      </w:r>
    </w:p>
    <w:p w14:paraId="138D7A28" w14:textId="71F0063D" w:rsidR="00FE0853" w:rsidRDefault="003857B7" w:rsidP="00FE0853">
      <w:r>
        <w:t>Integrity-based behaviour and decision-making is fundamental to the way we operate, particularly in our regulatory roles. Through our integrity framework</w:t>
      </w:r>
      <w:r w:rsidR="005A1BA3">
        <w:t>,</w:t>
      </w:r>
      <w:r>
        <w:t xml:space="preserve"> we identify integrity risks </w:t>
      </w:r>
      <w:r>
        <w:lastRenderedPageBreak/>
        <w:t xml:space="preserve">and effective controls. We educate </w:t>
      </w:r>
      <w:r w:rsidR="0045452F">
        <w:t>our people</w:t>
      </w:r>
      <w:r>
        <w:t xml:space="preserve"> about fraud and corruption</w:t>
      </w:r>
      <w:r w:rsidR="005A1BA3">
        <w:t>. We</w:t>
      </w:r>
      <w:r>
        <w:t xml:space="preserve"> embrace and promote a pro-integrity culture that is ethical, fair and appropriate</w:t>
      </w:r>
      <w:r w:rsidR="00D622BB">
        <w:t xml:space="preserve">, </w:t>
      </w:r>
      <w:r>
        <w:t>by maintaining high standards of professionalism, accountability and ethical behaviour.</w:t>
      </w:r>
    </w:p>
    <w:p w14:paraId="359413AB" w14:textId="1B68951E" w:rsidR="00FE0853" w:rsidRDefault="003857B7" w:rsidP="00FE0853">
      <w:r>
        <w:t xml:space="preserve">Our </w:t>
      </w:r>
      <w:r w:rsidRPr="00792CEA">
        <w:rPr>
          <w:i/>
          <w:iCs/>
        </w:rPr>
        <w:t>Workforce Strategy and Action Plan</w:t>
      </w:r>
      <w:r w:rsidR="007C312F" w:rsidRPr="00792CEA">
        <w:rPr>
          <w:i/>
          <w:iCs/>
        </w:rPr>
        <w:t> </w:t>
      </w:r>
      <w:r w:rsidRPr="00792CEA">
        <w:rPr>
          <w:i/>
          <w:iCs/>
        </w:rPr>
        <w:t>2021</w:t>
      </w:r>
      <w:r w:rsidR="005A1BA3" w:rsidRPr="00792CEA">
        <w:rPr>
          <w:i/>
          <w:iCs/>
        </w:rPr>
        <w:t>–</w:t>
      </w:r>
      <w:r w:rsidRPr="00792CEA">
        <w:rPr>
          <w:i/>
          <w:iCs/>
        </w:rPr>
        <w:t>2025</w:t>
      </w:r>
      <w:r>
        <w:t xml:space="preserve"> identifies the capabilities </w:t>
      </w:r>
      <w:r w:rsidR="005A1BA3">
        <w:t xml:space="preserve">we </w:t>
      </w:r>
      <w:r>
        <w:t xml:space="preserve">need to achieve our purpose and objectives. </w:t>
      </w:r>
      <w:r w:rsidR="005A1BA3">
        <w:t xml:space="preserve">It will guide development of </w:t>
      </w:r>
      <w:r>
        <w:t xml:space="preserve">a workforce </w:t>
      </w:r>
      <w:r w:rsidR="005A1BA3">
        <w:t xml:space="preserve">with </w:t>
      </w:r>
      <w:r>
        <w:t xml:space="preserve">the right skills and employment types in the right </w:t>
      </w:r>
      <w:proofErr w:type="gramStart"/>
      <w:r>
        <w:t xml:space="preserve">locations, </w:t>
      </w:r>
      <w:r w:rsidR="005A1BA3">
        <w:t>and</w:t>
      </w:r>
      <w:proofErr w:type="gramEnd"/>
      <w:r w:rsidR="005A1BA3">
        <w:t xml:space="preserve"> </w:t>
      </w:r>
      <w:r>
        <w:t xml:space="preserve">managed within our budget. </w:t>
      </w:r>
      <w:r w:rsidR="00C6663A">
        <w:t>We have</w:t>
      </w:r>
      <w:r>
        <w:t xml:space="preserve"> 7</w:t>
      </w:r>
      <w:r w:rsidR="007C312F">
        <w:t> </w:t>
      </w:r>
      <w:r>
        <w:t>priority</w:t>
      </w:r>
      <w:r w:rsidR="005A1BA3">
        <w:t xml:space="preserve"> areas</w:t>
      </w:r>
      <w:r>
        <w:t>:</w:t>
      </w:r>
    </w:p>
    <w:p w14:paraId="0CC3575F" w14:textId="2D37B2A2" w:rsidR="00FE0853" w:rsidRPr="005A1BA3" w:rsidRDefault="003857B7" w:rsidP="00C6663A">
      <w:pPr>
        <w:pStyle w:val="ListBullet"/>
      </w:pPr>
      <w:r w:rsidRPr="00792CEA">
        <w:rPr>
          <w:rStyle w:val="Heading5Char"/>
          <w:rFonts w:ascii="Cambria" w:hAnsi="Cambria"/>
          <w:b w:val="0"/>
          <w:bCs w:val="0"/>
          <w:sz w:val="22"/>
        </w:rPr>
        <w:t>People-centric systems</w:t>
      </w:r>
      <w:r w:rsidR="005A1BA3">
        <w:rPr>
          <w:rStyle w:val="Heading5Char"/>
          <w:b w:val="0"/>
          <w:bCs w:val="0"/>
        </w:rPr>
        <w:t>: i</w:t>
      </w:r>
      <w:r w:rsidRPr="005A1BA3">
        <w:t xml:space="preserve">ntegrating human resources systems and data for </w:t>
      </w:r>
      <w:r w:rsidR="00387C8D">
        <w:t>enhanced</w:t>
      </w:r>
      <w:r w:rsidR="00387C8D" w:rsidRPr="005A1BA3">
        <w:t xml:space="preserve"> </w:t>
      </w:r>
      <w:r w:rsidRPr="005A1BA3">
        <w:t>reporting and planning.</w:t>
      </w:r>
    </w:p>
    <w:p w14:paraId="3CFB9F98" w14:textId="202C4F38" w:rsidR="00FE0853" w:rsidRPr="005A1BA3" w:rsidRDefault="005A1BA3" w:rsidP="00EA68C8">
      <w:pPr>
        <w:pStyle w:val="ListBullet"/>
      </w:pPr>
      <w:r>
        <w:rPr>
          <w:rStyle w:val="Heading5Char"/>
          <w:b w:val="0"/>
          <w:bCs w:val="0"/>
        </w:rPr>
        <w:t>W</w:t>
      </w:r>
      <w:r w:rsidR="003857B7" w:rsidRPr="00387C8D">
        <w:rPr>
          <w:rStyle w:val="Heading5Char"/>
          <w:rFonts w:ascii="Cambria" w:hAnsi="Cambria"/>
          <w:b w:val="0"/>
          <w:bCs w:val="0"/>
          <w:sz w:val="22"/>
        </w:rPr>
        <w:t>orkforce needs</w:t>
      </w:r>
      <w:r>
        <w:rPr>
          <w:rStyle w:val="Heading5Char"/>
          <w:b w:val="0"/>
          <w:bCs w:val="0"/>
        </w:rPr>
        <w:t>:</w:t>
      </w:r>
      <w:r w:rsidR="00480C03" w:rsidRPr="005A1BA3">
        <w:t xml:space="preserve"> </w:t>
      </w:r>
      <w:r w:rsidR="00387C8D">
        <w:t>improv</w:t>
      </w:r>
      <w:r w:rsidR="00F00B6E">
        <w:t>ing</w:t>
      </w:r>
      <w:r w:rsidR="003857B7" w:rsidRPr="005A1BA3">
        <w:t xml:space="preserve"> </w:t>
      </w:r>
      <w:r w:rsidRPr="00730A20">
        <w:t xml:space="preserve">strategic and tactical </w:t>
      </w:r>
      <w:r w:rsidR="003857B7" w:rsidRPr="005A1BA3">
        <w:t>workforce planning to help manage enterprise and workforce risk.</w:t>
      </w:r>
    </w:p>
    <w:p w14:paraId="1C265A05" w14:textId="0A1C5E75" w:rsidR="00FE0853" w:rsidRPr="005A1BA3" w:rsidRDefault="005A1BA3" w:rsidP="00EA68C8">
      <w:pPr>
        <w:pStyle w:val="ListBullet"/>
      </w:pPr>
      <w:r>
        <w:rPr>
          <w:rStyle w:val="Heading5Char"/>
          <w:b w:val="0"/>
          <w:bCs w:val="0"/>
        </w:rPr>
        <w:t>S</w:t>
      </w:r>
      <w:r w:rsidR="003857B7" w:rsidRPr="00387C8D">
        <w:rPr>
          <w:rStyle w:val="Heading5Char"/>
          <w:rFonts w:ascii="Cambria" w:hAnsi="Cambria"/>
          <w:b w:val="0"/>
          <w:bCs w:val="0"/>
          <w:sz w:val="22"/>
        </w:rPr>
        <w:t>urge and mobility</w:t>
      </w:r>
      <w:r w:rsidRPr="005A1BA3">
        <w:rPr>
          <w:rStyle w:val="Heading5Char"/>
          <w:b w:val="0"/>
          <w:bCs w:val="0"/>
        </w:rPr>
        <w:t xml:space="preserve"> </w:t>
      </w:r>
      <w:r w:rsidRPr="008D1580">
        <w:rPr>
          <w:rStyle w:val="Heading5Char"/>
          <w:rFonts w:ascii="Cambria" w:hAnsi="Cambria"/>
          <w:b w:val="0"/>
          <w:bCs w:val="0"/>
          <w:sz w:val="22"/>
        </w:rPr>
        <w:t>capacity</w:t>
      </w:r>
      <w:r>
        <w:rPr>
          <w:rStyle w:val="Heading5Char"/>
          <w:b w:val="0"/>
          <w:bCs w:val="0"/>
        </w:rPr>
        <w:t>:</w:t>
      </w:r>
      <w:r w:rsidR="003857B7" w:rsidRPr="005A1BA3">
        <w:t xml:space="preserve"> </w:t>
      </w:r>
      <w:r>
        <w:t>u</w:t>
      </w:r>
      <w:r w:rsidRPr="00C6663A">
        <w:t xml:space="preserve">sing </w:t>
      </w:r>
      <w:r w:rsidR="003857B7" w:rsidRPr="005A1BA3">
        <w:t>lessons from the COVID-19 pandemic to ensure we are ready to respond to rapid chang</w:t>
      </w:r>
      <w:r w:rsidR="00387C8D">
        <w:t>es in our</w:t>
      </w:r>
      <w:r w:rsidR="003857B7" w:rsidRPr="005A1BA3">
        <w:t xml:space="preserve"> operati</w:t>
      </w:r>
      <w:r w:rsidR="00387C8D">
        <w:t>ng</w:t>
      </w:r>
      <w:r w:rsidR="003857B7" w:rsidRPr="005A1BA3">
        <w:t xml:space="preserve"> environment.</w:t>
      </w:r>
    </w:p>
    <w:p w14:paraId="06583674" w14:textId="2A41718F" w:rsidR="00FE0853" w:rsidRPr="005A1BA3" w:rsidRDefault="003857B7" w:rsidP="00E66100">
      <w:pPr>
        <w:pStyle w:val="ListBullet"/>
      </w:pPr>
      <w:r w:rsidRPr="00792CEA">
        <w:rPr>
          <w:rStyle w:val="Heading5Char"/>
          <w:rFonts w:ascii="Cambria" w:hAnsi="Cambria"/>
          <w:b w:val="0"/>
          <w:bCs w:val="0"/>
          <w:sz w:val="22"/>
        </w:rPr>
        <w:t>Holistic workforce capabilit</w:t>
      </w:r>
      <w:r w:rsidR="005A1BA3">
        <w:rPr>
          <w:rStyle w:val="Heading5Char"/>
          <w:b w:val="0"/>
          <w:bCs w:val="0"/>
        </w:rPr>
        <w:t>y:</w:t>
      </w:r>
      <w:r w:rsidRPr="00C6663A">
        <w:t xml:space="preserve"> </w:t>
      </w:r>
      <w:r w:rsidR="005A1BA3">
        <w:t>d</w:t>
      </w:r>
      <w:r w:rsidR="005A1BA3" w:rsidRPr="00C6663A">
        <w:t xml:space="preserve">eveloping </w:t>
      </w:r>
      <w:r w:rsidRPr="00EA68C8">
        <w:t xml:space="preserve">a comprehensive </w:t>
      </w:r>
      <w:r w:rsidRPr="005A1BA3">
        <w:t>capability framework and a talent and succession management strategy to support future workforce requirements.</w:t>
      </w:r>
    </w:p>
    <w:p w14:paraId="012DC24E" w14:textId="3E19E21D" w:rsidR="00FE0853" w:rsidRPr="005A1BA3" w:rsidRDefault="003857B7" w:rsidP="00E66100">
      <w:pPr>
        <w:pStyle w:val="ListBullet"/>
      </w:pPr>
      <w:r w:rsidRPr="00792CEA">
        <w:rPr>
          <w:rStyle w:val="Heading5Char"/>
          <w:rFonts w:ascii="Cambria" w:hAnsi="Cambria"/>
          <w:b w:val="0"/>
          <w:bCs w:val="0"/>
          <w:sz w:val="22"/>
        </w:rPr>
        <w:t>Organisational design</w:t>
      </w:r>
      <w:r w:rsidR="005A1BA3">
        <w:rPr>
          <w:rStyle w:val="Heading5Char"/>
          <w:b w:val="0"/>
          <w:bCs w:val="0"/>
        </w:rPr>
        <w:t>:</w:t>
      </w:r>
      <w:r w:rsidRPr="00C6663A">
        <w:t xml:space="preserve"> </w:t>
      </w:r>
      <w:r w:rsidR="005A1BA3">
        <w:t>b</w:t>
      </w:r>
      <w:r w:rsidR="005A1BA3" w:rsidRPr="00C6663A">
        <w:t xml:space="preserve">uilding </w:t>
      </w:r>
      <w:r w:rsidR="00C55524">
        <w:t>an</w:t>
      </w:r>
      <w:r w:rsidR="00C55524" w:rsidRPr="00EA68C8">
        <w:t xml:space="preserve"> </w:t>
      </w:r>
      <w:r w:rsidRPr="00EA68C8">
        <w:t>organisational design capability, including a</w:t>
      </w:r>
      <w:r w:rsidRPr="005A1BA3">
        <w:t xml:space="preserve"> </w:t>
      </w:r>
      <w:r w:rsidR="005A1BA3" w:rsidRPr="005A72D3">
        <w:t>policy and framework</w:t>
      </w:r>
      <w:r w:rsidR="005A1BA3" w:rsidRPr="00C6663A" w:rsidDel="005A1BA3">
        <w:t xml:space="preserve"> </w:t>
      </w:r>
      <w:r w:rsidR="005A1BA3">
        <w:t>for e</w:t>
      </w:r>
      <w:r w:rsidR="005A1BA3" w:rsidRPr="00C6663A">
        <w:t xml:space="preserve">stablishments </w:t>
      </w:r>
      <w:r w:rsidRPr="00EA68C8">
        <w:t xml:space="preserve">and </w:t>
      </w:r>
      <w:r w:rsidR="005A1BA3">
        <w:t>o</w:t>
      </w:r>
      <w:r w:rsidR="005A1BA3" w:rsidRPr="00C6663A">
        <w:t xml:space="preserve">rganisational </w:t>
      </w:r>
      <w:r w:rsidR="005A1BA3">
        <w:t>d</w:t>
      </w:r>
      <w:r w:rsidR="005A1BA3" w:rsidRPr="00C6663A">
        <w:t>esign</w:t>
      </w:r>
      <w:r w:rsidRPr="005A1BA3">
        <w:t>.</w:t>
      </w:r>
    </w:p>
    <w:p w14:paraId="5383ECB9" w14:textId="4003C172" w:rsidR="00FE0853" w:rsidRPr="005A1BA3" w:rsidRDefault="00C6663A" w:rsidP="00607279">
      <w:pPr>
        <w:pStyle w:val="ListBullet"/>
      </w:pPr>
      <w:r>
        <w:rPr>
          <w:rStyle w:val="Heading5Char"/>
          <w:b w:val="0"/>
          <w:bCs w:val="0"/>
        </w:rPr>
        <w:t>V</w:t>
      </w:r>
      <w:r w:rsidR="003857B7" w:rsidRPr="00387C8D">
        <w:rPr>
          <w:rStyle w:val="Heading5Char"/>
          <w:rFonts w:ascii="Cambria" w:hAnsi="Cambria"/>
          <w:b w:val="0"/>
          <w:bCs w:val="0"/>
          <w:sz w:val="22"/>
        </w:rPr>
        <w:t>aried workforce model</w:t>
      </w:r>
      <w:r>
        <w:rPr>
          <w:rStyle w:val="Heading5Char"/>
          <w:b w:val="0"/>
          <w:bCs w:val="0"/>
        </w:rPr>
        <w:t>:</w:t>
      </w:r>
      <w:r w:rsidR="003857B7" w:rsidRPr="00C6663A">
        <w:t xml:space="preserve"> </w:t>
      </w:r>
      <w:r>
        <w:t>e</w:t>
      </w:r>
      <w:r w:rsidR="003857B7" w:rsidRPr="005A1BA3">
        <w:t>nhancing workplace flexibility, developing new recruitment strategies and expanding partnerships with businesses, universities and other organisations.</w:t>
      </w:r>
    </w:p>
    <w:p w14:paraId="071D4C81" w14:textId="67691B99" w:rsidR="00FE0853" w:rsidRPr="005A1BA3" w:rsidRDefault="00C6663A" w:rsidP="00607279">
      <w:pPr>
        <w:pStyle w:val="ListBullet"/>
      </w:pPr>
      <w:r>
        <w:rPr>
          <w:rStyle w:val="Heading5Char"/>
          <w:b w:val="0"/>
          <w:bCs w:val="0"/>
        </w:rPr>
        <w:t>W</w:t>
      </w:r>
      <w:r w:rsidR="003857B7" w:rsidRPr="00387C8D">
        <w:rPr>
          <w:rStyle w:val="Heading5Char"/>
          <w:rFonts w:ascii="Cambria" w:hAnsi="Cambria"/>
          <w:b w:val="0"/>
          <w:bCs w:val="0"/>
          <w:sz w:val="22"/>
        </w:rPr>
        <w:t>ork health and safety</w:t>
      </w:r>
      <w:r>
        <w:rPr>
          <w:rStyle w:val="Heading5Char"/>
          <w:b w:val="0"/>
          <w:bCs w:val="0"/>
        </w:rPr>
        <w:t>:</w:t>
      </w:r>
      <w:r w:rsidR="003857B7" w:rsidRPr="00C6663A">
        <w:t xml:space="preserve"> </w:t>
      </w:r>
      <w:r>
        <w:t>i</w:t>
      </w:r>
      <w:r w:rsidR="003857B7" w:rsidRPr="005A1BA3">
        <w:t xml:space="preserve">mproving systems </w:t>
      </w:r>
      <w:r>
        <w:t>for</w:t>
      </w:r>
      <w:r w:rsidRPr="00C6663A">
        <w:t xml:space="preserve"> </w:t>
      </w:r>
      <w:r w:rsidR="003857B7" w:rsidRPr="005A1BA3">
        <w:t xml:space="preserve">the mental and physical health and safety of our </w:t>
      </w:r>
      <w:r w:rsidR="00387C8D">
        <w:t>people across our diverse range of workplaces. This</w:t>
      </w:r>
      <w:r>
        <w:t xml:space="preserve"> </w:t>
      </w:r>
      <w:r w:rsidR="003857B7" w:rsidRPr="005A1BA3">
        <w:t>includ</w:t>
      </w:r>
      <w:r w:rsidR="00387C8D">
        <w:t>es</w:t>
      </w:r>
      <w:r w:rsidR="003857B7" w:rsidRPr="005A1BA3">
        <w:t xml:space="preserve"> </w:t>
      </w:r>
      <w:r>
        <w:t>pandemic</w:t>
      </w:r>
      <w:r w:rsidRPr="00C6663A">
        <w:t xml:space="preserve"> </w:t>
      </w:r>
      <w:r w:rsidR="003857B7" w:rsidRPr="00EA68C8">
        <w:t xml:space="preserve">responses </w:t>
      </w:r>
      <w:r w:rsidR="003857B7" w:rsidRPr="005A1BA3">
        <w:t>and embedding dynamic risk identification and control</w:t>
      </w:r>
      <w:r>
        <w:t xml:space="preserve"> practices </w:t>
      </w:r>
      <w:r w:rsidR="003857B7" w:rsidRPr="005A1BA3">
        <w:t>to minimise health, safety and wellbeing impacts.</w:t>
      </w:r>
    </w:p>
    <w:p w14:paraId="7BD2326B" w14:textId="6B607634" w:rsidR="00C6663A" w:rsidRDefault="00C6663A" w:rsidP="007F6EC0">
      <w:r>
        <w:t xml:space="preserve">We continue to embed inclusion in all that we do. Our </w:t>
      </w:r>
      <w:r w:rsidR="003857B7" w:rsidRPr="00056676">
        <w:t>Diversity and Inclusion Strategy</w:t>
      </w:r>
      <w:r w:rsidR="003857B7">
        <w:t xml:space="preserve"> </w:t>
      </w:r>
      <w:r>
        <w:t xml:space="preserve">encourages </w:t>
      </w:r>
      <w:r w:rsidR="003857B7">
        <w:t xml:space="preserve">every </w:t>
      </w:r>
      <w:r>
        <w:t xml:space="preserve">person to </w:t>
      </w:r>
      <w:r w:rsidR="003857B7">
        <w:t>contribute and bring their authentic self to work</w:t>
      </w:r>
      <w:r w:rsidR="007F6EC0">
        <w:t>. Our</w:t>
      </w:r>
      <w:r w:rsidR="003857B7">
        <w:t xml:space="preserve"> Mental Health and Wellbeing Strategy </w:t>
      </w:r>
      <w:r w:rsidR="007F6EC0">
        <w:t>will</w:t>
      </w:r>
      <w:r w:rsidR="003857B7">
        <w:t xml:space="preserve"> enable people to thrive in our workplaces and throughout their careers with us</w:t>
      </w:r>
      <w:r w:rsidR="007F6EC0">
        <w:t>.</w:t>
      </w:r>
    </w:p>
    <w:p w14:paraId="0A0CA0E5" w14:textId="63238DE3" w:rsidR="00FE0853" w:rsidRDefault="00C6663A" w:rsidP="007F6EC0">
      <w:r>
        <w:t>O</w:t>
      </w:r>
      <w:r w:rsidR="003857B7">
        <w:t xml:space="preserve">ur </w:t>
      </w:r>
      <w:hyperlink r:id="rId47" w:history="1">
        <w:r w:rsidR="003857B7" w:rsidRPr="00063BCD">
          <w:rPr>
            <w:rStyle w:val="Hyperlink"/>
          </w:rPr>
          <w:t>Reconciliation Action Plan</w:t>
        </w:r>
        <w:r w:rsidR="007C312F" w:rsidRPr="00063BCD">
          <w:rPr>
            <w:rStyle w:val="Hyperlink"/>
          </w:rPr>
          <w:t> </w:t>
        </w:r>
        <w:r w:rsidR="003857B7" w:rsidRPr="00063BCD">
          <w:rPr>
            <w:rStyle w:val="Hyperlink"/>
          </w:rPr>
          <w:t>2021–24</w:t>
        </w:r>
      </w:hyperlink>
      <w:r w:rsidR="003857B7">
        <w:t xml:space="preserve"> </w:t>
      </w:r>
      <w:r w:rsidR="007F6EC0">
        <w:t>will help us</w:t>
      </w:r>
      <w:r w:rsidR="003857B7">
        <w:t xml:space="preserve"> </w:t>
      </w:r>
      <w:r>
        <w:t xml:space="preserve">to </w:t>
      </w:r>
      <w:r w:rsidR="003857B7">
        <w:t>understand, recognise, celebrate, value and respect Aboriginal and Torres Strait Islander peoples, their culture and communities</w:t>
      </w:r>
      <w:r>
        <w:t xml:space="preserve">. We continue to value </w:t>
      </w:r>
      <w:r w:rsidR="003857B7">
        <w:t>the contribution that our Indigenous staff bring to our department.</w:t>
      </w:r>
    </w:p>
    <w:p w14:paraId="2185353A" w14:textId="29279B01" w:rsidR="00FE0853" w:rsidRDefault="003857B7" w:rsidP="008952F8">
      <w:pPr>
        <w:pStyle w:val="Heading3"/>
      </w:pPr>
      <w:bookmarkStart w:id="83" w:name="_Toc76550807"/>
      <w:bookmarkStart w:id="84" w:name="_Toc76972896"/>
      <w:bookmarkStart w:id="85" w:name="_Toc79585799"/>
      <w:r>
        <w:t>Partner</w:t>
      </w:r>
      <w:r w:rsidR="00561179">
        <w:t>ships</w:t>
      </w:r>
      <w:r>
        <w:t xml:space="preserve"> and stakeholder engagement</w:t>
      </w:r>
      <w:bookmarkEnd w:id="83"/>
      <w:bookmarkEnd w:id="84"/>
      <w:bookmarkEnd w:id="85"/>
    </w:p>
    <w:p w14:paraId="3C64A222" w14:textId="2EC00694" w:rsidR="00A42050" w:rsidRDefault="00A42050" w:rsidP="00FE0853">
      <w:r>
        <w:t xml:space="preserve">We work </w:t>
      </w:r>
      <w:r w:rsidR="003857B7">
        <w:t xml:space="preserve">with and through other organisations </w:t>
      </w:r>
      <w:r>
        <w:t xml:space="preserve">to </w:t>
      </w:r>
      <w:r w:rsidR="003857B7">
        <w:t>achieve our purpose and objectives.</w:t>
      </w:r>
    </w:p>
    <w:p w14:paraId="0E57C937" w14:textId="040AC688" w:rsidR="00FE0853" w:rsidRDefault="003857B7" w:rsidP="00FE0853">
      <w:r>
        <w:t>Our stakeholders and partners (</w:t>
      </w:r>
      <w:r w:rsidR="0068351B">
        <w:t>Figure </w:t>
      </w:r>
      <w:r w:rsidR="0068351B">
        <w:rPr>
          <w:noProof/>
        </w:rPr>
        <w:t>8</w:t>
      </w:r>
      <w:r>
        <w:t>) include other government agencies, industry peak bodies, universities and research organisations, farmers and other primary producers</w:t>
      </w:r>
      <w:r w:rsidR="00623E50">
        <w:t>, industry</w:t>
      </w:r>
      <w:r>
        <w:t xml:space="preserve"> and the community. We work across government to capture, analyse and apply intelligence that will enhance delivery of our services</w:t>
      </w:r>
      <w:r w:rsidR="00623E50">
        <w:t>. W</w:t>
      </w:r>
      <w:r>
        <w:t>e actively pursue ways to better connect with our stakeholders, partners and communities.</w:t>
      </w:r>
    </w:p>
    <w:p w14:paraId="58CEFFF9" w14:textId="1B1759A1" w:rsidR="00FE0853" w:rsidRDefault="0068351B" w:rsidP="00842063">
      <w:pPr>
        <w:pStyle w:val="Caption"/>
      </w:pPr>
      <w:bookmarkStart w:id="86" w:name="_Ref75853642"/>
      <w:bookmarkStart w:id="87" w:name="_Toc77254393"/>
      <w:r>
        <w:lastRenderedPageBreak/>
        <w:t>Figure </w:t>
      </w:r>
      <w:r w:rsidR="001F07E6">
        <w:rPr>
          <w:noProof/>
        </w:rPr>
        <w:t>8</w:t>
      </w:r>
      <w:bookmarkEnd w:id="86"/>
      <w:r w:rsidR="003857B7">
        <w:t xml:space="preserve"> Our stakeholders</w:t>
      </w:r>
      <w:r w:rsidR="00110CE8">
        <w:t xml:space="preserve"> and partners</w:t>
      </w:r>
      <w:bookmarkEnd w:id="87"/>
    </w:p>
    <w:p w14:paraId="183EC7C1" w14:textId="0D302A06" w:rsidR="00FE0853" w:rsidRDefault="00824119" w:rsidP="00842063">
      <w:pPr>
        <w:pStyle w:val="Picture"/>
      </w:pPr>
      <w:r>
        <w:drawing>
          <wp:inline distT="0" distB="0" distL="0" distR="0" wp14:anchorId="0BC8E09B" wp14:editId="0FFD1B12">
            <wp:extent cx="5759450" cy="5035550"/>
            <wp:effectExtent l="0" t="0" r="0" b="0"/>
            <wp:docPr id="12" name="Picture 12" descr="Circle with Department of Agriculture, Water and the Environment in the centre. 9 segments. Industry: primary producers, zoos and wildlife parks, peak bodies, importers and exporters, tourism. International partners: trading partners and international bodies. State, territory and local government: state and territory ministers, state and territory senior officials, local government associations. Oversight: Auditor-General, Commonwealth ombudsman, portfolio inspectors-general, Australian Commission for Law Enforcement Integrity, law courts. Commonwealth agencies. Non-government organisations: advisory bodies, natural resource management bodies. Academia: research organisations, universities, vocational education. Indigenous Australians: indigenous organisations, Traditional Owners, Indigenous elders and their communities, management boards. Community: Australian public, museums, conservation grou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ircle with Department of Agriculture, Water and the Environment in the centre. 9 segments. Industry: primary producers, zoos and wildlife parks, peak bodies, importers and exporters, tourism. International partners: trading partners and international bodies. State, territory and local government: state and territory ministers, state and territory senior officials, local government associations. Oversight: Auditor-General, Commonwealth ombudsman, portfolio inspectors-general, Australian Commission for Law Enforcement Integrity, law courts. Commonwealth agencies. Non-government organisations: advisory bodies, natural resource management bodies. Academia: research organisations, universities, vocational education. Indigenous Australians: indigenous organisations, Traditional Owners, Indigenous elders and their communities, management boards. Community: Australian public, museums, conservation groups."/>
                    <pic:cNvPicPr/>
                  </pic:nvPicPr>
                  <pic:blipFill>
                    <a:blip r:embed="rId48" cstate="screen">
                      <a:extLst>
                        <a:ext uri="{28A0092B-C50C-407E-A947-70E740481C1C}">
                          <a14:useLocalDpi xmlns:a14="http://schemas.microsoft.com/office/drawing/2010/main"/>
                        </a:ext>
                      </a:extLst>
                    </a:blip>
                    <a:stretch>
                      <a:fillRect/>
                    </a:stretch>
                  </pic:blipFill>
                  <pic:spPr>
                    <a:xfrm>
                      <a:off x="0" y="0"/>
                      <a:ext cx="5759450" cy="5035550"/>
                    </a:xfrm>
                    <a:prstGeom prst="rect">
                      <a:avLst/>
                    </a:prstGeom>
                  </pic:spPr>
                </pic:pic>
              </a:graphicData>
            </a:graphic>
          </wp:inline>
        </w:drawing>
      </w:r>
    </w:p>
    <w:p w14:paraId="3B81F7DA" w14:textId="069A1634" w:rsidR="00FE0853" w:rsidRDefault="003857B7" w:rsidP="00DB058E">
      <w:pPr>
        <w:pStyle w:val="FigureTableNoteSource"/>
      </w:pPr>
      <w:r>
        <w:t>Note: This is an indicative list. It does not include all stakeholders</w:t>
      </w:r>
      <w:r w:rsidR="009D3FF2">
        <w:t xml:space="preserve"> and partners</w:t>
      </w:r>
      <w:r w:rsidR="0068351B">
        <w:t>.</w:t>
      </w:r>
    </w:p>
    <w:p w14:paraId="1DB39A22" w14:textId="50915287" w:rsidR="001A7546" w:rsidRPr="00EA68C8" w:rsidRDefault="001A7546" w:rsidP="00544C5E">
      <w:pPr>
        <w:pStyle w:val="Caption"/>
        <w:pageBreakBefore/>
      </w:pPr>
      <w:r>
        <w:lastRenderedPageBreak/>
        <w:t xml:space="preserve">Snapshot: </w:t>
      </w:r>
      <w:r w:rsidR="006C7B5B">
        <w:t>H</w:t>
      </w:r>
      <w:r>
        <w:t>ow we collaborate</w:t>
      </w:r>
    </w:p>
    <w:p w14:paraId="315F6F15" w14:textId="77777777" w:rsidR="0048240D" w:rsidRPr="00101671" w:rsidRDefault="003857B7" w:rsidP="00792CEA">
      <w:pPr>
        <w:pStyle w:val="BoxHeading"/>
      </w:pPr>
      <w:r w:rsidRPr="00101671">
        <w:t>Cross-government collaboration</w:t>
      </w:r>
    </w:p>
    <w:p w14:paraId="35353C71" w14:textId="7B409136" w:rsidR="00FE0853" w:rsidRPr="00101671" w:rsidRDefault="001A7546" w:rsidP="00792CEA">
      <w:pPr>
        <w:pStyle w:val="BoxText"/>
        <w:rPr>
          <w:szCs w:val="20"/>
        </w:rPr>
      </w:pPr>
      <w:r w:rsidRPr="00101671">
        <w:rPr>
          <w:szCs w:val="20"/>
        </w:rPr>
        <w:t xml:space="preserve">Xylella </w:t>
      </w:r>
      <w:proofErr w:type="spellStart"/>
      <w:r w:rsidRPr="00101671">
        <w:rPr>
          <w:szCs w:val="20"/>
        </w:rPr>
        <w:t>fastidiosa</w:t>
      </w:r>
      <w:proofErr w:type="spellEnd"/>
      <w:r w:rsidRPr="00101671">
        <w:rPr>
          <w:szCs w:val="20"/>
        </w:rPr>
        <w:t xml:space="preserve"> is a bacterial disease</w:t>
      </w:r>
      <w:r>
        <w:rPr>
          <w:szCs w:val="20"/>
        </w:rPr>
        <w:t xml:space="preserve">. It </w:t>
      </w:r>
      <w:r w:rsidRPr="00101671">
        <w:rPr>
          <w:szCs w:val="20"/>
        </w:rPr>
        <w:t xml:space="preserve">is </w:t>
      </w:r>
      <w:r w:rsidR="00623E50">
        <w:rPr>
          <w:szCs w:val="20"/>
        </w:rPr>
        <w:t>a</w:t>
      </w:r>
      <w:r w:rsidRPr="00101671">
        <w:rPr>
          <w:szCs w:val="20"/>
        </w:rPr>
        <w:t xml:space="preserve"> significant emerging plant disease threat</w:t>
      </w:r>
      <w:r w:rsidR="00623E50">
        <w:rPr>
          <w:szCs w:val="20"/>
        </w:rPr>
        <w:t xml:space="preserve"> for the </w:t>
      </w:r>
      <w:r w:rsidRPr="00101671">
        <w:rPr>
          <w:szCs w:val="20"/>
        </w:rPr>
        <w:t xml:space="preserve">world. </w:t>
      </w:r>
      <w:r w:rsidR="003857B7" w:rsidRPr="00101671">
        <w:rPr>
          <w:szCs w:val="20"/>
        </w:rPr>
        <w:t xml:space="preserve">We hosted the first online forum </w:t>
      </w:r>
      <w:r w:rsidR="00623E50">
        <w:rPr>
          <w:szCs w:val="20"/>
        </w:rPr>
        <w:t xml:space="preserve">to </w:t>
      </w:r>
      <w:r w:rsidRPr="00101671">
        <w:rPr>
          <w:szCs w:val="20"/>
        </w:rPr>
        <w:t xml:space="preserve">review progress of the </w:t>
      </w:r>
      <w:hyperlink r:id="rId49" w:history="1">
        <w:r w:rsidRPr="001A7546">
          <w:rPr>
            <w:rStyle w:val="Hyperlink"/>
            <w:szCs w:val="20"/>
          </w:rPr>
          <w:t>National Xylella Action Plan 2019–2029</w:t>
        </w:r>
      </w:hyperlink>
      <w:r>
        <w:rPr>
          <w:szCs w:val="20"/>
        </w:rPr>
        <w:t xml:space="preserve">. </w:t>
      </w:r>
      <w:r w:rsidRPr="00101671">
        <w:rPr>
          <w:szCs w:val="20"/>
        </w:rPr>
        <w:t xml:space="preserve">The </w:t>
      </w:r>
      <w:r>
        <w:rPr>
          <w:szCs w:val="20"/>
        </w:rPr>
        <w:t>p</w:t>
      </w:r>
      <w:r w:rsidRPr="00101671">
        <w:rPr>
          <w:szCs w:val="20"/>
        </w:rPr>
        <w:t>lan focuses on preventing Xylella from entering Australia, rapidly detecting it if it does enter, and mounting an effective emergency response.</w:t>
      </w:r>
      <w:r>
        <w:rPr>
          <w:szCs w:val="20"/>
        </w:rPr>
        <w:t xml:space="preserve"> The forum included </w:t>
      </w:r>
      <w:r w:rsidR="003857B7" w:rsidRPr="00101671">
        <w:rPr>
          <w:szCs w:val="20"/>
        </w:rPr>
        <w:t>industry</w:t>
      </w:r>
      <w:r>
        <w:rPr>
          <w:szCs w:val="20"/>
        </w:rPr>
        <w:t>, state and territory governments and other Australian Government departments</w:t>
      </w:r>
      <w:r w:rsidR="003857B7" w:rsidRPr="00101671">
        <w:rPr>
          <w:szCs w:val="20"/>
        </w:rPr>
        <w:t>.</w:t>
      </w:r>
    </w:p>
    <w:p w14:paraId="565C7D49" w14:textId="77777777" w:rsidR="00AE447C" w:rsidRPr="00101671" w:rsidRDefault="003857B7" w:rsidP="00792CEA">
      <w:pPr>
        <w:pStyle w:val="BoxHeading"/>
      </w:pPr>
      <w:r w:rsidRPr="00101671">
        <w:t>International leadership</w:t>
      </w:r>
    </w:p>
    <w:p w14:paraId="353F493D" w14:textId="3C0A68C0" w:rsidR="00FE0853" w:rsidRPr="00101671" w:rsidRDefault="00357C5B" w:rsidP="00792CEA">
      <w:pPr>
        <w:pStyle w:val="BoxText"/>
        <w:rPr>
          <w:szCs w:val="20"/>
        </w:rPr>
      </w:pPr>
      <w:r>
        <w:rPr>
          <w:szCs w:val="20"/>
        </w:rPr>
        <w:t>Australia is one of 12 original parties to the Antarctic Treaty. The treaty system is a set of legally binding agreements that govern international activities in Antarctica and its surrounding seas. Through the treaty, Australia has worked with other countries for more than 50 years to carry out scientific investigation and protect Antarctica’s unique environment.</w:t>
      </w:r>
    </w:p>
    <w:p w14:paraId="57E97C54" w14:textId="77777777" w:rsidR="00AE447C" w:rsidRPr="00101671" w:rsidRDefault="003857B7" w:rsidP="00792CEA">
      <w:pPr>
        <w:pStyle w:val="BoxHeading"/>
      </w:pPr>
      <w:r w:rsidRPr="00101671">
        <w:t>Indigenous partnerships</w:t>
      </w:r>
    </w:p>
    <w:p w14:paraId="3353942F" w14:textId="11D25148" w:rsidR="00AE447C" w:rsidRPr="00101671" w:rsidRDefault="001A7546" w:rsidP="00792CEA">
      <w:pPr>
        <w:pStyle w:val="BoxText"/>
        <w:rPr>
          <w:szCs w:val="20"/>
        </w:rPr>
      </w:pPr>
      <w:r>
        <w:rPr>
          <w:szCs w:val="20"/>
        </w:rPr>
        <w:t xml:space="preserve">A lot of our work is </w:t>
      </w:r>
      <w:r w:rsidR="003857B7" w:rsidRPr="00101671">
        <w:rPr>
          <w:szCs w:val="20"/>
        </w:rPr>
        <w:t xml:space="preserve">about </w:t>
      </w:r>
      <w:r w:rsidR="00623E50">
        <w:rPr>
          <w:szCs w:val="20"/>
        </w:rPr>
        <w:t>c</w:t>
      </w:r>
      <w:r w:rsidR="00623E50" w:rsidRPr="00101671">
        <w:rPr>
          <w:szCs w:val="20"/>
        </w:rPr>
        <w:t xml:space="preserve">aring </w:t>
      </w:r>
      <w:r w:rsidR="003857B7" w:rsidRPr="00101671">
        <w:rPr>
          <w:szCs w:val="20"/>
        </w:rPr>
        <w:t xml:space="preserve">for </w:t>
      </w:r>
      <w:r w:rsidR="00623E50">
        <w:rPr>
          <w:szCs w:val="20"/>
        </w:rPr>
        <w:t>c</w:t>
      </w:r>
      <w:r w:rsidR="00623E50" w:rsidRPr="00101671">
        <w:rPr>
          <w:szCs w:val="20"/>
        </w:rPr>
        <w:t>ountry</w:t>
      </w:r>
      <w:r>
        <w:rPr>
          <w:szCs w:val="20"/>
        </w:rPr>
        <w:t xml:space="preserve">. This </w:t>
      </w:r>
      <w:r w:rsidR="003857B7" w:rsidRPr="00101671">
        <w:rPr>
          <w:szCs w:val="20"/>
        </w:rPr>
        <w:t xml:space="preserve">work is </w:t>
      </w:r>
      <w:r>
        <w:rPr>
          <w:szCs w:val="20"/>
        </w:rPr>
        <w:t xml:space="preserve">anchored </w:t>
      </w:r>
      <w:r w:rsidR="003857B7" w:rsidRPr="00101671">
        <w:rPr>
          <w:szCs w:val="20"/>
        </w:rPr>
        <w:t xml:space="preserve">in partnerships with our </w:t>
      </w:r>
      <w:r>
        <w:rPr>
          <w:szCs w:val="20"/>
        </w:rPr>
        <w:t xml:space="preserve">Indigenous </w:t>
      </w:r>
      <w:r w:rsidR="003857B7" w:rsidRPr="00101671">
        <w:rPr>
          <w:szCs w:val="20"/>
        </w:rPr>
        <w:t>staff</w:t>
      </w:r>
      <w:r>
        <w:rPr>
          <w:szCs w:val="20"/>
        </w:rPr>
        <w:t xml:space="preserve">, </w:t>
      </w:r>
      <w:r w:rsidR="003857B7" w:rsidRPr="00101671">
        <w:rPr>
          <w:szCs w:val="20"/>
        </w:rPr>
        <w:t>First Nations communities</w:t>
      </w:r>
      <w:r>
        <w:rPr>
          <w:szCs w:val="20"/>
        </w:rPr>
        <w:t xml:space="preserve"> and </w:t>
      </w:r>
      <w:r w:rsidR="003857B7" w:rsidRPr="00101671">
        <w:rPr>
          <w:szCs w:val="20"/>
        </w:rPr>
        <w:t>Indigenous ranger groups</w:t>
      </w:r>
      <w:r>
        <w:rPr>
          <w:szCs w:val="20"/>
        </w:rPr>
        <w:t xml:space="preserve">. </w:t>
      </w:r>
      <w:r w:rsidR="003857B7" w:rsidRPr="00E67317">
        <w:rPr>
          <w:szCs w:val="20"/>
        </w:rPr>
        <w:t>The Indigenous Ranger Biosecurity Program provides</w:t>
      </w:r>
      <w:r w:rsidR="003857B7" w:rsidRPr="00E67317">
        <w:rPr>
          <w:b/>
          <w:bCs/>
          <w:szCs w:val="20"/>
        </w:rPr>
        <w:t xml:space="preserve"> </w:t>
      </w:r>
      <w:r w:rsidR="003857B7" w:rsidRPr="00E67317">
        <w:rPr>
          <w:szCs w:val="20"/>
        </w:rPr>
        <w:t xml:space="preserve">rangers with skills and support to use their knowledge of </w:t>
      </w:r>
      <w:r w:rsidR="00623E50">
        <w:rPr>
          <w:szCs w:val="20"/>
        </w:rPr>
        <w:t>c</w:t>
      </w:r>
      <w:r w:rsidR="00623E50" w:rsidRPr="00E67317">
        <w:rPr>
          <w:szCs w:val="20"/>
        </w:rPr>
        <w:t xml:space="preserve">ountry </w:t>
      </w:r>
      <w:r w:rsidR="003857B7" w:rsidRPr="00E67317">
        <w:rPr>
          <w:szCs w:val="20"/>
        </w:rPr>
        <w:t>and conservation to carry out biosecurity work along 10,000</w:t>
      </w:r>
      <w:r w:rsidR="00A947ED">
        <w:rPr>
          <w:szCs w:val="20"/>
        </w:rPr>
        <w:t> </w:t>
      </w:r>
      <w:r w:rsidR="003857B7" w:rsidRPr="00E67317">
        <w:rPr>
          <w:szCs w:val="20"/>
        </w:rPr>
        <w:t>kilometres of coastline</w:t>
      </w:r>
      <w:r w:rsidR="00623E50">
        <w:rPr>
          <w:szCs w:val="20"/>
        </w:rPr>
        <w:t xml:space="preserve"> in northern Australia</w:t>
      </w:r>
      <w:r w:rsidR="003857B7" w:rsidRPr="00E67317">
        <w:rPr>
          <w:szCs w:val="20"/>
        </w:rPr>
        <w:t>.</w:t>
      </w:r>
    </w:p>
    <w:p w14:paraId="2868979B" w14:textId="77777777" w:rsidR="00AE447C" w:rsidRPr="00101671" w:rsidRDefault="003857B7" w:rsidP="00792CEA">
      <w:pPr>
        <w:pStyle w:val="BoxHeading"/>
      </w:pPr>
      <w:r w:rsidRPr="00101671">
        <w:t>Industry collaboration</w:t>
      </w:r>
    </w:p>
    <w:p w14:paraId="4F8CE88E" w14:textId="6D48532A" w:rsidR="00FE0853" w:rsidRPr="00101671" w:rsidRDefault="00A634A2" w:rsidP="00792CEA">
      <w:pPr>
        <w:pStyle w:val="BoxText"/>
        <w:rPr>
          <w:szCs w:val="20"/>
        </w:rPr>
      </w:pPr>
      <w:r w:rsidRPr="00101671">
        <w:rPr>
          <w:szCs w:val="20"/>
        </w:rPr>
        <w:t>Bee pollination supports crop industries and food security</w:t>
      </w:r>
      <w:r>
        <w:rPr>
          <w:szCs w:val="20"/>
        </w:rPr>
        <w:t xml:space="preserve">. </w:t>
      </w:r>
      <w:r w:rsidR="00623E50">
        <w:rPr>
          <w:szCs w:val="20"/>
        </w:rPr>
        <w:t>S</w:t>
      </w:r>
      <w:r w:rsidRPr="00101671">
        <w:rPr>
          <w:szCs w:val="20"/>
        </w:rPr>
        <w:t xml:space="preserve">trong biosecurity measures protect the health of bees. </w:t>
      </w:r>
      <w:r w:rsidR="003857B7" w:rsidRPr="00101671">
        <w:rPr>
          <w:szCs w:val="20"/>
        </w:rPr>
        <w:t xml:space="preserve">The National Bee Pest Surveillance Program is jointly funded by the department, </w:t>
      </w:r>
      <w:r w:rsidR="007F5C5D">
        <w:rPr>
          <w:szCs w:val="20"/>
        </w:rPr>
        <w:t xml:space="preserve">the </w:t>
      </w:r>
      <w:r w:rsidR="003857B7" w:rsidRPr="00101671">
        <w:rPr>
          <w:szCs w:val="20"/>
        </w:rPr>
        <w:t xml:space="preserve">Australian Honeybee Industry Council, </w:t>
      </w:r>
      <w:proofErr w:type="spellStart"/>
      <w:r w:rsidR="003857B7" w:rsidRPr="00101671">
        <w:rPr>
          <w:szCs w:val="20"/>
        </w:rPr>
        <w:t>Hort</w:t>
      </w:r>
      <w:proofErr w:type="spellEnd"/>
      <w:r w:rsidR="003857B7" w:rsidRPr="00101671">
        <w:rPr>
          <w:szCs w:val="20"/>
        </w:rPr>
        <w:t xml:space="preserve"> Innovation and Grain Producers Australia. </w:t>
      </w:r>
      <w:r w:rsidR="00623E50">
        <w:rPr>
          <w:szCs w:val="20"/>
        </w:rPr>
        <w:t>We are w</w:t>
      </w:r>
      <w:r w:rsidR="003857B7" w:rsidRPr="00101671">
        <w:rPr>
          <w:szCs w:val="20"/>
        </w:rPr>
        <w:t xml:space="preserve">orking with </w:t>
      </w:r>
      <w:r w:rsidR="00623E50">
        <w:rPr>
          <w:szCs w:val="20"/>
        </w:rPr>
        <w:t>these</w:t>
      </w:r>
      <w:r w:rsidR="00623E50" w:rsidRPr="00101671">
        <w:rPr>
          <w:szCs w:val="20"/>
        </w:rPr>
        <w:t xml:space="preserve"> </w:t>
      </w:r>
      <w:r w:rsidR="003857B7" w:rsidRPr="00101671">
        <w:rPr>
          <w:szCs w:val="20"/>
        </w:rPr>
        <w:t>partners</w:t>
      </w:r>
      <w:r w:rsidR="00623E50">
        <w:rPr>
          <w:szCs w:val="20"/>
        </w:rPr>
        <w:t xml:space="preserve"> to </w:t>
      </w:r>
      <w:r w:rsidR="003857B7" w:rsidRPr="00101671">
        <w:rPr>
          <w:szCs w:val="20"/>
        </w:rPr>
        <w:t xml:space="preserve">build diagnostic skills </w:t>
      </w:r>
      <w:r w:rsidR="00623E50">
        <w:rPr>
          <w:szCs w:val="20"/>
        </w:rPr>
        <w:t>in</w:t>
      </w:r>
      <w:r w:rsidR="00623E50" w:rsidRPr="00101671">
        <w:rPr>
          <w:szCs w:val="20"/>
        </w:rPr>
        <w:t xml:space="preserve"> </w:t>
      </w:r>
      <w:r w:rsidR="003857B7" w:rsidRPr="00101671">
        <w:rPr>
          <w:szCs w:val="20"/>
        </w:rPr>
        <w:t>laboratories to support preparedness and response for bee viruses.</w:t>
      </w:r>
    </w:p>
    <w:p w14:paraId="6BC261DB" w14:textId="77777777" w:rsidR="00AE447C" w:rsidRPr="00101671" w:rsidRDefault="003857B7" w:rsidP="00792CEA">
      <w:pPr>
        <w:pStyle w:val="BoxHeading"/>
      </w:pPr>
      <w:r w:rsidRPr="00101671">
        <w:t>Research partnerships</w:t>
      </w:r>
    </w:p>
    <w:p w14:paraId="1B30F956" w14:textId="62BAC0B2" w:rsidR="00FE0853" w:rsidRPr="00101671" w:rsidRDefault="003857B7" w:rsidP="00792CEA">
      <w:pPr>
        <w:pStyle w:val="BoxText"/>
        <w:rPr>
          <w:szCs w:val="20"/>
        </w:rPr>
      </w:pPr>
      <w:r w:rsidRPr="00101671">
        <w:rPr>
          <w:szCs w:val="20"/>
        </w:rPr>
        <w:t xml:space="preserve">We have strategic partnerships with Charles Sturt University and the CSIRO to boost our scientific and technical capabilities, support service delivery and expand our engagement into regional and rural communities. </w:t>
      </w:r>
      <w:r w:rsidR="00623E50">
        <w:rPr>
          <w:szCs w:val="20"/>
        </w:rPr>
        <w:t>W</w:t>
      </w:r>
      <w:r w:rsidRPr="00101671">
        <w:rPr>
          <w:szCs w:val="20"/>
        </w:rPr>
        <w:t>e are exploring opportunities for collaboration</w:t>
      </w:r>
      <w:r w:rsidR="00623E50">
        <w:rPr>
          <w:szCs w:val="20"/>
        </w:rPr>
        <w:t xml:space="preserve"> in </w:t>
      </w:r>
      <w:r w:rsidRPr="00101671">
        <w:rPr>
          <w:szCs w:val="20"/>
        </w:rPr>
        <w:t>biosecurity, agricultural innovation, biodiversity</w:t>
      </w:r>
      <w:r w:rsidR="00105825" w:rsidRPr="00101671">
        <w:rPr>
          <w:szCs w:val="20"/>
        </w:rPr>
        <w:t xml:space="preserve"> </w:t>
      </w:r>
      <w:r w:rsidR="00880A93" w:rsidRPr="00101671">
        <w:rPr>
          <w:szCs w:val="20"/>
        </w:rPr>
        <w:t>conservation</w:t>
      </w:r>
      <w:r w:rsidRPr="00101671">
        <w:rPr>
          <w:szCs w:val="20"/>
        </w:rPr>
        <w:t>, climate adaptation, soils, public engagement and digital modernisation.</w:t>
      </w:r>
    </w:p>
    <w:p w14:paraId="40DA0593" w14:textId="55A89B57" w:rsidR="00FE0853" w:rsidRPr="00101671" w:rsidRDefault="003857B7" w:rsidP="00792CEA">
      <w:pPr>
        <w:pStyle w:val="BoxText"/>
        <w:rPr>
          <w:szCs w:val="20"/>
        </w:rPr>
      </w:pPr>
      <w:r w:rsidRPr="00101671">
        <w:rPr>
          <w:szCs w:val="20"/>
        </w:rPr>
        <w:t>We collaborated with the University of Melbourne’s Centre of Excellence for Biosecurity Risk Analysis to put a dollar value on Australia’s biosecurity system. When modelled over 50</w:t>
      </w:r>
      <w:r w:rsidR="007C312F" w:rsidRPr="00101671">
        <w:rPr>
          <w:szCs w:val="20"/>
        </w:rPr>
        <w:t> </w:t>
      </w:r>
      <w:r w:rsidRPr="00101671">
        <w:rPr>
          <w:szCs w:val="20"/>
        </w:rPr>
        <w:t>years, the estimated value of the biosecurity system is $314</w:t>
      </w:r>
      <w:r w:rsidR="007C312F" w:rsidRPr="00101671">
        <w:rPr>
          <w:szCs w:val="20"/>
        </w:rPr>
        <w:t> </w:t>
      </w:r>
      <w:r w:rsidRPr="00101671">
        <w:rPr>
          <w:szCs w:val="20"/>
        </w:rPr>
        <w:t>billion</w:t>
      </w:r>
      <w:r w:rsidR="00A634A2">
        <w:rPr>
          <w:szCs w:val="20"/>
        </w:rPr>
        <w:t xml:space="preserve">. It </w:t>
      </w:r>
      <w:r w:rsidRPr="00101671">
        <w:rPr>
          <w:szCs w:val="20"/>
        </w:rPr>
        <w:t>protect</w:t>
      </w:r>
      <w:r w:rsidR="00A634A2">
        <w:rPr>
          <w:szCs w:val="20"/>
        </w:rPr>
        <w:t>ed</w:t>
      </w:r>
      <w:r w:rsidRPr="00101671">
        <w:rPr>
          <w:szCs w:val="20"/>
        </w:rPr>
        <w:t xml:space="preserve"> assets valued at more than $5.7</w:t>
      </w:r>
      <w:r w:rsidR="007C312F" w:rsidRPr="00101671">
        <w:rPr>
          <w:szCs w:val="20"/>
        </w:rPr>
        <w:t> </w:t>
      </w:r>
      <w:r w:rsidRPr="00101671">
        <w:rPr>
          <w:szCs w:val="20"/>
        </w:rPr>
        <w:t xml:space="preserve">trillion over the same period. The model demonstrates the benefits of </w:t>
      </w:r>
      <w:r w:rsidR="00A634A2">
        <w:rPr>
          <w:szCs w:val="20"/>
        </w:rPr>
        <w:t>government</w:t>
      </w:r>
      <w:r w:rsidRPr="00101671">
        <w:rPr>
          <w:szCs w:val="20"/>
        </w:rPr>
        <w:t xml:space="preserve"> investment in biosecurity.</w:t>
      </w:r>
    </w:p>
    <w:p w14:paraId="0714AE20" w14:textId="4BA3EECB" w:rsidR="00FE0853" w:rsidRDefault="00561179" w:rsidP="00DB058E">
      <w:pPr>
        <w:pStyle w:val="Heading3"/>
      </w:pPr>
      <w:r>
        <w:t xml:space="preserve">Cross-cutting science, </w:t>
      </w:r>
      <w:proofErr w:type="gramStart"/>
      <w:r>
        <w:t>innovation</w:t>
      </w:r>
      <w:proofErr w:type="gramEnd"/>
      <w:r>
        <w:t xml:space="preserve"> and research</w:t>
      </w:r>
    </w:p>
    <w:p w14:paraId="3F68AD4F" w14:textId="5A58018C" w:rsidR="00FE0853" w:rsidRDefault="003857B7" w:rsidP="00FE0853">
      <w:r>
        <w:t xml:space="preserve">We are leaders in using science to solve problems. Science and research </w:t>
      </w:r>
      <w:r w:rsidR="00EA68C8">
        <w:t xml:space="preserve">are core capabilities that </w:t>
      </w:r>
      <w:r>
        <w:t>feed every aspect of our work. We produce, commission and apply science to policies and regulatory decisions. We find innovative solutions to improve Australia’s agriculture, environment and heritage, and water resources.</w:t>
      </w:r>
    </w:p>
    <w:p w14:paraId="2DCD8592" w14:textId="36AC4F22" w:rsidR="00FE0853" w:rsidRDefault="003857B7" w:rsidP="00FE0853">
      <w:r>
        <w:t>S</w:t>
      </w:r>
      <w:r w:rsidR="0043465A">
        <w:t>ince</w:t>
      </w:r>
      <w:r w:rsidR="007C312F">
        <w:t> </w:t>
      </w:r>
      <w:r w:rsidR="0043465A">
        <w:t xml:space="preserve">1945, </w:t>
      </w:r>
      <w:r w:rsidR="00EA68C8">
        <w:t>our</w:t>
      </w:r>
      <w:r>
        <w:t xml:space="preserve"> </w:t>
      </w:r>
      <w:r w:rsidR="0043465A">
        <w:t>Australian Bureau of Agricultural and Resource Economics and Sciences</w:t>
      </w:r>
      <w:r w:rsidR="007C312F">
        <w:t> </w:t>
      </w:r>
      <w:r w:rsidR="0043465A">
        <w:t>(ABARES) has provided independent data, research, analysis and advice</w:t>
      </w:r>
      <w:r w:rsidR="00EA68C8">
        <w:t>. This</w:t>
      </w:r>
      <w:r w:rsidR="0043465A">
        <w:t xml:space="preserve"> inform</w:t>
      </w:r>
      <w:r w:rsidR="00EA68C8">
        <w:t>s</w:t>
      </w:r>
      <w:r w:rsidR="0043465A">
        <w:t xml:space="preserve"> public and private decisions affecting Australian agriculture, fisheries and forestry.</w:t>
      </w:r>
    </w:p>
    <w:p w14:paraId="4089EBA9" w14:textId="70F33E45" w:rsidR="00FE0853" w:rsidRDefault="00EA68C8" w:rsidP="00FE0853">
      <w:r>
        <w:t xml:space="preserve">Our </w:t>
      </w:r>
      <w:r w:rsidR="003857B7">
        <w:t xml:space="preserve">National Environmental Science </w:t>
      </w:r>
      <w:r w:rsidR="00613DAA">
        <w:t xml:space="preserve">Program </w:t>
      </w:r>
      <w:r w:rsidR="003857B7">
        <w:t>is Australia's flagship program for applied science in environment and climate research</w:t>
      </w:r>
      <w:r>
        <w:t xml:space="preserve">. It develops </w:t>
      </w:r>
      <w:r w:rsidR="003857B7">
        <w:t>future scenario</w:t>
      </w:r>
      <w:r>
        <w:t>s</w:t>
      </w:r>
      <w:r w:rsidR="003857B7">
        <w:t xml:space="preserve"> to help government, industry and the community build climate resilience into decision-making.</w:t>
      </w:r>
    </w:p>
    <w:p w14:paraId="06228006" w14:textId="0AAB55EB" w:rsidR="00FE0853" w:rsidRDefault="00590CE4" w:rsidP="00FE0853">
      <w:r>
        <w:lastRenderedPageBreak/>
        <w:t>Our</w:t>
      </w:r>
      <w:r w:rsidR="00EA68C8">
        <w:t xml:space="preserve"> </w:t>
      </w:r>
      <w:r w:rsidR="003857B7">
        <w:t>science leader</w:t>
      </w:r>
      <w:r w:rsidR="00EA68C8">
        <w:t xml:space="preserve">ship </w:t>
      </w:r>
      <w:r>
        <w:t xml:space="preserve">is based on </w:t>
      </w:r>
      <w:r w:rsidR="003857B7">
        <w:t xml:space="preserve">the scientific capability of our </w:t>
      </w:r>
      <w:r w:rsidR="00EA642D">
        <w:t>people</w:t>
      </w:r>
      <w:r w:rsidR="00EA68C8">
        <w:t>;</w:t>
      </w:r>
      <w:r w:rsidR="003857B7">
        <w:t xml:space="preserve"> our </w:t>
      </w:r>
      <w:r w:rsidR="00EA68C8">
        <w:t>partnerships</w:t>
      </w:r>
      <w:r w:rsidR="003857B7">
        <w:t xml:space="preserve"> with research institutions, innovators and </w:t>
      </w:r>
      <w:r w:rsidR="00F00B6E">
        <w:t>First Nations</w:t>
      </w:r>
      <w:r w:rsidR="00191CAA">
        <w:t xml:space="preserve"> people</w:t>
      </w:r>
      <w:r w:rsidR="007F5C5D">
        <w:t>s</w:t>
      </w:r>
      <w:r w:rsidR="00EA68C8">
        <w:t>;</w:t>
      </w:r>
      <w:r w:rsidR="003857B7">
        <w:t xml:space="preserve"> and our willingness to share knowledge, expertise and findings.</w:t>
      </w:r>
    </w:p>
    <w:p w14:paraId="3E6B87CE" w14:textId="2E0BCFA6" w:rsidR="00FE0853" w:rsidRDefault="003857B7" w:rsidP="00FE0853">
      <w:r>
        <w:t>We are committed to investing in science</w:t>
      </w:r>
      <w:r w:rsidR="00EA68C8">
        <w:t xml:space="preserve"> as it </w:t>
      </w:r>
      <w:r>
        <w:t>inform</w:t>
      </w:r>
      <w:r w:rsidR="00EA68C8">
        <w:t>s</w:t>
      </w:r>
      <w:r>
        <w:t xml:space="preserve"> the </w:t>
      </w:r>
      <w:proofErr w:type="gramStart"/>
      <w:r>
        <w:t>work</w:t>
      </w:r>
      <w:proofErr w:type="gramEnd"/>
      <w:r>
        <w:t xml:space="preserve"> we do to achieve our purpose. Our </w:t>
      </w:r>
      <w:hyperlink r:id="rId50" w:history="1">
        <w:r w:rsidRPr="00EA68C8">
          <w:rPr>
            <w:rStyle w:val="Hyperlink"/>
          </w:rPr>
          <w:t>Science Strategic Action Plan</w:t>
        </w:r>
      </w:hyperlink>
      <w:r>
        <w:t xml:space="preserve"> </w:t>
      </w:r>
      <w:r w:rsidR="00EA68C8">
        <w:t xml:space="preserve">guides the </w:t>
      </w:r>
      <w:r>
        <w:t>deliver</w:t>
      </w:r>
      <w:r w:rsidR="00EA68C8">
        <w:t>y</w:t>
      </w:r>
      <w:r>
        <w:t xml:space="preserve"> and appl</w:t>
      </w:r>
      <w:r w:rsidR="00EA68C8">
        <w:t xml:space="preserve">ication of </w:t>
      </w:r>
      <w:r>
        <w:t>science</w:t>
      </w:r>
      <w:r w:rsidR="00EA68C8">
        <w:t xml:space="preserve"> and </w:t>
      </w:r>
      <w:r>
        <w:t>science capabilities</w:t>
      </w:r>
      <w:r w:rsidR="00EA68C8">
        <w:t xml:space="preserve">. It also </w:t>
      </w:r>
      <w:r>
        <w:t>direct</w:t>
      </w:r>
      <w:r w:rsidR="00CF2560">
        <w:t>s</w:t>
      </w:r>
      <w:r>
        <w:t xml:space="preserve"> how and where we can drive and shape opportunities that benefit us and the broader community.</w:t>
      </w:r>
    </w:p>
    <w:p w14:paraId="3E45C7DF" w14:textId="1257FD09" w:rsidR="00FE0853" w:rsidRDefault="00561179" w:rsidP="00DB058E">
      <w:pPr>
        <w:pStyle w:val="Heading3"/>
      </w:pPr>
      <w:r>
        <w:t>Technology and digital transformation</w:t>
      </w:r>
    </w:p>
    <w:p w14:paraId="3A8C1295" w14:textId="7B9DC758" w:rsidR="00FE0853" w:rsidRDefault="003857B7" w:rsidP="00FE0853">
      <w:r>
        <w:t xml:space="preserve">Enhancing our </w:t>
      </w:r>
      <w:r w:rsidR="00946F98">
        <w:t>ICT </w:t>
      </w:r>
      <w:r>
        <w:t xml:space="preserve">services will help us achieve our purpose and objectives. Our </w:t>
      </w:r>
      <w:r w:rsidR="00946F98">
        <w:t>ICT </w:t>
      </w:r>
      <w:r>
        <w:t xml:space="preserve">vision is to provide scalable, flexible, sustainable and secure services that enable and enhance </w:t>
      </w:r>
      <w:r w:rsidR="008839B5">
        <w:t>our</w:t>
      </w:r>
      <w:r>
        <w:t xml:space="preserve"> activities.</w:t>
      </w:r>
    </w:p>
    <w:p w14:paraId="2AB1C156" w14:textId="24ABB75A" w:rsidR="00FE0853" w:rsidRDefault="00530C69" w:rsidP="00FE0853">
      <w:r>
        <w:t>A</w:t>
      </w:r>
      <w:r w:rsidR="003857B7">
        <w:t xml:space="preserve"> mature</w:t>
      </w:r>
      <w:r w:rsidR="008839B5">
        <w:t xml:space="preserve"> and</w:t>
      </w:r>
      <w:r w:rsidR="003857B7">
        <w:t xml:space="preserve"> contemporary digital service</w:t>
      </w:r>
      <w:r>
        <w:t xml:space="preserve"> needs</w:t>
      </w:r>
      <w:r w:rsidR="008839B5">
        <w:t xml:space="preserve"> </w:t>
      </w:r>
      <w:r>
        <w:t xml:space="preserve">ICT </w:t>
      </w:r>
      <w:r w:rsidR="003857B7">
        <w:t xml:space="preserve">that </w:t>
      </w:r>
      <w:r>
        <w:t xml:space="preserve">delivers </w:t>
      </w:r>
      <w:r w:rsidR="003857B7">
        <w:t xml:space="preserve">a seamless, integrated service experience to our </w:t>
      </w:r>
      <w:r w:rsidR="00EA642D">
        <w:t xml:space="preserve">people, </w:t>
      </w:r>
      <w:r w:rsidR="003857B7">
        <w:t xml:space="preserve">clients and stakeholders. </w:t>
      </w:r>
      <w:r w:rsidR="00230E90">
        <w:t>Th</w:t>
      </w:r>
      <w:r w:rsidR="003857B7">
        <w:t>e</w:t>
      </w:r>
      <w:r w:rsidR="00230E90">
        <w:t xml:space="preserve"> </w:t>
      </w:r>
      <w:r w:rsidR="003857B7">
        <w:t>attributes that enable this are:</w:t>
      </w:r>
    </w:p>
    <w:p w14:paraId="0052C69B" w14:textId="0A40C19C" w:rsidR="00FE0853" w:rsidRPr="00607279" w:rsidRDefault="003857B7" w:rsidP="00792CEA">
      <w:pPr>
        <w:pStyle w:val="ListBullet"/>
      </w:pPr>
      <w:r w:rsidRPr="00792CEA">
        <w:rPr>
          <w:rStyle w:val="Heading5Char"/>
          <w:rFonts w:ascii="Cambria" w:hAnsi="Cambria"/>
          <w:b w:val="0"/>
          <w:bCs w:val="0"/>
          <w:sz w:val="22"/>
        </w:rPr>
        <w:t>Digital by default</w:t>
      </w:r>
      <w:r w:rsidR="000D68F7">
        <w:rPr>
          <w:rStyle w:val="Heading5Char"/>
          <w:b w:val="0"/>
          <w:bCs w:val="0"/>
        </w:rPr>
        <w:t xml:space="preserve">: </w:t>
      </w:r>
      <w:r w:rsidRPr="008839B5">
        <w:t>secure, scalable, agile, cloud-based services</w:t>
      </w:r>
      <w:r w:rsidR="00C77007">
        <w:t xml:space="preserve">; </w:t>
      </w:r>
      <w:r w:rsidRPr="008839B5">
        <w:t xml:space="preserve">mobile access to all </w:t>
      </w:r>
      <w:r w:rsidR="000D68F7">
        <w:t xml:space="preserve">ICT </w:t>
      </w:r>
      <w:r w:rsidRPr="00E66100">
        <w:t xml:space="preserve">services in one </w:t>
      </w:r>
      <w:r w:rsidRPr="00607279">
        <w:t>place and on any device.</w:t>
      </w:r>
    </w:p>
    <w:p w14:paraId="0299CAEE" w14:textId="4B241924" w:rsidR="00FE0853" w:rsidRPr="00E66100" w:rsidRDefault="003857B7" w:rsidP="00792CEA">
      <w:pPr>
        <w:pStyle w:val="ListBullet"/>
      </w:pPr>
      <w:r w:rsidRPr="00792CEA">
        <w:rPr>
          <w:rStyle w:val="Heading5Char"/>
          <w:rFonts w:ascii="Cambria" w:hAnsi="Cambria"/>
          <w:b w:val="0"/>
          <w:bCs w:val="0"/>
          <w:sz w:val="22"/>
        </w:rPr>
        <w:t>24/7</w:t>
      </w:r>
      <w:r w:rsidR="007C312F" w:rsidRPr="00792CEA">
        <w:rPr>
          <w:rStyle w:val="Heading5Char"/>
          <w:rFonts w:ascii="Cambria" w:hAnsi="Cambria"/>
          <w:b w:val="0"/>
          <w:bCs w:val="0"/>
          <w:sz w:val="22"/>
        </w:rPr>
        <w:t> </w:t>
      </w:r>
      <w:r w:rsidRPr="00792CEA">
        <w:rPr>
          <w:rStyle w:val="Heading5Char"/>
          <w:rFonts w:ascii="Cambria" w:hAnsi="Cambria"/>
          <w:b w:val="0"/>
          <w:bCs w:val="0"/>
          <w:sz w:val="22"/>
        </w:rPr>
        <w:t>operations</w:t>
      </w:r>
      <w:r w:rsidR="000D68F7">
        <w:rPr>
          <w:rStyle w:val="Heading5Char"/>
          <w:b w:val="0"/>
          <w:bCs w:val="0"/>
        </w:rPr>
        <w:t xml:space="preserve">: </w:t>
      </w:r>
      <w:r w:rsidRPr="008839B5">
        <w:t>access to services anywhere</w:t>
      </w:r>
      <w:r w:rsidR="000D68F7">
        <w:t xml:space="preserve"> and</w:t>
      </w:r>
      <w:r w:rsidRPr="008839B5">
        <w:t xml:space="preserve"> </w:t>
      </w:r>
      <w:r w:rsidR="00C77007">
        <w:t xml:space="preserve">at </w:t>
      </w:r>
      <w:r w:rsidRPr="008839B5">
        <w:t>any</w:t>
      </w:r>
      <w:r w:rsidR="000D68F7">
        <w:t xml:space="preserve"> </w:t>
      </w:r>
      <w:r w:rsidRPr="00E66100">
        <w:t>time</w:t>
      </w:r>
      <w:r w:rsidR="000D68F7">
        <w:t xml:space="preserve">, with </w:t>
      </w:r>
      <w:r w:rsidRPr="008839B5">
        <w:t xml:space="preserve">processing </w:t>
      </w:r>
      <w:r w:rsidR="000D68F7">
        <w:t xml:space="preserve">of </w:t>
      </w:r>
      <w:r w:rsidRPr="00E66100">
        <w:t>requests without delay across international time zones.</w:t>
      </w:r>
    </w:p>
    <w:p w14:paraId="610ABCCA" w14:textId="23ABD9CB" w:rsidR="00FE0853" w:rsidRPr="008839B5" w:rsidRDefault="003857B7" w:rsidP="00792CEA">
      <w:pPr>
        <w:pStyle w:val="ListBullet"/>
      </w:pPr>
      <w:r w:rsidRPr="00792CEA">
        <w:rPr>
          <w:rStyle w:val="Heading5Char"/>
          <w:rFonts w:ascii="Cambria" w:hAnsi="Cambria"/>
          <w:b w:val="0"/>
          <w:bCs w:val="0"/>
          <w:sz w:val="22"/>
        </w:rPr>
        <w:t>Rules-driven</w:t>
      </w:r>
      <w:r w:rsidR="000D68F7">
        <w:rPr>
          <w:rStyle w:val="Heading5Char"/>
          <w:b w:val="0"/>
          <w:bCs w:val="0"/>
        </w:rPr>
        <w:t>:</w:t>
      </w:r>
      <w:r w:rsidR="00230E90" w:rsidRPr="008839B5">
        <w:t xml:space="preserve"> </w:t>
      </w:r>
      <w:r w:rsidRPr="008839B5">
        <w:t xml:space="preserve">context-aware, event-driven workflows tailored to suit changing profiles and requirements; decision automation </w:t>
      </w:r>
      <w:r w:rsidR="00FA0B31">
        <w:t>and</w:t>
      </w:r>
      <w:r w:rsidRPr="00E66100">
        <w:t xml:space="preserve"> </w:t>
      </w:r>
      <w:proofErr w:type="gramStart"/>
      <w:r w:rsidRPr="00E66100">
        <w:t>clearly</w:t>
      </w:r>
      <w:r w:rsidR="00C04FDD">
        <w:t>-</w:t>
      </w:r>
      <w:r w:rsidRPr="00E66100">
        <w:t>defined</w:t>
      </w:r>
      <w:proofErr w:type="gramEnd"/>
      <w:r w:rsidRPr="00E66100">
        <w:t xml:space="preserve"> decision trees </w:t>
      </w:r>
      <w:r w:rsidR="00FA0B31">
        <w:t>for</w:t>
      </w:r>
      <w:r w:rsidR="00FA0B31" w:rsidRPr="00E66100">
        <w:t xml:space="preserve"> </w:t>
      </w:r>
      <w:r w:rsidRPr="008839B5">
        <w:t>pre-determined responses and actions.</w:t>
      </w:r>
    </w:p>
    <w:p w14:paraId="73F97FAA" w14:textId="30AEEBEA" w:rsidR="00FE0853" w:rsidRPr="008839B5" w:rsidRDefault="003857B7" w:rsidP="00792CEA">
      <w:pPr>
        <w:pStyle w:val="ListBullet"/>
      </w:pPr>
      <w:r w:rsidRPr="00792CEA">
        <w:rPr>
          <w:rStyle w:val="Heading5Char"/>
          <w:rFonts w:ascii="Cambria" w:hAnsi="Cambria"/>
          <w:b w:val="0"/>
          <w:bCs w:val="0"/>
          <w:sz w:val="22"/>
        </w:rPr>
        <w:t>Single view of client</w:t>
      </w:r>
      <w:r w:rsidR="00FA0B31">
        <w:rPr>
          <w:rStyle w:val="Heading5Char"/>
          <w:b w:val="0"/>
          <w:bCs w:val="0"/>
        </w:rPr>
        <w:t>:</w:t>
      </w:r>
      <w:r w:rsidR="00230E90" w:rsidRPr="008839B5">
        <w:t xml:space="preserve"> </w:t>
      </w:r>
      <w:r w:rsidRPr="008839B5">
        <w:t>visibility of all information about previous and current interactions between a client, establishment or authorised officer and the department.</w:t>
      </w:r>
    </w:p>
    <w:p w14:paraId="45A3850F" w14:textId="1EBE1A60" w:rsidR="00FE0853" w:rsidRPr="008839B5" w:rsidRDefault="003857B7" w:rsidP="00792CEA">
      <w:pPr>
        <w:pStyle w:val="ListBullet"/>
      </w:pPr>
      <w:r w:rsidRPr="00792CEA">
        <w:rPr>
          <w:rStyle w:val="Heading5Char"/>
          <w:rFonts w:ascii="Cambria" w:hAnsi="Cambria"/>
          <w:b w:val="0"/>
          <w:bCs w:val="0"/>
          <w:sz w:val="22"/>
        </w:rPr>
        <w:t>Advanced analytics</w:t>
      </w:r>
      <w:r w:rsidR="00FA0B31">
        <w:rPr>
          <w:rStyle w:val="Heading5Char"/>
          <w:b w:val="0"/>
          <w:bCs w:val="0"/>
        </w:rPr>
        <w:t>:</w:t>
      </w:r>
      <w:r w:rsidR="00230E90" w:rsidRPr="008839B5">
        <w:t xml:space="preserve"> </w:t>
      </w:r>
      <w:r w:rsidRPr="008839B5">
        <w:t>evidence, insights and actionable guidance based on internal and external data.</w:t>
      </w:r>
    </w:p>
    <w:p w14:paraId="2D34644C" w14:textId="40EF4071" w:rsidR="00C20DEA" w:rsidRDefault="003857B7" w:rsidP="005C442A">
      <w:r>
        <w:t xml:space="preserve">To achieve </w:t>
      </w:r>
      <w:r w:rsidR="00FA0B31">
        <w:t>our ICT vision</w:t>
      </w:r>
      <w:r>
        <w:t xml:space="preserve">, we are improving the way we govern and deliver our ICT services. </w:t>
      </w:r>
      <w:r w:rsidR="00FA0B31">
        <w:t>O</w:t>
      </w:r>
      <w:r w:rsidR="00F421CC">
        <w:t xml:space="preserve">ur </w:t>
      </w:r>
      <w:r w:rsidRPr="00792CEA">
        <w:rPr>
          <w:i/>
          <w:iCs/>
        </w:rPr>
        <w:t xml:space="preserve">ICT </w:t>
      </w:r>
      <w:r w:rsidR="00FA0B31" w:rsidRPr="00792CEA">
        <w:rPr>
          <w:i/>
          <w:iCs/>
        </w:rPr>
        <w:t>Strategy</w:t>
      </w:r>
      <w:r w:rsidR="00946F98">
        <w:rPr>
          <w:i/>
          <w:iCs/>
        </w:rPr>
        <w:t> </w:t>
      </w:r>
      <w:r w:rsidR="00FA0B31" w:rsidRPr="00792CEA">
        <w:rPr>
          <w:i/>
          <w:iCs/>
        </w:rPr>
        <w:t>2020</w:t>
      </w:r>
      <w:r w:rsidR="00946F98">
        <w:rPr>
          <w:i/>
          <w:iCs/>
        </w:rPr>
        <w:t> </w:t>
      </w:r>
      <w:r w:rsidR="00FA0B31" w:rsidRPr="00792CEA">
        <w:rPr>
          <w:i/>
          <w:iCs/>
        </w:rPr>
        <w:t>to</w:t>
      </w:r>
      <w:r w:rsidR="00946F98">
        <w:rPr>
          <w:i/>
          <w:iCs/>
        </w:rPr>
        <w:t> </w:t>
      </w:r>
      <w:r w:rsidR="00FA0B31" w:rsidRPr="00792CEA">
        <w:rPr>
          <w:i/>
          <w:iCs/>
        </w:rPr>
        <w:t>2024</w:t>
      </w:r>
      <w:r w:rsidR="00FA0B31">
        <w:t xml:space="preserve"> </w:t>
      </w:r>
      <w:r>
        <w:t>will position us to support</w:t>
      </w:r>
      <w:r w:rsidR="00F421CC">
        <w:t xml:space="preserve"> </w:t>
      </w:r>
      <w:r>
        <w:t xml:space="preserve">the </w:t>
      </w:r>
      <w:r w:rsidR="00FA0B31">
        <w:t xml:space="preserve">department’s </w:t>
      </w:r>
      <w:r>
        <w:t>digital transformation</w:t>
      </w:r>
      <w:r w:rsidR="00FA0B31">
        <w:t>.</w:t>
      </w:r>
    </w:p>
    <w:p w14:paraId="4DF874E6" w14:textId="0D62C5F9" w:rsidR="00C20DEA" w:rsidRDefault="00DB19DF" w:rsidP="005C442A">
      <w:pPr>
        <w:pStyle w:val="Heading3"/>
      </w:pPr>
      <w:r>
        <w:t>Regulatory maturity</w:t>
      </w:r>
    </w:p>
    <w:p w14:paraId="4FA98BB9" w14:textId="1300447E" w:rsidR="00C20DEA" w:rsidRDefault="003857B7" w:rsidP="00C20DEA">
      <w:r>
        <w:t>To strengthen our regulatory functions and achieve our objectives, we</w:t>
      </w:r>
      <w:r w:rsidR="003E2BA6">
        <w:t xml:space="preserve"> have </w:t>
      </w:r>
      <w:r>
        <w:t xml:space="preserve">a new </w:t>
      </w:r>
      <w:hyperlink r:id="rId51" w:history="1">
        <w:r w:rsidR="003E2BA6" w:rsidRPr="00737776">
          <w:rPr>
            <w:rStyle w:val="Hyperlink"/>
          </w:rPr>
          <w:t>Regulatory Practice Statement</w:t>
        </w:r>
      </w:hyperlink>
      <w:r>
        <w:t>.</w:t>
      </w:r>
      <w:r w:rsidR="00ED5EDB" w:rsidRPr="00ED5EDB">
        <w:t xml:space="preserve"> </w:t>
      </w:r>
      <w:r w:rsidR="00ED5EDB">
        <w:t>This signals our commitment to improv</w:t>
      </w:r>
      <w:r w:rsidR="00A4267C">
        <w:t>e</w:t>
      </w:r>
      <w:r w:rsidR="00ED5EDB">
        <w:t xml:space="preserve"> business systems and tools, invest in our people and mak</w:t>
      </w:r>
      <w:r w:rsidR="00A4267C">
        <w:t>e</w:t>
      </w:r>
      <w:r w:rsidR="00ED5EDB">
        <w:t xml:space="preserve"> it easier for regulated entities to understand and comply with</w:t>
      </w:r>
      <w:r w:rsidR="00B31E4F">
        <w:t xml:space="preserve"> </w:t>
      </w:r>
      <w:r w:rsidR="00ED5EDB">
        <w:t>regulations.</w:t>
      </w:r>
    </w:p>
    <w:p w14:paraId="6ADF8D97" w14:textId="2CBBAF19" w:rsidR="00FE0853" w:rsidRDefault="003E2BA6" w:rsidP="00070DB8">
      <w:r>
        <w:t xml:space="preserve">The statement is a strategic document that underpins our regulatory functions and guides our regulatory services. </w:t>
      </w:r>
      <w:r w:rsidR="00741B58" w:rsidRPr="00741B58">
        <w:t xml:space="preserve">We have a diverse workforce, with a broad spectrum of skills and specialisations. </w:t>
      </w:r>
      <w:r w:rsidR="003857B7">
        <w:t xml:space="preserve">The </w:t>
      </w:r>
      <w:r>
        <w:t>s</w:t>
      </w:r>
      <w:r w:rsidR="003857B7">
        <w:t xml:space="preserve">tatement will guide </w:t>
      </w:r>
      <w:r>
        <w:t xml:space="preserve">the adoption of </w:t>
      </w:r>
      <w:r w:rsidR="003857B7">
        <w:t>a common approach</w:t>
      </w:r>
      <w:r>
        <w:t xml:space="preserve">, </w:t>
      </w:r>
      <w:r w:rsidR="003857B7">
        <w:t xml:space="preserve">a strong regulatory culture and mature practice. It includes clear regulatory practice principles to </w:t>
      </w:r>
      <w:r w:rsidR="00FC0A9E">
        <w:t>help</w:t>
      </w:r>
      <w:r w:rsidR="003857B7">
        <w:t xml:space="preserve"> us make decisions, improve the way we engage with stakeholders and deliver quality services.</w:t>
      </w:r>
    </w:p>
    <w:p w14:paraId="1D47CB00" w14:textId="77777777" w:rsidR="00FE0853" w:rsidRDefault="003857B7" w:rsidP="00DB058E">
      <w:pPr>
        <w:pStyle w:val="Heading2"/>
      </w:pPr>
      <w:bookmarkStart w:id="88" w:name="_Toc79585741"/>
      <w:bookmarkStart w:id="89" w:name="_Toc79585803"/>
      <w:r>
        <w:lastRenderedPageBreak/>
        <w:t>Managing risk</w:t>
      </w:r>
      <w:bookmarkEnd w:id="88"/>
      <w:bookmarkEnd w:id="89"/>
    </w:p>
    <w:p w14:paraId="66437D43" w14:textId="4B7FB591" w:rsidR="00FE0853" w:rsidRDefault="003857B7" w:rsidP="00FE0853">
      <w:r>
        <w:t xml:space="preserve">Our diverse </w:t>
      </w:r>
      <w:r w:rsidR="00530C69">
        <w:t>work</w:t>
      </w:r>
      <w:r>
        <w:t xml:space="preserve"> in a complex and changing operating environment mean</w:t>
      </w:r>
      <w:r w:rsidR="00530C69">
        <w:t>s</w:t>
      </w:r>
      <w:r>
        <w:t xml:space="preserve"> we need to manage multiple risks</w:t>
      </w:r>
      <w:r w:rsidR="000D192C">
        <w:t xml:space="preserve">. These range </w:t>
      </w:r>
      <w:r>
        <w:t>from trade tariffs and climate risk to digital disruption and worker health and safety. To better understand and respond to risk, we integrate risk management with governance, planning and performance management.</w:t>
      </w:r>
    </w:p>
    <w:p w14:paraId="4629715F" w14:textId="7D65670B" w:rsidR="00FE0853" w:rsidRDefault="003857B7" w:rsidP="00FE0853">
      <w:r>
        <w:t>Our Chief Risk Officer is responsible for strengthening our risk management capability</w:t>
      </w:r>
      <w:r w:rsidR="000D192C">
        <w:t xml:space="preserve"> and</w:t>
      </w:r>
      <w:r w:rsidR="00B63485">
        <w:t xml:space="preserve"> maturity</w:t>
      </w:r>
      <w:r w:rsidR="000D192C">
        <w:t>,</w:t>
      </w:r>
      <w:r>
        <w:t xml:space="preserve"> and </w:t>
      </w:r>
      <w:r w:rsidR="000D192C">
        <w:t xml:space="preserve">for </w:t>
      </w:r>
      <w:r>
        <w:t>driving a positive risk culture.</w:t>
      </w:r>
    </w:p>
    <w:p w14:paraId="3EEF10EB" w14:textId="466D722F" w:rsidR="00FE0853" w:rsidRDefault="003857B7" w:rsidP="00FE0853">
      <w:r>
        <w:t xml:space="preserve">We take a pragmatic and consistent approach to </w:t>
      </w:r>
      <w:r w:rsidR="000D192C">
        <w:t>managing</w:t>
      </w:r>
      <w:r>
        <w:t xml:space="preserve"> risks</w:t>
      </w:r>
      <w:r w:rsidR="000D192C">
        <w:t>. This</w:t>
      </w:r>
      <w:r>
        <w:t xml:space="preserve"> promotes appropriate and informed risk-taking as part of everyday decision-making.</w:t>
      </w:r>
    </w:p>
    <w:p w14:paraId="7468E52E" w14:textId="094CD2E0" w:rsidR="00FE0853" w:rsidRDefault="000D192C" w:rsidP="00FE0853">
      <w:r>
        <w:t>Our Enterprise Risk Management Framework and Policy provides o</w:t>
      </w:r>
      <w:r w:rsidR="003857B7">
        <w:t>ur risk management approach</w:t>
      </w:r>
      <w:r>
        <w:t>. It</w:t>
      </w:r>
      <w:r w:rsidR="003857B7">
        <w:t xml:space="preserve"> </w:t>
      </w:r>
      <w:r>
        <w:t xml:space="preserve">aligns </w:t>
      </w:r>
      <w:r w:rsidR="003857B7">
        <w:t xml:space="preserve">with the Commonwealth Risk Management Policy and </w:t>
      </w:r>
      <w:r>
        <w:t xml:space="preserve">the </w:t>
      </w:r>
      <w:r w:rsidRPr="00792CEA">
        <w:rPr>
          <w:i/>
          <w:iCs/>
        </w:rPr>
        <w:t>Public Governance, Performance and Accountability Act</w:t>
      </w:r>
      <w:r w:rsidR="00A947ED">
        <w:rPr>
          <w:i/>
          <w:iCs/>
        </w:rPr>
        <w:t> </w:t>
      </w:r>
      <w:r w:rsidRPr="00792CEA">
        <w:rPr>
          <w:i/>
          <w:iCs/>
        </w:rPr>
        <w:t>2013</w:t>
      </w:r>
      <w:r w:rsidR="003857B7">
        <w:t xml:space="preserve">. Our framework </w:t>
      </w:r>
      <w:r>
        <w:t xml:space="preserve">describes </w:t>
      </w:r>
      <w:r w:rsidR="003857B7">
        <w:t>expectations and requirements</w:t>
      </w:r>
      <w:r>
        <w:t>. It</w:t>
      </w:r>
      <w:r w:rsidR="003857B7">
        <w:t xml:space="preserve"> guide</w:t>
      </w:r>
      <w:r>
        <w:t>s</w:t>
      </w:r>
      <w:r w:rsidR="003857B7">
        <w:t xml:space="preserve"> </w:t>
      </w:r>
      <w:r w:rsidR="00EA642D">
        <w:t xml:space="preserve">our people </w:t>
      </w:r>
      <w:r w:rsidR="003857B7">
        <w:t>in identifying and managing risks.</w:t>
      </w:r>
    </w:p>
    <w:p w14:paraId="772CFF6F" w14:textId="7D5C9215" w:rsidR="00FE0853" w:rsidRDefault="000D192C" w:rsidP="00DB058E">
      <w:pPr>
        <w:pStyle w:val="Heading3"/>
      </w:pPr>
      <w:bookmarkStart w:id="90" w:name="_Toc76550812"/>
      <w:bookmarkStart w:id="91" w:name="_Toc76972901"/>
      <w:bookmarkStart w:id="92" w:name="_Toc79585804"/>
      <w:r>
        <w:t>S</w:t>
      </w:r>
      <w:r w:rsidR="003857B7">
        <w:t>trategic risks</w:t>
      </w:r>
      <w:bookmarkEnd w:id="90"/>
      <w:bookmarkEnd w:id="91"/>
      <w:bookmarkEnd w:id="92"/>
      <w:r w:rsidR="003857B7">
        <w:t xml:space="preserve"> </w:t>
      </w:r>
    </w:p>
    <w:p w14:paraId="14502A8E" w14:textId="0C0016D8" w:rsidR="00FE0853" w:rsidRDefault="003857B7" w:rsidP="00FE0853">
      <w:r>
        <w:t>Our strategic risks are those that, if realised, would materially affect our ability to achieve our purpose and objectives (</w:t>
      </w:r>
      <w:r w:rsidR="00613DAA">
        <w:fldChar w:fldCharType="begin"/>
      </w:r>
      <w:r w:rsidR="00613DAA">
        <w:instrText xml:space="preserve"> REF _Ref75853938 \h </w:instrText>
      </w:r>
      <w:r w:rsidR="00613DAA">
        <w:fldChar w:fldCharType="separate"/>
      </w:r>
      <w:r w:rsidR="00613DAA">
        <w:t>Figure </w:t>
      </w:r>
      <w:r w:rsidR="00613DAA">
        <w:rPr>
          <w:noProof/>
        </w:rPr>
        <w:t>9</w:t>
      </w:r>
      <w:r w:rsidR="00613DAA">
        <w:fldChar w:fldCharType="end"/>
      </w:r>
      <w:r>
        <w:t>).</w:t>
      </w:r>
    </w:p>
    <w:p w14:paraId="627D4C58" w14:textId="323D6002" w:rsidR="00DB058E" w:rsidRDefault="00613DAA" w:rsidP="00DB058E">
      <w:pPr>
        <w:pStyle w:val="Caption"/>
      </w:pPr>
      <w:bookmarkStart w:id="93" w:name="_Ref75853938"/>
      <w:bookmarkStart w:id="94" w:name="_Toc77254394"/>
      <w:r>
        <w:t>Figure </w:t>
      </w:r>
      <w:fldSimple w:instr=" SEQ Figure \* ARABIC ">
        <w:r w:rsidR="001F07E6">
          <w:rPr>
            <w:noProof/>
          </w:rPr>
          <w:t>9</w:t>
        </w:r>
      </w:fldSimple>
      <w:bookmarkEnd w:id="93"/>
      <w:r w:rsidR="003857B7">
        <w:t xml:space="preserve"> Our strategic risks</w:t>
      </w:r>
      <w:bookmarkEnd w:id="94"/>
    </w:p>
    <w:p w14:paraId="5F4AB021" w14:textId="43B04840" w:rsidR="00FE0853" w:rsidRPr="00792CEA" w:rsidRDefault="000D192C" w:rsidP="0078126A">
      <w:pPr>
        <w:pStyle w:val="BoxTextBullet"/>
      </w:pPr>
      <w:r w:rsidRPr="00792CEA">
        <w:t xml:space="preserve">failure </w:t>
      </w:r>
      <w:r w:rsidR="003857B7" w:rsidRPr="00792CEA">
        <w:t>to respond to megatrends or global developments in the design and execution of our programs and policies</w:t>
      </w:r>
    </w:p>
    <w:p w14:paraId="4F53D65A" w14:textId="6E3F3B96" w:rsidR="00FE0853" w:rsidRPr="00792CEA" w:rsidRDefault="000D192C" w:rsidP="0078126A">
      <w:pPr>
        <w:pStyle w:val="BoxTextBullet"/>
      </w:pPr>
      <w:r w:rsidRPr="00792CEA">
        <w:t xml:space="preserve">failure </w:t>
      </w:r>
      <w:r w:rsidR="003857B7" w:rsidRPr="00792CEA">
        <w:t>to harness our resources and capabilities to deliver government priorities</w:t>
      </w:r>
    </w:p>
    <w:p w14:paraId="5E5317E8" w14:textId="0ADDE7C0" w:rsidR="00FE0853" w:rsidRPr="00792CEA" w:rsidRDefault="000D192C" w:rsidP="0078126A">
      <w:pPr>
        <w:pStyle w:val="BoxTextBullet"/>
      </w:pPr>
      <w:r w:rsidRPr="00792CEA">
        <w:t xml:space="preserve">failure </w:t>
      </w:r>
      <w:r w:rsidR="003857B7" w:rsidRPr="00792CEA">
        <w:t>to implement regulatory responsibilities and programs to deliver protection and growth</w:t>
      </w:r>
    </w:p>
    <w:p w14:paraId="34C8F79F" w14:textId="6776F0DC" w:rsidR="00FE0853" w:rsidRPr="00792CEA" w:rsidRDefault="000A5D78" w:rsidP="0078126A">
      <w:pPr>
        <w:pStyle w:val="BoxTextBullet"/>
      </w:pPr>
      <w:r>
        <w:t>o</w:t>
      </w:r>
      <w:r w:rsidR="003857B7" w:rsidRPr="00792CEA">
        <w:t>ur expertise and stakeholder relationships do not position us to provide future-focused policy options and advice</w:t>
      </w:r>
    </w:p>
    <w:p w14:paraId="1CD06E86" w14:textId="19A612BF" w:rsidR="00FE0853" w:rsidRPr="00792CEA" w:rsidRDefault="000D192C" w:rsidP="0078126A">
      <w:pPr>
        <w:pStyle w:val="BoxTextBullet"/>
      </w:pPr>
      <w:r w:rsidRPr="00792CEA">
        <w:t xml:space="preserve">failure </w:t>
      </w:r>
      <w:r w:rsidR="003857B7" w:rsidRPr="00792CEA">
        <w:t>to manage the unique health and safety hazards presented by our diverse operations in challenging locations</w:t>
      </w:r>
    </w:p>
    <w:p w14:paraId="032CC368" w14:textId="1329F943" w:rsidR="00FE0853" w:rsidRPr="00792CEA" w:rsidRDefault="000D192C" w:rsidP="0078126A">
      <w:pPr>
        <w:pStyle w:val="BoxTextBullet"/>
      </w:pPr>
      <w:r w:rsidRPr="00792CEA">
        <w:t xml:space="preserve">failure </w:t>
      </w:r>
      <w:r w:rsidR="003857B7" w:rsidRPr="00792CEA">
        <w:t>to invest in systems and technology to deliver quality digital services.</w:t>
      </w:r>
    </w:p>
    <w:p w14:paraId="67510D26" w14:textId="66583C2C" w:rsidR="00FE0853" w:rsidRDefault="003857B7" w:rsidP="00DB058E">
      <w:pPr>
        <w:pStyle w:val="Heading3"/>
      </w:pPr>
      <w:bookmarkStart w:id="95" w:name="_Toc76972902"/>
      <w:bookmarkStart w:id="96" w:name="_Toc76550813"/>
      <w:bookmarkStart w:id="97" w:name="_Toc79585805"/>
      <w:r>
        <w:t>Risk mitigation strategies</w:t>
      </w:r>
      <w:bookmarkEnd w:id="95"/>
      <w:bookmarkEnd w:id="96"/>
      <w:bookmarkEnd w:id="97"/>
    </w:p>
    <w:p w14:paraId="2B7256A1" w14:textId="07586C6E" w:rsidR="00FE0853" w:rsidRDefault="003857B7" w:rsidP="00FE0853">
      <w:r>
        <w:t>We have established controls to reduce the likelihood of our strategic risks occurring</w:t>
      </w:r>
      <w:r w:rsidR="0081719A">
        <w:t>, to minimise the potential consequences where</w:t>
      </w:r>
      <w:r w:rsidR="001019B4">
        <w:t xml:space="preserve"> </w:t>
      </w:r>
      <w:r w:rsidR="0081719A">
        <w:t>able,</w:t>
      </w:r>
      <w:r>
        <w:t xml:space="preserve"> and </w:t>
      </w:r>
      <w:r w:rsidR="001019B4">
        <w:t xml:space="preserve">to </w:t>
      </w:r>
      <w:r>
        <w:t xml:space="preserve">ensure risks are effectively monitored, reported and managed. </w:t>
      </w:r>
      <w:r w:rsidR="000D192C">
        <w:t xml:space="preserve">This section describes our </w:t>
      </w:r>
      <w:r>
        <w:t>controls</w:t>
      </w:r>
      <w:r w:rsidR="000D192C">
        <w:t>.</w:t>
      </w:r>
    </w:p>
    <w:p w14:paraId="5C723794" w14:textId="77777777" w:rsidR="00C50941" w:rsidRPr="005C442A" w:rsidRDefault="003857B7" w:rsidP="005C442A">
      <w:pPr>
        <w:pStyle w:val="Heading4"/>
        <w:rPr>
          <w:rFonts w:eastAsiaTheme="minorHAnsi"/>
        </w:rPr>
      </w:pPr>
      <w:r w:rsidRPr="005C442A">
        <w:rPr>
          <w:rFonts w:eastAsiaTheme="minorHAnsi"/>
        </w:rPr>
        <w:t>Ongoing oversight</w:t>
      </w:r>
    </w:p>
    <w:p w14:paraId="24CB017C" w14:textId="62094F0E" w:rsidR="00FE0853" w:rsidRDefault="003857B7" w:rsidP="005C442A">
      <w:r>
        <w:t>Our Executive Board maintains visibility and oversight of strategic risks</w:t>
      </w:r>
      <w:r w:rsidR="000D192C">
        <w:t>,</w:t>
      </w:r>
      <w:r>
        <w:t xml:space="preserve"> and the ongoing efficacy of their management</w:t>
      </w:r>
      <w:r w:rsidR="00FC0A9E">
        <w:t>,</w:t>
      </w:r>
      <w:r>
        <w:t xml:space="preserve"> through regular risk report</w:t>
      </w:r>
      <w:r w:rsidR="000D192C">
        <w:t xml:space="preserve">s from </w:t>
      </w:r>
      <w:r>
        <w:t>the Chief Risk Officer.</w:t>
      </w:r>
      <w:r w:rsidR="00B31E4F">
        <w:t xml:space="preserve"> </w:t>
      </w:r>
      <w:r>
        <w:t>Strategic risk owners are required to coordinate management and mitigation activities across the department, and to report any changes in risk profile.</w:t>
      </w:r>
    </w:p>
    <w:p w14:paraId="1B04A7EC" w14:textId="1A2ABB95" w:rsidR="00C50941" w:rsidRPr="005C442A" w:rsidRDefault="003857B7" w:rsidP="005C442A">
      <w:pPr>
        <w:pStyle w:val="Heading4"/>
      </w:pPr>
      <w:r w:rsidRPr="005C442A">
        <w:rPr>
          <w:rFonts w:eastAsiaTheme="minorHAnsi"/>
        </w:rPr>
        <w:lastRenderedPageBreak/>
        <w:t>Application of risk management and monitoring approaches</w:t>
      </w:r>
    </w:p>
    <w:p w14:paraId="505CF592" w14:textId="42212BFB" w:rsidR="000D192C" w:rsidRDefault="003857B7" w:rsidP="005C442A">
      <w:r>
        <w:t xml:space="preserve">In line with the Commonwealth Risk Management Policy, </w:t>
      </w:r>
      <w:r w:rsidR="0081719A">
        <w:t xml:space="preserve">we define our approach to risk management through </w:t>
      </w:r>
      <w:r w:rsidR="003A0D47">
        <w:t xml:space="preserve">our </w:t>
      </w:r>
      <w:r w:rsidR="0081719A">
        <w:t>Enterprise Risk Management Framework and Policy</w:t>
      </w:r>
      <w:r w:rsidR="001019B4">
        <w:t>. This</w:t>
      </w:r>
      <w:r w:rsidR="0081719A">
        <w:t xml:space="preserve"> ensures</w:t>
      </w:r>
      <w:r w:rsidR="0081719A" w:rsidRPr="00184181">
        <w:t xml:space="preserve"> </w:t>
      </w:r>
      <w:r w:rsidR="001019B4">
        <w:t xml:space="preserve">we </w:t>
      </w:r>
      <w:r w:rsidR="0081719A" w:rsidRPr="00184181">
        <w:t>tak</w:t>
      </w:r>
      <w:r w:rsidR="003A0D47">
        <w:t>e</w:t>
      </w:r>
      <w:r w:rsidR="0081719A" w:rsidRPr="00184181">
        <w:t xml:space="preserve"> a consistent</w:t>
      </w:r>
      <w:r w:rsidR="0081719A">
        <w:t>,</w:t>
      </w:r>
      <w:r w:rsidR="0081719A" w:rsidRPr="00184181">
        <w:t xml:space="preserve"> integrated </w:t>
      </w:r>
      <w:r w:rsidR="0081719A">
        <w:t xml:space="preserve">and proactive </w:t>
      </w:r>
      <w:r w:rsidR="0081719A" w:rsidRPr="00184181">
        <w:t xml:space="preserve">approach to managing </w:t>
      </w:r>
      <w:r w:rsidR="0081719A">
        <w:t xml:space="preserve">strategic </w:t>
      </w:r>
      <w:r w:rsidR="0081719A" w:rsidRPr="00184181">
        <w:t>risks</w:t>
      </w:r>
      <w:r w:rsidR="0081719A">
        <w:t>, in accordance with our risk appetite and tolerance statements</w:t>
      </w:r>
      <w:r w:rsidR="0081719A" w:rsidRPr="00184181">
        <w:t>.</w:t>
      </w:r>
    </w:p>
    <w:p w14:paraId="1CAAD337" w14:textId="4B57AF10" w:rsidR="00FE0853" w:rsidRDefault="000D192C" w:rsidP="005C442A">
      <w:r>
        <w:t>W</w:t>
      </w:r>
      <w:r w:rsidR="0081719A">
        <w:t xml:space="preserve">e encourage and support our </w:t>
      </w:r>
      <w:r w:rsidR="00EA642D">
        <w:t xml:space="preserve">people </w:t>
      </w:r>
      <w:r w:rsidR="0081719A">
        <w:t xml:space="preserve">and </w:t>
      </w:r>
      <w:r w:rsidR="00EA642D">
        <w:t xml:space="preserve">our </w:t>
      </w:r>
      <w:r w:rsidR="0081719A">
        <w:t xml:space="preserve">stakeholders to continually identify, assess and monitor current and emerging risks. </w:t>
      </w:r>
      <w:r>
        <w:t>We provide</w:t>
      </w:r>
      <w:r w:rsidR="0081719A">
        <w:t xml:space="preserve"> support and guidance for </w:t>
      </w:r>
      <w:r w:rsidR="00425332">
        <w:t xml:space="preserve">our people </w:t>
      </w:r>
      <w:r w:rsidR="0081719A">
        <w:t>to measure the performance and effectiveness of risk mitigation measures</w:t>
      </w:r>
      <w:r w:rsidR="00035115">
        <w:t>. This ensures</w:t>
      </w:r>
      <w:r w:rsidR="0081719A">
        <w:t xml:space="preserve"> the</w:t>
      </w:r>
      <w:r w:rsidR="00530C69">
        <w:t xml:space="preserve"> measures</w:t>
      </w:r>
      <w:r w:rsidR="0081719A">
        <w:t xml:space="preserve"> remain fit-for-purpose</w:t>
      </w:r>
      <w:r w:rsidR="00035115">
        <w:t xml:space="preserve"> and </w:t>
      </w:r>
      <w:r w:rsidR="00425332">
        <w:t xml:space="preserve">we </w:t>
      </w:r>
      <w:r w:rsidR="00035115">
        <w:t xml:space="preserve">can </w:t>
      </w:r>
      <w:r w:rsidR="0081719A">
        <w:t>identify opportunities for improvement.</w:t>
      </w:r>
    </w:p>
    <w:p w14:paraId="6075AD96" w14:textId="1A4F0D99" w:rsidR="00C50941" w:rsidRPr="005C442A" w:rsidRDefault="003857B7" w:rsidP="005C442A">
      <w:pPr>
        <w:pStyle w:val="Heading4"/>
        <w:rPr>
          <w:rFonts w:eastAsiaTheme="minorHAnsi"/>
        </w:rPr>
      </w:pPr>
      <w:r w:rsidRPr="005C442A">
        <w:rPr>
          <w:rFonts w:eastAsiaTheme="minorHAnsi"/>
        </w:rPr>
        <w:t>Regular reporting to the executive</w:t>
      </w:r>
    </w:p>
    <w:p w14:paraId="25044772" w14:textId="3664039D" w:rsidR="00035115" w:rsidRDefault="003857B7" w:rsidP="005C442A">
      <w:r>
        <w:t>T</w:t>
      </w:r>
      <w:r w:rsidRPr="00164AFE">
        <w:t xml:space="preserve">he </w:t>
      </w:r>
      <w:r>
        <w:t>C</w:t>
      </w:r>
      <w:r w:rsidRPr="00164AFE">
        <w:t xml:space="preserve">hief </w:t>
      </w:r>
      <w:r>
        <w:t>R</w:t>
      </w:r>
      <w:r w:rsidRPr="00164AFE">
        <w:t xml:space="preserve">isk </w:t>
      </w:r>
      <w:r>
        <w:t>O</w:t>
      </w:r>
      <w:r w:rsidRPr="00164AFE">
        <w:t xml:space="preserve">fficer </w:t>
      </w:r>
      <w:r>
        <w:t xml:space="preserve">reports to the Executive Board and Portfolio Audit Committee on the ongoing management of our strategic risks, </w:t>
      </w:r>
      <w:r w:rsidR="00530C69">
        <w:t xml:space="preserve">the </w:t>
      </w:r>
      <w:r>
        <w:t>maturity of risk identification and management practices, and emerging cross-cutting risks and issues that are shaping our strategic risk profile.</w:t>
      </w:r>
    </w:p>
    <w:p w14:paraId="1D221A0C" w14:textId="12CF14BE" w:rsidR="00035115" w:rsidRDefault="0043465A" w:rsidP="005C442A">
      <w:r>
        <w:t>Along with the Chief Risk Officer’s quarterly reports to the Executive Board and Portfolio Audit Committee, each division also reports to the senior executive twice a year on its progress in managing and mitigating risks</w:t>
      </w:r>
      <w:r w:rsidR="00C04FDD">
        <w:t>,</w:t>
      </w:r>
      <w:r>
        <w:t xml:space="preserve"> as part of the executive performance review process.</w:t>
      </w:r>
    </w:p>
    <w:p w14:paraId="1D912DB5" w14:textId="098C0F73" w:rsidR="0081719A" w:rsidRDefault="0043465A" w:rsidP="005C442A">
      <w:r>
        <w:t>Risk owners are required to manage risks in line with our risk appetite and tolerance</w:t>
      </w:r>
      <w:r w:rsidR="00035115">
        <w:t>. This is</w:t>
      </w:r>
      <w:r>
        <w:t xml:space="preserve"> defined in </w:t>
      </w:r>
      <w:r w:rsidR="00753044">
        <w:t>our</w:t>
      </w:r>
      <w:r>
        <w:t xml:space="preserve"> Enterprise Risk Management Framework and Policy.</w:t>
      </w:r>
    </w:p>
    <w:p w14:paraId="659346E7" w14:textId="77777777" w:rsidR="00C50941" w:rsidRPr="009F5252" w:rsidRDefault="003857B7" w:rsidP="005C442A">
      <w:pPr>
        <w:pStyle w:val="Heading4"/>
      </w:pPr>
      <w:r w:rsidRPr="005C442A">
        <w:rPr>
          <w:rStyle w:val="Heading5Char"/>
          <w:rFonts w:cs="Times New Roman"/>
          <w:b/>
          <w:bCs/>
          <w:sz w:val="28"/>
          <w:szCs w:val="24"/>
        </w:rPr>
        <w:t>Strategic policies, programs and procedures</w:t>
      </w:r>
    </w:p>
    <w:p w14:paraId="06DCA09F" w14:textId="198C6A87" w:rsidR="00035115" w:rsidRDefault="003857B7" w:rsidP="005C442A">
      <w:r>
        <w:t xml:space="preserve">To provide assurance that we </w:t>
      </w:r>
      <w:r w:rsidR="00530C69">
        <w:t>can</w:t>
      </w:r>
      <w:r>
        <w:t xml:space="preserve"> achieve our purpose and objectives and manag</w:t>
      </w:r>
      <w:r w:rsidR="00530C69">
        <w:t>e</w:t>
      </w:r>
      <w:r>
        <w:t xml:space="preserve"> strategic risks, we continue to develop, enhance and manage both existing and future strategic policies, programs and procedures.</w:t>
      </w:r>
    </w:p>
    <w:p w14:paraId="5E13F710" w14:textId="7C62B2A1" w:rsidR="0081719A" w:rsidRPr="00164AFE" w:rsidRDefault="00BA386D" w:rsidP="005C442A">
      <w:r>
        <w:t>Our</w:t>
      </w:r>
      <w:r w:rsidR="003857B7">
        <w:t xml:space="preserve"> strategic controls </w:t>
      </w:r>
      <w:r w:rsidR="00A145F9">
        <w:t>provide</w:t>
      </w:r>
      <w:r w:rsidR="003857B7">
        <w:t xml:space="preserve"> effective risk mitigation to manage</w:t>
      </w:r>
      <w:r>
        <w:t xml:space="preserve"> </w:t>
      </w:r>
      <w:r w:rsidR="003857B7">
        <w:t>our</w:t>
      </w:r>
      <w:r w:rsidR="003857B7" w:rsidRPr="00974469">
        <w:t xml:space="preserve"> health and safety hazards</w:t>
      </w:r>
      <w:r w:rsidR="00163C0D">
        <w:t>,</w:t>
      </w:r>
      <w:r>
        <w:t xml:space="preserve"> </w:t>
      </w:r>
      <w:r w:rsidR="003857B7" w:rsidRPr="00974469">
        <w:t>resources and capabilities</w:t>
      </w:r>
      <w:r>
        <w:t xml:space="preserve">. These controls also ensure we </w:t>
      </w:r>
      <w:r w:rsidR="003857B7" w:rsidRPr="00974469">
        <w:t xml:space="preserve">implement </w:t>
      </w:r>
      <w:r w:rsidR="003857B7">
        <w:t>and manag</w:t>
      </w:r>
      <w:r>
        <w:t>e</w:t>
      </w:r>
      <w:r w:rsidR="003857B7">
        <w:t xml:space="preserve"> our </w:t>
      </w:r>
      <w:r w:rsidR="003857B7" w:rsidRPr="00974469">
        <w:t>regulatory responsibilities and programs</w:t>
      </w:r>
      <w:r w:rsidR="00163C0D">
        <w:t xml:space="preserve"> </w:t>
      </w:r>
      <w:r w:rsidR="003857B7">
        <w:t xml:space="preserve">effectively and in line with </w:t>
      </w:r>
      <w:r w:rsidR="00163C0D">
        <w:t>g</w:t>
      </w:r>
      <w:r w:rsidR="003857B7">
        <w:t>overnment expectations.</w:t>
      </w:r>
    </w:p>
    <w:p w14:paraId="3EFA1746" w14:textId="77777777" w:rsidR="00C50941" w:rsidRPr="00E67317" w:rsidRDefault="003857B7" w:rsidP="005C442A">
      <w:pPr>
        <w:pStyle w:val="Heading4"/>
        <w:rPr>
          <w:rStyle w:val="Heading5Char"/>
          <w:rFonts w:cs="Times New Roman"/>
          <w:b/>
          <w:bCs/>
          <w:sz w:val="28"/>
          <w:szCs w:val="24"/>
        </w:rPr>
      </w:pPr>
      <w:r w:rsidRPr="005C442A">
        <w:rPr>
          <w:rStyle w:val="Heading5Char"/>
          <w:rFonts w:cs="Times New Roman"/>
          <w:b/>
          <w:bCs/>
          <w:sz w:val="28"/>
          <w:szCs w:val="24"/>
        </w:rPr>
        <w:t>Auditing and review</w:t>
      </w:r>
    </w:p>
    <w:p w14:paraId="1B5BB8F1" w14:textId="451268C0" w:rsidR="00FE0853" w:rsidRDefault="003857B7" w:rsidP="005C442A">
      <w:r>
        <w:t xml:space="preserve">External audits, </w:t>
      </w:r>
      <w:r w:rsidR="00430E63">
        <w:t>internal</w:t>
      </w:r>
      <w:r w:rsidR="00093F4F">
        <w:t xml:space="preserve"> audits, </w:t>
      </w:r>
      <w:r>
        <w:t xml:space="preserve">benchmarking programs and reviews provide insights into the effectiveness of risk identification and management activities. We are committed to ensuring </w:t>
      </w:r>
      <w:r w:rsidR="00035115">
        <w:t xml:space="preserve">prompt action in </w:t>
      </w:r>
      <w:r>
        <w:t>areas identified for improvement.</w:t>
      </w:r>
    </w:p>
    <w:p w14:paraId="28D2A73B" w14:textId="0DA10192" w:rsidR="00FE0853" w:rsidRDefault="003857B7" w:rsidP="00DB058E">
      <w:pPr>
        <w:pStyle w:val="Heading3"/>
      </w:pPr>
      <w:bookmarkStart w:id="98" w:name="_Toc76550814"/>
      <w:bookmarkStart w:id="99" w:name="_Toc76972903"/>
      <w:bookmarkStart w:id="100" w:name="_Toc79585806"/>
      <w:r>
        <w:t>Building a positive risk culture</w:t>
      </w:r>
      <w:bookmarkEnd w:id="98"/>
      <w:bookmarkEnd w:id="99"/>
      <w:bookmarkEnd w:id="100"/>
    </w:p>
    <w:p w14:paraId="34664652" w14:textId="7B8608EA" w:rsidR="00FE0853" w:rsidRDefault="003857B7" w:rsidP="00FE0853">
      <w:r>
        <w:t xml:space="preserve">We promote a positive risk culture to guide innovation, manage threats, harness opportunities and empower </w:t>
      </w:r>
      <w:r w:rsidR="0057468E">
        <w:t xml:space="preserve">our people </w:t>
      </w:r>
      <w:r>
        <w:t>to make informed</w:t>
      </w:r>
      <w:r w:rsidR="00163C0D">
        <w:t>,</w:t>
      </w:r>
      <w:r>
        <w:t xml:space="preserve"> risk-based decisions.</w:t>
      </w:r>
    </w:p>
    <w:p w14:paraId="52A480FE" w14:textId="7DA14E9C" w:rsidR="00FE0853" w:rsidRDefault="003857B7" w:rsidP="00FE0853">
      <w:r>
        <w:t xml:space="preserve">Risk management is the responsibility of all </w:t>
      </w:r>
      <w:r w:rsidR="0057468E">
        <w:t>our people</w:t>
      </w:r>
      <w:r>
        <w:t xml:space="preserve">. We encourage </w:t>
      </w:r>
      <w:r w:rsidR="0057468E">
        <w:t xml:space="preserve">them </w:t>
      </w:r>
      <w:r>
        <w:t xml:space="preserve">to incorporate consideration of risk into their day-to-day work. </w:t>
      </w:r>
      <w:r w:rsidR="0081719A">
        <w:t>Proa</w:t>
      </w:r>
      <w:r>
        <w:t>ctively managing risk balances threats with opportunities</w:t>
      </w:r>
      <w:r w:rsidR="00093F4F">
        <w:t>. It</w:t>
      </w:r>
      <w:r>
        <w:t xml:space="preserve"> allows us to recognise the importance of controls </w:t>
      </w:r>
      <w:r w:rsidR="00093F4F">
        <w:t>while</w:t>
      </w:r>
      <w:r>
        <w:t xml:space="preserve"> realis</w:t>
      </w:r>
      <w:r w:rsidR="00093F4F">
        <w:t>ing</w:t>
      </w:r>
      <w:r>
        <w:t xml:space="preserve"> opportunities for efficiency, innovation and continuous improvement.</w:t>
      </w:r>
    </w:p>
    <w:p w14:paraId="0BF57BE0" w14:textId="77777777" w:rsidR="00FE0853" w:rsidRDefault="003857B7" w:rsidP="00DB058E">
      <w:pPr>
        <w:pStyle w:val="Heading2"/>
      </w:pPr>
      <w:bookmarkStart w:id="101" w:name="_Our_performance_measures"/>
      <w:bookmarkStart w:id="102" w:name="_Toc79585742"/>
      <w:bookmarkStart w:id="103" w:name="_Toc79585807"/>
      <w:bookmarkEnd w:id="101"/>
      <w:r>
        <w:lastRenderedPageBreak/>
        <w:t>Our performance measures</w:t>
      </w:r>
      <w:bookmarkEnd w:id="102"/>
      <w:bookmarkEnd w:id="103"/>
    </w:p>
    <w:p w14:paraId="53AA97CA" w14:textId="5DAF1C2E" w:rsidR="000C1707" w:rsidRDefault="000C1707" w:rsidP="00792CEA">
      <w:pPr>
        <w:pStyle w:val="Heading3"/>
      </w:pPr>
      <w:bookmarkStart w:id="104" w:name="_Toc76972905"/>
      <w:bookmarkStart w:id="105" w:name="_Toc79585808"/>
      <w:r>
        <w:t xml:space="preserve">New </w:t>
      </w:r>
      <w:r w:rsidR="009A60E2">
        <w:t>performance</w:t>
      </w:r>
      <w:r>
        <w:t xml:space="preserve"> framework</w:t>
      </w:r>
      <w:bookmarkEnd w:id="104"/>
      <w:bookmarkEnd w:id="105"/>
    </w:p>
    <w:p w14:paraId="639DED8E" w14:textId="5E17D25C" w:rsidR="00FE0853" w:rsidRDefault="002261CB" w:rsidP="00FE0853">
      <w:r>
        <w:t>This year</w:t>
      </w:r>
      <w:r w:rsidR="003857B7">
        <w:t xml:space="preserve"> we </w:t>
      </w:r>
      <w:r w:rsidR="00163C0D">
        <w:t xml:space="preserve">have </w:t>
      </w:r>
      <w:r w:rsidR="00531AD3">
        <w:t>developed</w:t>
      </w:r>
      <w:r w:rsidR="003857B7">
        <w:t xml:space="preserve"> a new framework to measure our performance against our purpose, objectives and priorities. Th</w:t>
      </w:r>
      <w:r w:rsidR="00163C0D">
        <w:t>is</w:t>
      </w:r>
      <w:r w:rsidR="003857B7">
        <w:t xml:space="preserve"> framework</w:t>
      </w:r>
      <w:r w:rsidR="009F5252">
        <w:t xml:space="preserve"> (</w:t>
      </w:r>
      <w:r w:rsidR="003A0D47">
        <w:fldChar w:fldCharType="begin"/>
      </w:r>
      <w:r w:rsidR="003A0D47">
        <w:instrText xml:space="preserve"> REF _Ref77244832 \h </w:instrText>
      </w:r>
      <w:r w:rsidR="003A0D47">
        <w:fldChar w:fldCharType="separate"/>
      </w:r>
      <w:r w:rsidR="003A0D47">
        <w:t>Figure</w:t>
      </w:r>
      <w:r w:rsidR="00613DAA">
        <w:t> </w:t>
      </w:r>
      <w:r w:rsidR="003A0D47">
        <w:rPr>
          <w:noProof/>
        </w:rPr>
        <w:t>10</w:t>
      </w:r>
      <w:r w:rsidR="003A0D47">
        <w:fldChar w:fldCharType="end"/>
      </w:r>
      <w:r w:rsidR="009F5252">
        <w:t>)</w:t>
      </w:r>
      <w:r w:rsidR="003857B7">
        <w:t xml:space="preserve"> will </w:t>
      </w:r>
      <w:r w:rsidR="000C1707">
        <w:t>improve</w:t>
      </w:r>
      <w:r w:rsidR="003857B7">
        <w:t xml:space="preserve"> consistency across performance measures</w:t>
      </w:r>
      <w:r>
        <w:t xml:space="preserve">. It will </w:t>
      </w:r>
      <w:r w:rsidR="003857B7">
        <w:t xml:space="preserve">align the activities we deliver </w:t>
      </w:r>
      <w:r w:rsidR="000C1707">
        <w:t xml:space="preserve">against </w:t>
      </w:r>
      <w:r w:rsidR="003857B7">
        <w:t>our objectives.</w:t>
      </w:r>
    </w:p>
    <w:p w14:paraId="3CAF4EBB" w14:textId="5A7024AA" w:rsidR="00FE0853" w:rsidRDefault="00613DAA" w:rsidP="00DB058E">
      <w:pPr>
        <w:pStyle w:val="Caption"/>
      </w:pPr>
      <w:bookmarkStart w:id="106" w:name="_Ref77244832"/>
      <w:bookmarkStart w:id="107" w:name="_Toc77254395"/>
      <w:r>
        <w:t>Figure </w:t>
      </w:r>
      <w:fldSimple w:instr=" SEQ Figure \* ARABIC ">
        <w:r w:rsidR="001F07E6">
          <w:rPr>
            <w:noProof/>
          </w:rPr>
          <w:t>10</w:t>
        </w:r>
      </w:fldSimple>
      <w:bookmarkEnd w:id="106"/>
      <w:r w:rsidR="003857B7" w:rsidRPr="00DB058E">
        <w:t xml:space="preserve"> </w:t>
      </w:r>
      <w:r w:rsidR="003857B7">
        <w:t>Enterprise performance framework</w:t>
      </w:r>
      <w:bookmarkEnd w:id="107"/>
    </w:p>
    <w:p w14:paraId="2C6C3639" w14:textId="174C92E6" w:rsidR="00FE0853" w:rsidRDefault="00824119" w:rsidP="00DB058E">
      <w:pPr>
        <w:pStyle w:val="Picture"/>
      </w:pPr>
      <w:r>
        <w:drawing>
          <wp:inline distT="0" distB="0" distL="0" distR="0" wp14:anchorId="6FAC4D74" wp14:editId="05E9CF8D">
            <wp:extent cx="5759450" cy="2892508"/>
            <wp:effectExtent l="0" t="0" r="0" b="3175"/>
            <wp:docPr id="13" name="Picture 13" descr="Funnel shape. Top of funnel has broad, aspirational levels of purpose (why does the department exist?) and objectives (what are we trying to achieve?). This narrows to the specific, measurable levels of performance criteria (what are the desired outcomes for each of our objectives?), measures (how will we know we are making progress?) and targets (what result do we want and w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Funnel shape. Top of funnel has broad, aspirational levels of purpose (why does the department exist?) and objectives (what are we trying to achieve?). This narrows to the specific, measurable levels of performance criteria (what are the desired outcomes for each of our objectives?), measures (how will we know we are making progress?) and targets (what result do we want and when?)."/>
                    <pic:cNvPicPr/>
                  </pic:nvPicPr>
                  <pic:blipFill rotWithShape="1">
                    <a:blip r:embed="rId52" cstate="screen">
                      <a:extLst>
                        <a:ext uri="{28A0092B-C50C-407E-A947-70E740481C1C}">
                          <a14:useLocalDpi xmlns:a14="http://schemas.microsoft.com/office/drawing/2010/main"/>
                        </a:ext>
                      </a:extLst>
                    </a:blip>
                    <a:srcRect t="4465"/>
                    <a:stretch/>
                  </pic:blipFill>
                  <pic:spPr bwMode="auto">
                    <a:xfrm>
                      <a:off x="0" y="0"/>
                      <a:ext cx="5759450" cy="2892508"/>
                    </a:xfrm>
                    <a:prstGeom prst="rect">
                      <a:avLst/>
                    </a:prstGeom>
                    <a:ln>
                      <a:noFill/>
                    </a:ln>
                    <a:extLst>
                      <a:ext uri="{53640926-AAD7-44D8-BBD7-CCE9431645EC}">
                        <a14:shadowObscured xmlns:a14="http://schemas.microsoft.com/office/drawing/2010/main"/>
                      </a:ext>
                    </a:extLst>
                  </pic:spPr>
                </pic:pic>
              </a:graphicData>
            </a:graphic>
          </wp:inline>
        </w:drawing>
      </w:r>
    </w:p>
    <w:p w14:paraId="4E68FDD3" w14:textId="21A118A5" w:rsidR="0089074E" w:rsidRDefault="003857B7" w:rsidP="00FE0853">
      <w:r>
        <w:t xml:space="preserve">The framework </w:t>
      </w:r>
      <w:r w:rsidR="002261CB">
        <w:t xml:space="preserve">levels </w:t>
      </w:r>
      <w:r>
        <w:t>are connected as follows:</w:t>
      </w:r>
    </w:p>
    <w:p w14:paraId="2CDE6EAE" w14:textId="3C3B3E38" w:rsidR="00FE0853" w:rsidRDefault="003857B7" w:rsidP="00A91233">
      <w:pPr>
        <w:pStyle w:val="ListBullet"/>
      </w:pPr>
      <w:r>
        <w:t>Our</w:t>
      </w:r>
      <w:r w:rsidR="0043465A">
        <w:t xml:space="preserve"> purpose captures what </w:t>
      </w:r>
      <w:r>
        <w:t xml:space="preserve">we </w:t>
      </w:r>
      <w:r w:rsidR="0043465A">
        <w:t>do and how</w:t>
      </w:r>
      <w:r>
        <w:t>.</w:t>
      </w:r>
    </w:p>
    <w:p w14:paraId="6C48D9AE" w14:textId="0D400274" w:rsidR="0089074E" w:rsidRDefault="003857B7" w:rsidP="00A91233">
      <w:pPr>
        <w:pStyle w:val="ListBullet"/>
      </w:pPr>
      <w:r>
        <w:t>Our o</w:t>
      </w:r>
      <w:r w:rsidR="0043465A">
        <w:t xml:space="preserve">bjectives express </w:t>
      </w:r>
      <w:r w:rsidR="002261CB">
        <w:t>our</w:t>
      </w:r>
      <w:r w:rsidR="0043465A">
        <w:t xml:space="preserve"> </w:t>
      </w:r>
      <w:r>
        <w:t xml:space="preserve">key </w:t>
      </w:r>
      <w:r w:rsidR="0043465A">
        <w:t xml:space="preserve">focus areas, and how </w:t>
      </w:r>
      <w:r w:rsidR="000C1707">
        <w:t xml:space="preserve">these will achieve </w:t>
      </w:r>
      <w:r>
        <w:t>our</w:t>
      </w:r>
      <w:r w:rsidR="0043465A">
        <w:t xml:space="preserve"> purpose. The objectives link </w:t>
      </w:r>
      <w:r w:rsidR="000C1707">
        <w:t xml:space="preserve">to </w:t>
      </w:r>
      <w:r>
        <w:t>Portfolio Budget S</w:t>
      </w:r>
      <w:r w:rsidR="0043465A">
        <w:t>tatements</w:t>
      </w:r>
      <w:r w:rsidR="002261CB">
        <w:t xml:space="preserve"> and</w:t>
      </w:r>
      <w:r w:rsidR="0043465A">
        <w:t xml:space="preserve"> identify what success looks like.</w:t>
      </w:r>
    </w:p>
    <w:p w14:paraId="2BE292E9" w14:textId="6B6B1A9E" w:rsidR="009A60E2" w:rsidRDefault="003857B7" w:rsidP="000C1707">
      <w:pPr>
        <w:pStyle w:val="ListBullet"/>
      </w:pPr>
      <w:r>
        <w:t>Our p</w:t>
      </w:r>
      <w:r w:rsidR="0043465A">
        <w:t>erformance criteria specify the benchmark for success under each objective</w:t>
      </w:r>
      <w:r w:rsidR="000C1707">
        <w:t xml:space="preserve">. They </w:t>
      </w:r>
      <w:r w:rsidR="009A60E2">
        <w:t xml:space="preserve">provide the </w:t>
      </w:r>
      <w:r w:rsidR="002261CB">
        <w:t>desired</w:t>
      </w:r>
      <w:r w:rsidR="009A60E2">
        <w:t xml:space="preserve"> outcomes for each objective and </w:t>
      </w:r>
      <w:r w:rsidR="000C1707">
        <w:t xml:space="preserve">are the basis for measuring </w:t>
      </w:r>
      <w:r w:rsidR="0043465A">
        <w:t xml:space="preserve">performance. </w:t>
      </w:r>
      <w:r w:rsidR="002261CB">
        <w:t>We used</w:t>
      </w:r>
      <w:r w:rsidR="009A60E2">
        <w:t xml:space="preserve"> </w:t>
      </w:r>
      <w:r w:rsidR="0089074E">
        <w:t xml:space="preserve">program logic models </w:t>
      </w:r>
      <w:r w:rsidR="002261CB">
        <w:t xml:space="preserve">to </w:t>
      </w:r>
      <w:r w:rsidR="009A60E2">
        <w:t xml:space="preserve">help business areas </w:t>
      </w:r>
      <w:r w:rsidR="0089074E">
        <w:t>develop new or improved performance criteria, measures and targets for each objective.</w:t>
      </w:r>
    </w:p>
    <w:p w14:paraId="41D3EB8F" w14:textId="197A04AA" w:rsidR="00FE0853" w:rsidRDefault="009A60E2" w:rsidP="00A91233">
      <w:pPr>
        <w:pStyle w:val="ListBullet"/>
      </w:pPr>
      <w:r>
        <w:t xml:space="preserve">Measures indicate progress towards the performance criteria and objectives. Measures indicate </w:t>
      </w:r>
      <w:r w:rsidR="00ED4D47">
        <w:t>the</w:t>
      </w:r>
      <w:r>
        <w:t xml:space="preserve"> dimension of performance</w:t>
      </w:r>
      <w:r w:rsidR="002261CB">
        <w:t>:</w:t>
      </w:r>
      <w:r>
        <w:t xml:space="preserve"> output, effectiveness or efficiency. Some </w:t>
      </w:r>
      <w:r w:rsidR="0089074E">
        <w:t xml:space="preserve">measures have </w:t>
      </w:r>
      <w:proofErr w:type="gramStart"/>
      <w:r w:rsidR="0089074E">
        <w:t>replaced</w:t>
      </w:r>
      <w:proofErr w:type="gramEnd"/>
      <w:r w:rsidR="0089074E">
        <w:t xml:space="preserve"> or revised measures </w:t>
      </w:r>
      <w:r w:rsidR="00ED4D47">
        <w:t xml:space="preserve">currently </w:t>
      </w:r>
      <w:r w:rsidR="0089074E">
        <w:t xml:space="preserve">published in our </w:t>
      </w:r>
      <w:r w:rsidR="0089074E" w:rsidRPr="00E66100">
        <w:rPr>
          <w:i/>
          <w:iCs/>
        </w:rPr>
        <w:t xml:space="preserve">Portfolio Budget </w:t>
      </w:r>
      <w:r w:rsidR="00946F98" w:rsidRPr="00E66100">
        <w:rPr>
          <w:i/>
          <w:iCs/>
        </w:rPr>
        <w:t>Statements</w:t>
      </w:r>
      <w:r w:rsidR="00946F98">
        <w:rPr>
          <w:i/>
          <w:iCs/>
        </w:rPr>
        <w:t> </w:t>
      </w:r>
      <w:r w:rsidR="0089074E" w:rsidRPr="00E66100">
        <w:rPr>
          <w:i/>
          <w:iCs/>
        </w:rPr>
        <w:t>2021–2</w:t>
      </w:r>
      <w:r w:rsidR="0089074E" w:rsidRPr="00607279">
        <w:rPr>
          <w:i/>
          <w:iCs/>
        </w:rPr>
        <w:t>2</w:t>
      </w:r>
      <w:r w:rsidR="0089074E">
        <w:t xml:space="preserve">. We report on performance </w:t>
      </w:r>
      <w:r w:rsidR="00ED4D47">
        <w:t xml:space="preserve">measures </w:t>
      </w:r>
      <w:r w:rsidR="0089074E">
        <w:t xml:space="preserve">in </w:t>
      </w:r>
      <w:r>
        <w:t xml:space="preserve">our </w:t>
      </w:r>
      <w:r w:rsidR="0089074E">
        <w:t>annual report.</w:t>
      </w:r>
    </w:p>
    <w:p w14:paraId="08728962" w14:textId="4B34CFBF" w:rsidR="00FE0853" w:rsidRDefault="003857B7" w:rsidP="00A91233">
      <w:pPr>
        <w:pStyle w:val="ListBullet"/>
      </w:pPr>
      <w:r>
        <w:t xml:space="preserve">Targets are the milestones that indicate success or progress in a measure </w:t>
      </w:r>
      <w:proofErr w:type="gramStart"/>
      <w:r>
        <w:t>in a given</w:t>
      </w:r>
      <w:proofErr w:type="gramEnd"/>
      <w:r>
        <w:t xml:space="preserve"> time frame. </w:t>
      </w:r>
      <w:r w:rsidR="009A60E2">
        <w:t xml:space="preserve">They </w:t>
      </w:r>
      <w:r>
        <w:t xml:space="preserve">inform short-term management decisions and </w:t>
      </w:r>
      <w:r w:rsidR="009A60E2">
        <w:t>support</w:t>
      </w:r>
      <w:r>
        <w:t xml:space="preserve"> discussions on the effectiveness of strategy.</w:t>
      </w:r>
    </w:p>
    <w:p w14:paraId="2D0D2814" w14:textId="737E3E09" w:rsidR="00FE0853" w:rsidRDefault="009A60E2" w:rsidP="00FE0853">
      <w:r>
        <w:t>We continue to improve t</w:t>
      </w:r>
      <w:r w:rsidR="003857B7">
        <w:t xml:space="preserve">he performance framework. </w:t>
      </w:r>
      <w:r w:rsidR="003A0D47">
        <w:t xml:space="preserve">Our </w:t>
      </w:r>
      <w:r w:rsidR="00FA145B">
        <w:t>Performance Framework</w:t>
      </w:r>
      <w:r w:rsidR="00A947ED">
        <w:t> </w:t>
      </w:r>
      <w:r w:rsidR="00FA145B">
        <w:t xml:space="preserve">2021–22 provides more information </w:t>
      </w:r>
      <w:r w:rsidR="003857B7">
        <w:t>about the way we measure our performance.</w:t>
      </w:r>
    </w:p>
    <w:p w14:paraId="6CC758EF" w14:textId="77777777" w:rsidR="00FE0853" w:rsidRDefault="003857B7" w:rsidP="00B46823">
      <w:pPr>
        <w:pStyle w:val="Heading3"/>
      </w:pPr>
      <w:bookmarkStart w:id="108" w:name="_Toc76550816"/>
      <w:bookmarkStart w:id="109" w:name="_Toc76972906"/>
      <w:bookmarkStart w:id="110" w:name="_Toc79585809"/>
      <w:r>
        <w:lastRenderedPageBreak/>
        <w:t xml:space="preserve">Regulator </w:t>
      </w:r>
      <w:r w:rsidR="005C442A">
        <w:t>p</w:t>
      </w:r>
      <w:r>
        <w:t xml:space="preserve">erformance </w:t>
      </w:r>
      <w:r w:rsidR="005C442A">
        <w:t>r</w:t>
      </w:r>
      <w:r>
        <w:t>eporting</w:t>
      </w:r>
      <w:bookmarkEnd w:id="108"/>
      <w:bookmarkEnd w:id="109"/>
      <w:bookmarkEnd w:id="110"/>
    </w:p>
    <w:p w14:paraId="429F3C70" w14:textId="37FB2DDE" w:rsidR="00952593" w:rsidRDefault="003857B7" w:rsidP="00607279">
      <w:r>
        <w:t xml:space="preserve">We support the Australian Government’s </w:t>
      </w:r>
      <w:hyperlink r:id="rId53" w:history="1">
        <w:r w:rsidRPr="0070615F">
          <w:rPr>
            <w:rStyle w:val="Hyperlink"/>
          </w:rPr>
          <w:t>Deregulation Agenda</w:t>
        </w:r>
      </w:hyperlink>
      <w:r>
        <w:t xml:space="preserve"> </w:t>
      </w:r>
      <w:r w:rsidR="00186C3B">
        <w:t xml:space="preserve">and are committed </w:t>
      </w:r>
      <w:r>
        <w:t xml:space="preserve">to providing relevant and appropriate information on the performance of </w:t>
      </w:r>
      <w:r w:rsidR="00186C3B">
        <w:t>our</w:t>
      </w:r>
      <w:r>
        <w:t xml:space="preserve"> regulatory functions.</w:t>
      </w:r>
    </w:p>
    <w:p w14:paraId="1FB4F2E6" w14:textId="22F67CD2" w:rsidR="00FE0853" w:rsidRDefault="00952593" w:rsidP="00FE0853">
      <w:r>
        <w:t>In 2021–22 r</w:t>
      </w:r>
      <w:r w:rsidR="00186C3B">
        <w:t>eporting of p</w:t>
      </w:r>
      <w:r w:rsidR="003857B7">
        <w:t xml:space="preserve">erformance information </w:t>
      </w:r>
      <w:r>
        <w:t xml:space="preserve">will </w:t>
      </w:r>
      <w:r w:rsidR="00186C3B">
        <w:t xml:space="preserve">occur under the </w:t>
      </w:r>
      <w:r w:rsidR="003857B7">
        <w:t xml:space="preserve">Department of the Prime Minister and Cabinet’s </w:t>
      </w:r>
      <w:r w:rsidR="003857B7" w:rsidRPr="0033006A">
        <w:t>Regulator Performance Framework</w:t>
      </w:r>
      <w:r>
        <w:t xml:space="preserve"> for the last time</w:t>
      </w:r>
      <w:r w:rsidR="003857B7">
        <w:t>.</w:t>
      </w:r>
      <w:r>
        <w:t xml:space="preserve"> </w:t>
      </w:r>
      <w:r w:rsidR="00143505">
        <w:t>Australian Government</w:t>
      </w:r>
      <w:r w:rsidR="003857B7">
        <w:t xml:space="preserve"> regulators </w:t>
      </w:r>
      <w:r>
        <w:t xml:space="preserve">are </w:t>
      </w:r>
      <w:r w:rsidR="003857B7">
        <w:t>transition</w:t>
      </w:r>
      <w:r>
        <w:t>ing</w:t>
      </w:r>
      <w:r w:rsidR="003857B7">
        <w:t xml:space="preserve"> to new regulator performance reporting arrangements under the </w:t>
      </w:r>
      <w:r w:rsidR="003857B7" w:rsidRPr="00B46823">
        <w:rPr>
          <w:i/>
          <w:iCs/>
        </w:rPr>
        <w:t>Public Governance, Performance and Accountability Act</w:t>
      </w:r>
      <w:r w:rsidR="00A947ED">
        <w:rPr>
          <w:i/>
          <w:iCs/>
        </w:rPr>
        <w:t> </w:t>
      </w:r>
      <w:r w:rsidR="003857B7" w:rsidRPr="00B46823">
        <w:rPr>
          <w:i/>
          <w:iCs/>
        </w:rPr>
        <w:t>2013</w:t>
      </w:r>
      <w:r w:rsidR="003857B7">
        <w:t>.</w:t>
      </w:r>
      <w:r w:rsidR="003E17F4">
        <w:t xml:space="preserve"> </w:t>
      </w:r>
      <w:r>
        <w:t>R</w:t>
      </w:r>
      <w:r w:rsidR="003857B7">
        <w:t xml:space="preserve">egulator performance reporting </w:t>
      </w:r>
      <w:r>
        <w:t xml:space="preserve">will be part of </w:t>
      </w:r>
      <w:r w:rsidR="00186C3B">
        <w:t xml:space="preserve">our </w:t>
      </w:r>
      <w:r w:rsidR="00766221">
        <w:t>annual report</w:t>
      </w:r>
      <w:r w:rsidR="003857B7">
        <w:t xml:space="preserve"> </w:t>
      </w:r>
      <w:r>
        <w:t>from </w:t>
      </w:r>
      <w:r w:rsidR="003857B7">
        <w:t>2022–23.</w:t>
      </w:r>
    </w:p>
    <w:p w14:paraId="7BD72968" w14:textId="548DF763" w:rsidR="00FE0853" w:rsidRPr="002E1E6D" w:rsidRDefault="006A2906" w:rsidP="002E1E6D">
      <w:pPr>
        <w:pStyle w:val="Heading3"/>
      </w:pPr>
      <w:bookmarkStart w:id="111" w:name="_Toc76550817"/>
      <w:bookmarkStart w:id="112" w:name="_Toc76972907"/>
      <w:bookmarkStart w:id="113" w:name="_Toc79585810"/>
      <w:r w:rsidRPr="002E1E6D">
        <w:t>Objectives, p</w:t>
      </w:r>
      <w:r w:rsidR="003857B7" w:rsidRPr="002E1E6D">
        <w:t>erformance criteria and measures</w:t>
      </w:r>
      <w:bookmarkEnd w:id="111"/>
      <w:bookmarkEnd w:id="112"/>
      <w:bookmarkEnd w:id="113"/>
    </w:p>
    <w:p w14:paraId="085C8268" w14:textId="20E6D3C7" w:rsidR="0089074E" w:rsidRDefault="003857B7" w:rsidP="005C442A">
      <w:r w:rsidRPr="0089074E">
        <w:t xml:space="preserve">This section provides the performance criteria for </w:t>
      </w:r>
      <w:r>
        <w:t xml:space="preserve">each of </w:t>
      </w:r>
      <w:r w:rsidR="00DE170C">
        <w:t xml:space="preserve">our </w:t>
      </w:r>
      <w:r w:rsidRPr="0089074E">
        <w:t>objective</w:t>
      </w:r>
      <w:r>
        <w:t>s</w:t>
      </w:r>
      <w:r w:rsidRPr="0089074E">
        <w:t>.</w:t>
      </w:r>
    </w:p>
    <w:p w14:paraId="16D2A764" w14:textId="46B3A174" w:rsidR="00455FDE" w:rsidRPr="00455FDE" w:rsidRDefault="00455FDE" w:rsidP="002E1E6D">
      <w:pPr>
        <w:pStyle w:val="Heading4"/>
      </w:pPr>
      <w:r w:rsidRPr="00455FDE">
        <w:t>Agriculture</w:t>
      </w:r>
    </w:p>
    <w:p w14:paraId="2A6C59FB" w14:textId="2B86E72D" w:rsidR="00455FDE" w:rsidRPr="00455FDE" w:rsidRDefault="00455FDE" w:rsidP="00455FDE">
      <w:r w:rsidRPr="0033006A">
        <w:rPr>
          <w:rStyle w:val="Strong"/>
        </w:rPr>
        <w:t>Objective:</w:t>
      </w:r>
      <w:r w:rsidRPr="00455FDE">
        <w:t xml:space="preserve"> Assist industry to accelerate growth toward a $100 billion </w:t>
      </w:r>
      <w:proofErr w:type="spellStart"/>
      <w:r w:rsidRPr="00455FDE">
        <w:t>agricultur</w:t>
      </w:r>
      <w:r w:rsidR="00C04FDD">
        <w:t>al</w:t>
      </w:r>
      <w:r w:rsidRPr="00455FDE">
        <w:t>e</w:t>
      </w:r>
      <w:proofErr w:type="spellEnd"/>
      <w:r w:rsidRPr="00455FDE">
        <w:t xml:space="preserve"> sector by 2030.</w:t>
      </w:r>
    </w:p>
    <w:p w14:paraId="19C4C3EF" w14:textId="628A7079" w:rsidR="00455FDE" w:rsidRPr="00DB5B70" w:rsidRDefault="00425332" w:rsidP="00DB5B70">
      <w:pPr>
        <w:pStyle w:val="Heading5"/>
      </w:pPr>
      <w:r w:rsidRPr="00A517F6">
        <w:t xml:space="preserve">Performance </w:t>
      </w:r>
      <w:r w:rsidR="003C7A1E" w:rsidRPr="003C7A1E">
        <w:t>criterion</w:t>
      </w:r>
      <w:r w:rsidRPr="003C7A1E">
        <w:t>:</w:t>
      </w:r>
      <w:r>
        <w:t xml:space="preserve"> </w:t>
      </w:r>
      <w:r w:rsidR="00455FDE" w:rsidRPr="00DB5B70">
        <w:t>Agricultural policy and innovation supports sector productivity and sustainability</w:t>
      </w:r>
      <w:r w:rsidR="00DB5B70">
        <w:t>.</w:t>
      </w:r>
    </w:p>
    <w:tbl>
      <w:tblPr>
        <w:tblStyle w:val="TableGrid10"/>
        <w:tblW w:w="0" w:type="auto"/>
        <w:tblBorders>
          <w:left w:val="none" w:sz="0" w:space="0" w:color="auto"/>
          <w:right w:val="none" w:sz="0" w:space="0" w:color="auto"/>
          <w:insideV w:val="none" w:sz="0" w:space="0" w:color="auto"/>
        </w:tblBorders>
        <w:tblLook w:val="04A0" w:firstRow="1" w:lastRow="0" w:firstColumn="1" w:lastColumn="0" w:noHBand="0" w:noVBand="1"/>
      </w:tblPr>
      <w:tblGrid>
        <w:gridCol w:w="988"/>
        <w:gridCol w:w="8072"/>
      </w:tblGrid>
      <w:tr w:rsidR="00455FDE" w:rsidRPr="00455FDE" w14:paraId="232A11D2" w14:textId="77777777" w:rsidTr="001325BF">
        <w:trPr>
          <w:cantSplit/>
        </w:trPr>
        <w:tc>
          <w:tcPr>
            <w:tcW w:w="988" w:type="dxa"/>
            <w:tcBorders>
              <w:top w:val="nil"/>
              <w:bottom w:val="nil"/>
            </w:tcBorders>
            <w:shd w:val="clear" w:color="auto" w:fill="365F91" w:themeFill="accent1" w:themeFillShade="BF"/>
          </w:tcPr>
          <w:p w14:paraId="2C9D61D2" w14:textId="77777777" w:rsidR="00455FDE" w:rsidRPr="00722D09" w:rsidRDefault="00455FDE" w:rsidP="00D148F6">
            <w:pPr>
              <w:pStyle w:val="TableHeading"/>
              <w:rPr>
                <w:color w:val="FFFFFF" w:themeColor="background1"/>
              </w:rPr>
            </w:pPr>
            <w:bookmarkStart w:id="114" w:name="RowTitle_1" w:colFirst="0" w:colLast="0"/>
            <w:r w:rsidRPr="00722D09">
              <w:rPr>
                <w:color w:val="FFFFFF" w:themeColor="background1"/>
              </w:rPr>
              <w:t>Measure</w:t>
            </w:r>
          </w:p>
        </w:tc>
        <w:tc>
          <w:tcPr>
            <w:tcW w:w="8072" w:type="dxa"/>
            <w:tcBorders>
              <w:top w:val="nil"/>
              <w:bottom w:val="nil"/>
            </w:tcBorders>
            <w:shd w:val="clear" w:color="auto" w:fill="365F91" w:themeFill="accent1" w:themeFillShade="BF"/>
          </w:tcPr>
          <w:p w14:paraId="2CBE7F65" w14:textId="5F3D2506" w:rsidR="00455FDE" w:rsidRPr="00722D09" w:rsidRDefault="00455FDE" w:rsidP="00D148F6">
            <w:pPr>
              <w:pStyle w:val="TableText"/>
              <w:rPr>
                <w:color w:val="FFFFFF" w:themeColor="background1"/>
              </w:rPr>
            </w:pPr>
            <w:r w:rsidRPr="00722D09">
              <w:rPr>
                <w:color w:val="FFFFFF" w:themeColor="background1"/>
              </w:rPr>
              <w:t xml:space="preserve">Greater growth in average agriculture, forestry and fishing sector productivity for the past </w:t>
            </w:r>
            <w:r w:rsidR="00613DAA" w:rsidRPr="00722D09">
              <w:rPr>
                <w:color w:val="FFFFFF" w:themeColor="background1"/>
              </w:rPr>
              <w:t>10 </w:t>
            </w:r>
            <w:r w:rsidRPr="00722D09">
              <w:rPr>
                <w:color w:val="FFFFFF" w:themeColor="background1"/>
              </w:rPr>
              <w:t>years compared to average annual market sector productivity growth over the same period. (Effectiveness)</w:t>
            </w:r>
          </w:p>
        </w:tc>
      </w:tr>
      <w:tr w:rsidR="00495598" w:rsidRPr="00455FDE" w14:paraId="1A614044" w14:textId="77777777" w:rsidTr="001325BF">
        <w:trPr>
          <w:cantSplit/>
          <w:trHeight w:val="138"/>
        </w:trPr>
        <w:tc>
          <w:tcPr>
            <w:tcW w:w="988" w:type="dxa"/>
            <w:tcBorders>
              <w:top w:val="nil"/>
              <w:bottom w:val="nil"/>
            </w:tcBorders>
          </w:tcPr>
          <w:p w14:paraId="1FFA6DBF" w14:textId="77777777" w:rsidR="00495598" w:rsidRPr="00455FDE" w:rsidRDefault="00495598" w:rsidP="00D148F6">
            <w:pPr>
              <w:pStyle w:val="TableHeading"/>
            </w:pPr>
            <w:r w:rsidRPr="00455FDE">
              <w:t>Target</w:t>
            </w:r>
          </w:p>
        </w:tc>
        <w:tc>
          <w:tcPr>
            <w:tcW w:w="8072" w:type="dxa"/>
            <w:tcBorders>
              <w:top w:val="nil"/>
            </w:tcBorders>
            <w:shd w:val="clear" w:color="auto" w:fill="auto"/>
          </w:tcPr>
          <w:p w14:paraId="1041492E" w14:textId="77777777" w:rsidR="00495598" w:rsidRDefault="00495598" w:rsidP="00495598">
            <w:pPr>
              <w:pStyle w:val="TableText"/>
            </w:pPr>
            <w:r w:rsidRPr="0033006A">
              <w:rPr>
                <w:rStyle w:val="Strong"/>
              </w:rPr>
              <w:t>2021–22</w:t>
            </w:r>
            <w:r>
              <w:t xml:space="preserve">: </w:t>
            </w:r>
            <w:r w:rsidRPr="00455FDE">
              <w:t>≥0%</w:t>
            </w:r>
            <w:r>
              <w:t> </w:t>
            </w:r>
            <w:r w:rsidRPr="00455FDE">
              <w:t>difference over past 10</w:t>
            </w:r>
            <w:r>
              <w:t> </w:t>
            </w:r>
            <w:r w:rsidRPr="00455FDE">
              <w:t>years.</w:t>
            </w:r>
          </w:p>
          <w:p w14:paraId="460F15F0" w14:textId="0A94EFF4" w:rsidR="00495598" w:rsidRDefault="00495598" w:rsidP="00495598">
            <w:pPr>
              <w:pStyle w:val="TableText"/>
            </w:pPr>
            <w:r w:rsidRPr="0033006A">
              <w:rPr>
                <w:rStyle w:val="Strong"/>
              </w:rPr>
              <w:t>2022–23</w:t>
            </w:r>
            <w:r>
              <w:t>: As for 2021–22.</w:t>
            </w:r>
          </w:p>
          <w:p w14:paraId="0B087E22" w14:textId="0EC629B4" w:rsidR="00495598" w:rsidRDefault="00495598" w:rsidP="00495598">
            <w:pPr>
              <w:pStyle w:val="TableText"/>
            </w:pPr>
            <w:r w:rsidRPr="0033006A">
              <w:rPr>
                <w:rStyle w:val="Strong"/>
              </w:rPr>
              <w:t>2023–24</w:t>
            </w:r>
            <w:r>
              <w:t>: As for 2021–22.</w:t>
            </w:r>
          </w:p>
          <w:p w14:paraId="0FD93209" w14:textId="633A8B7F" w:rsidR="00495598" w:rsidRPr="00455FDE" w:rsidRDefault="00495598" w:rsidP="00495598">
            <w:pPr>
              <w:pStyle w:val="TableText"/>
            </w:pPr>
            <w:r w:rsidRPr="0033006A">
              <w:rPr>
                <w:rStyle w:val="Strong"/>
              </w:rPr>
              <w:t>2024–25</w:t>
            </w:r>
            <w:r>
              <w:t>: As for 2021–22.</w:t>
            </w:r>
          </w:p>
        </w:tc>
      </w:tr>
      <w:tr w:rsidR="00613DAA" w:rsidRPr="00455FDE" w14:paraId="55621125" w14:textId="77777777" w:rsidTr="001325BF">
        <w:trPr>
          <w:cantSplit/>
        </w:trPr>
        <w:tc>
          <w:tcPr>
            <w:tcW w:w="988" w:type="dxa"/>
            <w:tcBorders>
              <w:top w:val="nil"/>
            </w:tcBorders>
          </w:tcPr>
          <w:p w14:paraId="04080CF5" w14:textId="77777777" w:rsidR="00613DAA" w:rsidRPr="00455FDE" w:rsidRDefault="00613DAA" w:rsidP="002B7A00">
            <w:pPr>
              <w:pStyle w:val="TableHeading"/>
              <w:keepNext w:val="0"/>
            </w:pPr>
            <w:r w:rsidRPr="00455FDE">
              <w:t>Context</w:t>
            </w:r>
          </w:p>
        </w:tc>
        <w:tc>
          <w:tcPr>
            <w:tcW w:w="8072" w:type="dxa"/>
          </w:tcPr>
          <w:p w14:paraId="43E5BF83" w14:textId="6642B7B0" w:rsidR="00613DAA" w:rsidRPr="00455FDE" w:rsidRDefault="00613DAA" w:rsidP="00D148F6">
            <w:pPr>
              <w:pStyle w:val="TableText"/>
            </w:pPr>
            <w:r w:rsidRPr="00455FDE">
              <w:t>We work to provide a policy and regulatory environment in which primary producers can build their productivity. We support research</w:t>
            </w:r>
            <w:r w:rsidR="0078126A">
              <w:t xml:space="preserve"> and </w:t>
            </w:r>
            <w:r w:rsidRPr="00455FDE">
              <w:t>development</w:t>
            </w:r>
            <w:r w:rsidR="0078126A">
              <w:t xml:space="preserve"> </w:t>
            </w:r>
            <w:r w:rsidRPr="00455FDE">
              <w:t>to promote innovation in agriculture and in agribusiness management.</w:t>
            </w:r>
          </w:p>
          <w:p w14:paraId="5FF0DA62" w14:textId="3467E125" w:rsidR="00613DAA" w:rsidRPr="00455FDE" w:rsidRDefault="00613DAA" w:rsidP="00D148F6">
            <w:pPr>
              <w:pStyle w:val="TableText"/>
            </w:pPr>
            <w:r>
              <w:t>We implement a</w:t>
            </w:r>
            <w:r w:rsidRPr="00455FDE">
              <w:t xml:space="preserve">rrangements to increase, improve and maintain markets over the medium to long term. As a result, there is a lag between </w:t>
            </w:r>
            <w:r>
              <w:t>our</w:t>
            </w:r>
            <w:r w:rsidRPr="00455FDE">
              <w:t xml:space="preserve"> activities and the results in terms of increased export values.</w:t>
            </w:r>
          </w:p>
          <w:p w14:paraId="35F6BA9E" w14:textId="176CEAC2" w:rsidR="00613DAA" w:rsidRPr="00455FDE" w:rsidRDefault="00613DAA" w:rsidP="00D148F6">
            <w:pPr>
              <w:pStyle w:val="TableText"/>
            </w:pPr>
            <w:r w:rsidRPr="00455FDE">
              <w:t xml:space="preserve">Agricultural productivity is often susceptible to significant volatility because of seasonal conditions. </w:t>
            </w:r>
            <w:r>
              <w:t xml:space="preserve">We use </w:t>
            </w:r>
            <w:r w:rsidRPr="00455FDE">
              <w:t>Total Factor Productivity as the measure of productivity. It is calculated on a value-added basis.</w:t>
            </w:r>
          </w:p>
        </w:tc>
      </w:tr>
      <w:tr w:rsidR="00455FDE" w:rsidRPr="00455FDE" w14:paraId="7FD798A5" w14:textId="77777777" w:rsidTr="001325BF">
        <w:trPr>
          <w:cantSplit/>
        </w:trPr>
        <w:tc>
          <w:tcPr>
            <w:tcW w:w="988" w:type="dxa"/>
            <w:tcBorders>
              <w:top w:val="nil"/>
              <w:bottom w:val="nil"/>
            </w:tcBorders>
            <w:shd w:val="clear" w:color="auto" w:fill="365F91" w:themeFill="accent1" w:themeFillShade="BF"/>
          </w:tcPr>
          <w:p w14:paraId="4C4ABA94" w14:textId="77777777" w:rsidR="00455FDE" w:rsidRPr="00722D09" w:rsidRDefault="00455FDE" w:rsidP="00D148F6">
            <w:pPr>
              <w:pStyle w:val="TableHeading"/>
              <w:rPr>
                <w:color w:val="FFFFFF" w:themeColor="background1"/>
              </w:rPr>
            </w:pPr>
            <w:r w:rsidRPr="00722D09">
              <w:rPr>
                <w:color w:val="FFFFFF" w:themeColor="background1"/>
              </w:rPr>
              <w:t>Measure</w:t>
            </w:r>
          </w:p>
        </w:tc>
        <w:tc>
          <w:tcPr>
            <w:tcW w:w="8072" w:type="dxa"/>
            <w:tcBorders>
              <w:top w:val="nil"/>
              <w:bottom w:val="nil"/>
            </w:tcBorders>
            <w:shd w:val="clear" w:color="auto" w:fill="365F91" w:themeFill="accent1" w:themeFillShade="BF"/>
          </w:tcPr>
          <w:p w14:paraId="69E48BE4" w14:textId="77777777" w:rsidR="00455FDE" w:rsidRPr="00722D09" w:rsidRDefault="00455FDE" w:rsidP="00D148F6">
            <w:pPr>
              <w:pStyle w:val="TableText"/>
              <w:rPr>
                <w:color w:val="FFFFFF" w:themeColor="background1"/>
              </w:rPr>
            </w:pPr>
            <w:r w:rsidRPr="00722D09">
              <w:rPr>
                <w:color w:val="FFFFFF" w:themeColor="background1"/>
              </w:rPr>
              <w:t>Equal or reduced cost of levy collection processes compared with levies disbursed. (Efficiency)</w:t>
            </w:r>
          </w:p>
        </w:tc>
      </w:tr>
      <w:tr w:rsidR="00495598" w:rsidRPr="00455FDE" w14:paraId="1E17263B" w14:textId="77777777" w:rsidTr="001325BF">
        <w:trPr>
          <w:cantSplit/>
          <w:trHeight w:val="138"/>
        </w:trPr>
        <w:tc>
          <w:tcPr>
            <w:tcW w:w="988" w:type="dxa"/>
            <w:tcBorders>
              <w:top w:val="nil"/>
              <w:bottom w:val="nil"/>
            </w:tcBorders>
          </w:tcPr>
          <w:p w14:paraId="0D07E496" w14:textId="77777777" w:rsidR="00495598" w:rsidRPr="00455FDE" w:rsidRDefault="00495598" w:rsidP="00D148F6">
            <w:pPr>
              <w:pStyle w:val="TableHeading"/>
            </w:pPr>
            <w:r w:rsidRPr="00455FDE">
              <w:t>Target</w:t>
            </w:r>
          </w:p>
        </w:tc>
        <w:tc>
          <w:tcPr>
            <w:tcW w:w="8072" w:type="dxa"/>
            <w:tcBorders>
              <w:top w:val="nil"/>
            </w:tcBorders>
            <w:shd w:val="clear" w:color="auto" w:fill="auto"/>
          </w:tcPr>
          <w:p w14:paraId="6B6FE4F4" w14:textId="77777777" w:rsidR="00495598" w:rsidRPr="002446C5" w:rsidRDefault="00495598" w:rsidP="0033006A">
            <w:pPr>
              <w:pStyle w:val="TableText"/>
              <w:rPr>
                <w:rStyle w:val="Strong"/>
              </w:rPr>
            </w:pPr>
            <w:r w:rsidRPr="002446C5">
              <w:rPr>
                <w:rStyle w:val="Strong"/>
              </w:rPr>
              <w:t>2021–22</w:t>
            </w:r>
            <w:r>
              <w:t>:</w:t>
            </w:r>
            <w:r w:rsidRPr="00455FDE">
              <w:t xml:space="preserve"> Cost ≤1.2%</w:t>
            </w:r>
            <w:r>
              <w:t> </w:t>
            </w:r>
            <w:r w:rsidRPr="00455FDE">
              <w:t>of levies disbursed.</w:t>
            </w:r>
          </w:p>
          <w:p w14:paraId="65CE717A" w14:textId="58066E50" w:rsidR="00495598" w:rsidRDefault="00495598" w:rsidP="00495598">
            <w:pPr>
              <w:pStyle w:val="TableText"/>
            </w:pPr>
            <w:r w:rsidRPr="002446C5">
              <w:rPr>
                <w:rStyle w:val="Strong"/>
              </w:rPr>
              <w:t>2022–23</w:t>
            </w:r>
            <w:r>
              <w:t xml:space="preserve">: </w:t>
            </w:r>
            <w:r w:rsidRPr="007371E1">
              <w:t>As for 2021–22</w:t>
            </w:r>
            <w:r>
              <w:t>.</w:t>
            </w:r>
          </w:p>
          <w:p w14:paraId="405BB6BE" w14:textId="7B2E3492" w:rsidR="00495598" w:rsidRDefault="00495598" w:rsidP="00495598">
            <w:pPr>
              <w:pStyle w:val="TableText"/>
            </w:pPr>
            <w:r w:rsidRPr="002446C5">
              <w:rPr>
                <w:rStyle w:val="Strong"/>
              </w:rPr>
              <w:t>2023–24</w:t>
            </w:r>
            <w:r>
              <w:t xml:space="preserve">: </w:t>
            </w:r>
            <w:r w:rsidRPr="007371E1">
              <w:t>As for 2021–22</w:t>
            </w:r>
            <w:r>
              <w:t>.</w:t>
            </w:r>
          </w:p>
          <w:p w14:paraId="1C3E5387" w14:textId="21901C07" w:rsidR="00495598" w:rsidRPr="00455FDE" w:rsidRDefault="00495598" w:rsidP="00495598">
            <w:pPr>
              <w:pStyle w:val="TableText"/>
            </w:pPr>
            <w:r w:rsidRPr="002446C5">
              <w:rPr>
                <w:rStyle w:val="Strong"/>
              </w:rPr>
              <w:t>2024–25</w:t>
            </w:r>
            <w:r>
              <w:t xml:space="preserve">: </w:t>
            </w:r>
            <w:r w:rsidRPr="007371E1">
              <w:t>As for 2021–22</w:t>
            </w:r>
            <w:r>
              <w:t>.</w:t>
            </w:r>
          </w:p>
        </w:tc>
      </w:tr>
      <w:tr w:rsidR="00455FDE" w:rsidRPr="00455FDE" w14:paraId="1D3AE5C2" w14:textId="77777777" w:rsidTr="001325BF">
        <w:trPr>
          <w:cantSplit/>
        </w:trPr>
        <w:tc>
          <w:tcPr>
            <w:tcW w:w="988" w:type="dxa"/>
            <w:tcBorders>
              <w:top w:val="nil"/>
            </w:tcBorders>
          </w:tcPr>
          <w:p w14:paraId="63A09E2B" w14:textId="77777777" w:rsidR="00455FDE" w:rsidRPr="00455FDE" w:rsidRDefault="00455FDE" w:rsidP="002B7A00">
            <w:pPr>
              <w:pStyle w:val="TableHeading"/>
              <w:keepNext w:val="0"/>
            </w:pPr>
            <w:r w:rsidRPr="00455FDE">
              <w:t>Context</w:t>
            </w:r>
          </w:p>
        </w:tc>
        <w:tc>
          <w:tcPr>
            <w:tcW w:w="8072" w:type="dxa"/>
          </w:tcPr>
          <w:p w14:paraId="23E0B1FD" w14:textId="294C9AFF" w:rsidR="00455FDE" w:rsidRPr="00455FDE" w:rsidRDefault="00455FDE" w:rsidP="00D148F6">
            <w:pPr>
              <w:pStyle w:val="TableText"/>
            </w:pPr>
            <w:r w:rsidRPr="00455FDE">
              <w:t>We are responsible for collecting industry levies and providing them to rural research and development corporations to fund their work. This is a measure of the efficiency of our agricultural levy collection processes. Decreases will reflect lower costs in collection processes and greater efficiency.</w:t>
            </w:r>
          </w:p>
          <w:p w14:paraId="7E18ECA1" w14:textId="2B0D054E" w:rsidR="00455FDE" w:rsidRPr="00455FDE" w:rsidRDefault="008C1FCD" w:rsidP="00D148F6">
            <w:pPr>
              <w:pStyle w:val="TableText"/>
            </w:pPr>
            <w:r>
              <w:t>We calculate t</w:t>
            </w:r>
            <w:r w:rsidR="00455FDE" w:rsidRPr="00455FDE">
              <w:t>he percentage by dividing the total cost-recovery charge by the total levy/charge disbursed for that financial year. It does not include Commonwealth matching payments.</w:t>
            </w:r>
          </w:p>
        </w:tc>
      </w:tr>
      <w:tr w:rsidR="00455FDE" w:rsidRPr="00455FDE" w14:paraId="54D93DAA" w14:textId="77777777" w:rsidTr="001325BF">
        <w:trPr>
          <w:cantSplit/>
        </w:trPr>
        <w:tc>
          <w:tcPr>
            <w:tcW w:w="988" w:type="dxa"/>
            <w:tcBorders>
              <w:top w:val="nil"/>
              <w:bottom w:val="nil"/>
            </w:tcBorders>
            <w:shd w:val="clear" w:color="auto" w:fill="365F91" w:themeFill="accent1" w:themeFillShade="BF"/>
          </w:tcPr>
          <w:p w14:paraId="7A518D9D" w14:textId="77777777" w:rsidR="00455FDE" w:rsidRPr="00722D09" w:rsidRDefault="00455FDE" w:rsidP="00D148F6">
            <w:pPr>
              <w:pStyle w:val="TableHeading"/>
              <w:rPr>
                <w:color w:val="FFFFFF" w:themeColor="background1"/>
              </w:rPr>
            </w:pPr>
            <w:r w:rsidRPr="00722D09">
              <w:rPr>
                <w:color w:val="FFFFFF" w:themeColor="background1"/>
              </w:rPr>
              <w:lastRenderedPageBreak/>
              <w:t>Measure</w:t>
            </w:r>
          </w:p>
        </w:tc>
        <w:tc>
          <w:tcPr>
            <w:tcW w:w="8072" w:type="dxa"/>
            <w:tcBorders>
              <w:top w:val="nil"/>
              <w:bottom w:val="nil"/>
            </w:tcBorders>
            <w:shd w:val="clear" w:color="auto" w:fill="365F91" w:themeFill="accent1" w:themeFillShade="BF"/>
          </w:tcPr>
          <w:p w14:paraId="25B2BBBE" w14:textId="77777777" w:rsidR="00455FDE" w:rsidRPr="00722D09" w:rsidRDefault="00455FDE" w:rsidP="00D148F6">
            <w:pPr>
              <w:pStyle w:val="TableText"/>
              <w:rPr>
                <w:color w:val="FFFFFF" w:themeColor="background1"/>
              </w:rPr>
            </w:pPr>
            <w:r w:rsidRPr="00722D09">
              <w:rPr>
                <w:color w:val="FFFFFF" w:themeColor="background1"/>
              </w:rPr>
              <w:t>Lead and report on the implementation of Australian, state and territory government obligations under the National Drought Agreement. (Output)</w:t>
            </w:r>
          </w:p>
        </w:tc>
      </w:tr>
      <w:tr w:rsidR="00495598" w:rsidRPr="00455FDE" w14:paraId="61D4FE2D" w14:textId="77777777" w:rsidTr="001325BF">
        <w:trPr>
          <w:cantSplit/>
          <w:trHeight w:val="138"/>
        </w:trPr>
        <w:tc>
          <w:tcPr>
            <w:tcW w:w="988" w:type="dxa"/>
            <w:tcBorders>
              <w:top w:val="nil"/>
              <w:bottom w:val="nil"/>
            </w:tcBorders>
          </w:tcPr>
          <w:p w14:paraId="2D1F9433" w14:textId="77777777" w:rsidR="00495598" w:rsidRPr="00455FDE" w:rsidRDefault="00495598" w:rsidP="00D148F6">
            <w:pPr>
              <w:pStyle w:val="TableHeading"/>
            </w:pPr>
            <w:r w:rsidRPr="00455FDE">
              <w:t>Target</w:t>
            </w:r>
          </w:p>
        </w:tc>
        <w:tc>
          <w:tcPr>
            <w:tcW w:w="8072" w:type="dxa"/>
            <w:tcBorders>
              <w:top w:val="nil"/>
            </w:tcBorders>
            <w:shd w:val="clear" w:color="auto" w:fill="auto"/>
          </w:tcPr>
          <w:p w14:paraId="12DE657D" w14:textId="77777777" w:rsidR="00495598" w:rsidRDefault="00495598" w:rsidP="00495598">
            <w:pPr>
              <w:pStyle w:val="TableText"/>
            </w:pPr>
            <w:r w:rsidRPr="00495598">
              <w:rPr>
                <w:rStyle w:val="Strong"/>
              </w:rPr>
              <w:t>2021–22</w:t>
            </w:r>
            <w:r>
              <w:t xml:space="preserve">: </w:t>
            </w:r>
            <w:r w:rsidRPr="00455FDE">
              <w:t>Annual report complete within 6</w:t>
            </w:r>
            <w:r>
              <w:t> </w:t>
            </w:r>
            <w:r w:rsidRPr="00455FDE">
              <w:t>months of the end of each financial year.</w:t>
            </w:r>
          </w:p>
          <w:p w14:paraId="78E8329D" w14:textId="303E85CD" w:rsidR="00495598" w:rsidRDefault="00495598" w:rsidP="00495598">
            <w:pPr>
              <w:pStyle w:val="TableText"/>
            </w:pPr>
            <w:r w:rsidRPr="00495598">
              <w:rPr>
                <w:rStyle w:val="Strong"/>
              </w:rPr>
              <w:t>2022–23</w:t>
            </w:r>
            <w:r>
              <w:t>: As for 2021–22.</w:t>
            </w:r>
          </w:p>
          <w:p w14:paraId="7EEAB8CD" w14:textId="699FDE24" w:rsidR="00495598" w:rsidRDefault="00495598" w:rsidP="00495598">
            <w:pPr>
              <w:pStyle w:val="TableText"/>
            </w:pPr>
            <w:r w:rsidRPr="00495598">
              <w:rPr>
                <w:rStyle w:val="Strong"/>
              </w:rPr>
              <w:t>2023–24</w:t>
            </w:r>
            <w:r>
              <w:t>: As for 2021–22.</w:t>
            </w:r>
          </w:p>
          <w:p w14:paraId="01B397D9" w14:textId="3519EEA9" w:rsidR="00495598" w:rsidRPr="00455FDE" w:rsidRDefault="00495598" w:rsidP="00495598">
            <w:pPr>
              <w:pStyle w:val="TableText"/>
            </w:pPr>
            <w:r w:rsidRPr="00495598">
              <w:rPr>
                <w:rStyle w:val="Strong"/>
              </w:rPr>
              <w:t>2024–25</w:t>
            </w:r>
            <w:r>
              <w:t>: As for 2021–22.</w:t>
            </w:r>
          </w:p>
        </w:tc>
      </w:tr>
      <w:tr w:rsidR="00455FDE" w:rsidRPr="00455FDE" w14:paraId="32307B99" w14:textId="77777777" w:rsidTr="001325BF">
        <w:trPr>
          <w:cantSplit/>
        </w:trPr>
        <w:tc>
          <w:tcPr>
            <w:tcW w:w="988" w:type="dxa"/>
            <w:tcBorders>
              <w:top w:val="nil"/>
            </w:tcBorders>
          </w:tcPr>
          <w:p w14:paraId="168A340E" w14:textId="22620F86" w:rsidR="00455FDE" w:rsidRPr="00455FDE" w:rsidRDefault="00051948" w:rsidP="00D148F6">
            <w:pPr>
              <w:pStyle w:val="TableHeading"/>
            </w:pPr>
            <w:r>
              <w:t>C</w:t>
            </w:r>
            <w:r w:rsidR="00455FDE" w:rsidRPr="00455FDE">
              <w:t>ontext</w:t>
            </w:r>
          </w:p>
        </w:tc>
        <w:tc>
          <w:tcPr>
            <w:tcW w:w="8072" w:type="dxa"/>
          </w:tcPr>
          <w:p w14:paraId="4EFBB4E8" w14:textId="3ED3EC5F" w:rsidR="00455FDE" w:rsidRPr="00455FDE" w:rsidRDefault="00455FDE" w:rsidP="00D148F6">
            <w:pPr>
              <w:pStyle w:val="TableText"/>
            </w:pPr>
            <w:r w:rsidRPr="00455FDE">
              <w:t>The National Drought Agreement sets out a joint approach by the Australian, state and territory governments to support farming businesses and communities to prepare for and respond to drought.</w:t>
            </w:r>
          </w:p>
          <w:p w14:paraId="29580E7C" w14:textId="6C85DCC5" w:rsidR="00455FDE" w:rsidRPr="00455FDE" w:rsidRDefault="00455FDE" w:rsidP="00D148F6">
            <w:pPr>
              <w:pStyle w:val="TableText"/>
            </w:pPr>
            <w:r w:rsidRPr="00455FDE">
              <w:t xml:space="preserve">Responsibility for drought policy was transferred to us from the National Recovery and Resilience Agency in the </w:t>
            </w:r>
            <w:r w:rsidRPr="00455FDE">
              <w:rPr>
                <w:i/>
                <w:iCs/>
              </w:rPr>
              <w:t>Portfolio Budget Statements</w:t>
            </w:r>
            <w:r w:rsidR="00613DAA">
              <w:rPr>
                <w:i/>
                <w:iCs/>
              </w:rPr>
              <w:t> </w:t>
            </w:r>
            <w:r w:rsidRPr="00455FDE">
              <w:rPr>
                <w:i/>
                <w:iCs/>
              </w:rPr>
              <w:t>2021–22</w:t>
            </w:r>
            <w:r w:rsidRPr="00455FDE">
              <w:t>.</w:t>
            </w:r>
          </w:p>
        </w:tc>
      </w:tr>
    </w:tbl>
    <w:bookmarkEnd w:id="114"/>
    <w:p w14:paraId="3A4A2FAA" w14:textId="031EF9A8" w:rsidR="00455FDE" w:rsidRPr="00DB5B70" w:rsidRDefault="00837ADD" w:rsidP="00DB5B70">
      <w:pPr>
        <w:pStyle w:val="Heading5"/>
      </w:pPr>
      <w:r>
        <w:t xml:space="preserve">Performance </w:t>
      </w:r>
      <w:r w:rsidR="003C7A1E" w:rsidRPr="003C7A1E">
        <w:t>criterion</w:t>
      </w:r>
      <w:r>
        <w:t xml:space="preserve">: </w:t>
      </w:r>
      <w:r w:rsidR="00455FDE" w:rsidRPr="00DB5B70">
        <w:t>Agricultural export markets are increased, improved and maintained</w:t>
      </w:r>
      <w:r w:rsidR="00DB5B70">
        <w:t>.</w:t>
      </w:r>
    </w:p>
    <w:tbl>
      <w:tblPr>
        <w:tblStyle w:val="TableGrid10"/>
        <w:tblW w:w="0" w:type="auto"/>
        <w:tblBorders>
          <w:left w:val="none" w:sz="0" w:space="0" w:color="auto"/>
          <w:right w:val="none" w:sz="0" w:space="0" w:color="auto"/>
          <w:insideV w:val="none" w:sz="0" w:space="0" w:color="auto"/>
        </w:tblBorders>
        <w:tblLook w:val="04A0" w:firstRow="1" w:lastRow="0" w:firstColumn="1" w:lastColumn="0" w:noHBand="0" w:noVBand="1"/>
      </w:tblPr>
      <w:tblGrid>
        <w:gridCol w:w="988"/>
        <w:gridCol w:w="8072"/>
      </w:tblGrid>
      <w:tr w:rsidR="00455FDE" w:rsidRPr="00455FDE" w14:paraId="599F46C2" w14:textId="77777777" w:rsidTr="001325BF">
        <w:trPr>
          <w:cantSplit/>
        </w:trPr>
        <w:tc>
          <w:tcPr>
            <w:tcW w:w="988" w:type="dxa"/>
            <w:tcBorders>
              <w:top w:val="nil"/>
              <w:bottom w:val="nil"/>
            </w:tcBorders>
            <w:shd w:val="clear" w:color="auto" w:fill="365F91" w:themeFill="accent1" w:themeFillShade="BF"/>
          </w:tcPr>
          <w:p w14:paraId="4B1352E4" w14:textId="77777777" w:rsidR="00455FDE" w:rsidRPr="00722D09" w:rsidRDefault="00455FDE" w:rsidP="00D148F6">
            <w:pPr>
              <w:pStyle w:val="TableHeading"/>
              <w:rPr>
                <w:color w:val="FFFFFF" w:themeColor="background1"/>
              </w:rPr>
            </w:pPr>
            <w:bookmarkStart w:id="115" w:name="RowTitle_2" w:colFirst="0" w:colLast="0"/>
            <w:r w:rsidRPr="00722D09">
              <w:rPr>
                <w:color w:val="FFFFFF" w:themeColor="background1"/>
              </w:rPr>
              <w:t>Measure</w:t>
            </w:r>
          </w:p>
        </w:tc>
        <w:tc>
          <w:tcPr>
            <w:tcW w:w="8072" w:type="dxa"/>
            <w:tcBorders>
              <w:top w:val="nil"/>
              <w:bottom w:val="nil"/>
            </w:tcBorders>
            <w:shd w:val="clear" w:color="auto" w:fill="365F91" w:themeFill="accent1" w:themeFillShade="BF"/>
          </w:tcPr>
          <w:p w14:paraId="3F5FCF44" w14:textId="77777777" w:rsidR="00455FDE" w:rsidRPr="00722D09" w:rsidRDefault="00455FDE" w:rsidP="00D148F6">
            <w:pPr>
              <w:pStyle w:val="TableText"/>
              <w:rPr>
                <w:color w:val="FFFFFF" w:themeColor="background1"/>
              </w:rPr>
            </w:pPr>
            <w:r w:rsidRPr="00722D09">
              <w:rPr>
                <w:color w:val="FFFFFF" w:themeColor="background1"/>
              </w:rPr>
              <w:t>Value of potential trade achieved through new and improved market access arrangements. (Effectiveness)</w:t>
            </w:r>
          </w:p>
        </w:tc>
      </w:tr>
      <w:tr w:rsidR="00495598" w:rsidRPr="00455FDE" w14:paraId="2E904DD2" w14:textId="77777777" w:rsidTr="001325BF">
        <w:trPr>
          <w:cantSplit/>
          <w:trHeight w:val="138"/>
        </w:trPr>
        <w:tc>
          <w:tcPr>
            <w:tcW w:w="988" w:type="dxa"/>
            <w:tcBorders>
              <w:top w:val="nil"/>
              <w:bottom w:val="nil"/>
            </w:tcBorders>
          </w:tcPr>
          <w:p w14:paraId="4E6A5F43" w14:textId="77777777" w:rsidR="00495598" w:rsidRPr="00455FDE" w:rsidRDefault="00495598" w:rsidP="00D148F6">
            <w:pPr>
              <w:pStyle w:val="TableHeading"/>
            </w:pPr>
            <w:r w:rsidRPr="00455FDE">
              <w:t>Target</w:t>
            </w:r>
          </w:p>
        </w:tc>
        <w:tc>
          <w:tcPr>
            <w:tcW w:w="8072" w:type="dxa"/>
            <w:tcBorders>
              <w:top w:val="nil"/>
            </w:tcBorders>
            <w:shd w:val="clear" w:color="auto" w:fill="auto"/>
          </w:tcPr>
          <w:p w14:paraId="1C7BD973" w14:textId="77777777" w:rsidR="00495598" w:rsidRDefault="00495598" w:rsidP="00495598">
            <w:pPr>
              <w:pStyle w:val="TableText"/>
            </w:pPr>
            <w:r w:rsidRPr="00495598">
              <w:rPr>
                <w:rStyle w:val="Strong"/>
              </w:rPr>
              <w:t>2021–22</w:t>
            </w:r>
            <w:r>
              <w:t xml:space="preserve">: </w:t>
            </w:r>
            <w:r w:rsidRPr="00455FDE">
              <w:t>Improvement in market value achieved (above zero).</w:t>
            </w:r>
          </w:p>
          <w:p w14:paraId="5651C90C" w14:textId="07BFE5DA" w:rsidR="00495598" w:rsidRDefault="00495598" w:rsidP="00495598">
            <w:pPr>
              <w:pStyle w:val="TableText"/>
            </w:pPr>
            <w:r w:rsidRPr="00495598">
              <w:rPr>
                <w:rStyle w:val="Strong"/>
              </w:rPr>
              <w:t>2022–23</w:t>
            </w:r>
            <w:r>
              <w:t>: As for 2021–22.</w:t>
            </w:r>
          </w:p>
          <w:p w14:paraId="1A9ABB03" w14:textId="67E18661" w:rsidR="00495598" w:rsidRDefault="00495598" w:rsidP="00495598">
            <w:pPr>
              <w:pStyle w:val="TableText"/>
            </w:pPr>
            <w:r w:rsidRPr="00495598">
              <w:rPr>
                <w:rStyle w:val="Strong"/>
              </w:rPr>
              <w:t>2023–24</w:t>
            </w:r>
            <w:r>
              <w:t>: As for 2021–22.</w:t>
            </w:r>
          </w:p>
          <w:p w14:paraId="2F96282F" w14:textId="51ED1B31" w:rsidR="00495598" w:rsidRPr="00455FDE" w:rsidRDefault="00495598" w:rsidP="00495598">
            <w:pPr>
              <w:pStyle w:val="TableText"/>
            </w:pPr>
            <w:r w:rsidRPr="00495598">
              <w:rPr>
                <w:rStyle w:val="Strong"/>
              </w:rPr>
              <w:t>2024–25</w:t>
            </w:r>
            <w:r>
              <w:t>: As for 2021–22.</w:t>
            </w:r>
          </w:p>
        </w:tc>
      </w:tr>
      <w:tr w:rsidR="00455FDE" w:rsidRPr="00455FDE" w14:paraId="1F794B55" w14:textId="77777777" w:rsidTr="001325BF">
        <w:trPr>
          <w:cantSplit/>
        </w:trPr>
        <w:tc>
          <w:tcPr>
            <w:tcW w:w="988" w:type="dxa"/>
            <w:tcBorders>
              <w:top w:val="nil"/>
            </w:tcBorders>
          </w:tcPr>
          <w:p w14:paraId="67CA822E" w14:textId="77777777" w:rsidR="00455FDE" w:rsidRPr="00455FDE" w:rsidRDefault="00455FDE" w:rsidP="002B7A00">
            <w:pPr>
              <w:pStyle w:val="TableHeading"/>
              <w:keepNext w:val="0"/>
            </w:pPr>
            <w:r w:rsidRPr="00455FDE">
              <w:t>Context</w:t>
            </w:r>
          </w:p>
        </w:tc>
        <w:tc>
          <w:tcPr>
            <w:tcW w:w="8072" w:type="dxa"/>
          </w:tcPr>
          <w:p w14:paraId="5EF11373" w14:textId="199A4F1F" w:rsidR="00455FDE" w:rsidRPr="00455FDE" w:rsidRDefault="00455FDE" w:rsidP="00D148F6">
            <w:pPr>
              <w:pStyle w:val="TableText"/>
            </w:pPr>
            <w:r w:rsidRPr="00455FDE">
              <w:t>We work to provide opportunities for primary producers to export their commodities. The Australian Government is involved in negotiations with other countries to establish trade agreements. We work with trading partners to establish and amend protocols to ensure that Australian agricultural exports meet importing country requirements.</w:t>
            </w:r>
          </w:p>
          <w:p w14:paraId="6183FC77" w14:textId="77777777" w:rsidR="00455FDE" w:rsidRPr="00455FDE" w:rsidRDefault="00455FDE" w:rsidP="00D148F6">
            <w:pPr>
              <w:pStyle w:val="TableText"/>
            </w:pPr>
            <w:r w:rsidRPr="00455FDE">
              <w:t>This is a measure of the effect of our market access activities on trade outcomes.</w:t>
            </w:r>
          </w:p>
        </w:tc>
      </w:tr>
      <w:tr w:rsidR="00455FDE" w:rsidRPr="00455FDE" w14:paraId="52A8558A" w14:textId="77777777" w:rsidTr="001325BF">
        <w:trPr>
          <w:cantSplit/>
        </w:trPr>
        <w:tc>
          <w:tcPr>
            <w:tcW w:w="988" w:type="dxa"/>
            <w:tcBorders>
              <w:top w:val="nil"/>
              <w:bottom w:val="nil"/>
            </w:tcBorders>
            <w:shd w:val="clear" w:color="auto" w:fill="365F91" w:themeFill="accent1" w:themeFillShade="BF"/>
          </w:tcPr>
          <w:p w14:paraId="72BDFA47" w14:textId="77777777" w:rsidR="00455FDE" w:rsidRPr="00722D09" w:rsidRDefault="00455FDE" w:rsidP="00D148F6">
            <w:pPr>
              <w:pStyle w:val="TableHeading"/>
              <w:rPr>
                <w:color w:val="FFFFFF" w:themeColor="background1"/>
              </w:rPr>
            </w:pPr>
            <w:r w:rsidRPr="00722D09">
              <w:rPr>
                <w:color w:val="FFFFFF" w:themeColor="background1"/>
              </w:rPr>
              <w:t>Measure</w:t>
            </w:r>
          </w:p>
        </w:tc>
        <w:tc>
          <w:tcPr>
            <w:tcW w:w="8072" w:type="dxa"/>
            <w:tcBorders>
              <w:top w:val="nil"/>
              <w:bottom w:val="nil"/>
            </w:tcBorders>
            <w:shd w:val="clear" w:color="auto" w:fill="365F91" w:themeFill="accent1" w:themeFillShade="BF"/>
          </w:tcPr>
          <w:p w14:paraId="7D376EF3" w14:textId="77777777" w:rsidR="00455FDE" w:rsidRPr="00722D09" w:rsidRDefault="00455FDE" w:rsidP="00D148F6">
            <w:pPr>
              <w:pStyle w:val="TableText"/>
              <w:rPr>
                <w:color w:val="FFFFFF" w:themeColor="background1"/>
              </w:rPr>
            </w:pPr>
            <w:r w:rsidRPr="00722D09">
              <w:rPr>
                <w:color w:val="FFFFFF" w:themeColor="background1"/>
              </w:rPr>
              <w:t>Value of potential exports facilitated through dispute resolution. (Effectiveness)</w:t>
            </w:r>
          </w:p>
        </w:tc>
      </w:tr>
      <w:tr w:rsidR="00495598" w:rsidRPr="00455FDE" w14:paraId="472010B0" w14:textId="77777777" w:rsidTr="001325BF">
        <w:trPr>
          <w:cantSplit/>
          <w:trHeight w:val="138"/>
        </w:trPr>
        <w:tc>
          <w:tcPr>
            <w:tcW w:w="988" w:type="dxa"/>
            <w:tcBorders>
              <w:top w:val="nil"/>
              <w:bottom w:val="nil"/>
            </w:tcBorders>
          </w:tcPr>
          <w:p w14:paraId="1EE67350" w14:textId="77777777" w:rsidR="00495598" w:rsidRPr="00455FDE" w:rsidRDefault="00495598" w:rsidP="00D148F6">
            <w:pPr>
              <w:pStyle w:val="TableHeading"/>
            </w:pPr>
            <w:r w:rsidRPr="00455FDE">
              <w:t>Target</w:t>
            </w:r>
          </w:p>
        </w:tc>
        <w:tc>
          <w:tcPr>
            <w:tcW w:w="8072" w:type="dxa"/>
            <w:tcBorders>
              <w:top w:val="nil"/>
            </w:tcBorders>
            <w:shd w:val="clear" w:color="auto" w:fill="auto"/>
          </w:tcPr>
          <w:p w14:paraId="25854498" w14:textId="77777777" w:rsidR="00495598" w:rsidRDefault="00495598" w:rsidP="00495598">
            <w:pPr>
              <w:pStyle w:val="TableText"/>
            </w:pPr>
            <w:r w:rsidRPr="00495598">
              <w:rPr>
                <w:rStyle w:val="Strong"/>
              </w:rPr>
              <w:t>2021–22</w:t>
            </w:r>
            <w:r>
              <w:t>:</w:t>
            </w:r>
            <w:r w:rsidRPr="00455FDE">
              <w:t xml:space="preserve"> Improvement in value of potential exports facilitated through dispute resolution.</w:t>
            </w:r>
          </w:p>
          <w:p w14:paraId="04A552E4" w14:textId="07938704" w:rsidR="00495598" w:rsidRDefault="00495598" w:rsidP="00495598">
            <w:pPr>
              <w:pStyle w:val="TableText"/>
            </w:pPr>
            <w:r w:rsidRPr="00495598">
              <w:rPr>
                <w:rStyle w:val="Strong"/>
              </w:rPr>
              <w:t>2022–23</w:t>
            </w:r>
            <w:r>
              <w:t>: As for 2021–22.</w:t>
            </w:r>
          </w:p>
          <w:p w14:paraId="556995DF" w14:textId="41AF633E" w:rsidR="00495598" w:rsidRDefault="00495598" w:rsidP="00495598">
            <w:pPr>
              <w:pStyle w:val="TableText"/>
            </w:pPr>
            <w:r w:rsidRPr="00495598">
              <w:rPr>
                <w:rStyle w:val="Strong"/>
              </w:rPr>
              <w:t>2023–24</w:t>
            </w:r>
            <w:r>
              <w:t>: As for 2021–22.</w:t>
            </w:r>
          </w:p>
          <w:p w14:paraId="150049E8" w14:textId="007F239C" w:rsidR="00495598" w:rsidRPr="00455FDE" w:rsidRDefault="00495598" w:rsidP="00495598">
            <w:pPr>
              <w:pStyle w:val="TableText"/>
            </w:pPr>
            <w:r w:rsidRPr="00495598">
              <w:rPr>
                <w:rStyle w:val="Strong"/>
              </w:rPr>
              <w:t>2024–25</w:t>
            </w:r>
            <w:r>
              <w:t>: As for 2021–22.</w:t>
            </w:r>
          </w:p>
        </w:tc>
      </w:tr>
      <w:tr w:rsidR="00455FDE" w:rsidRPr="00455FDE" w14:paraId="374ECFE7" w14:textId="77777777" w:rsidTr="001325BF">
        <w:trPr>
          <w:cantSplit/>
        </w:trPr>
        <w:tc>
          <w:tcPr>
            <w:tcW w:w="988" w:type="dxa"/>
            <w:tcBorders>
              <w:top w:val="nil"/>
            </w:tcBorders>
          </w:tcPr>
          <w:p w14:paraId="7FD974F0" w14:textId="77777777" w:rsidR="00455FDE" w:rsidRPr="00455FDE" w:rsidRDefault="00455FDE" w:rsidP="002B7A00">
            <w:pPr>
              <w:pStyle w:val="TableHeading"/>
              <w:keepNext w:val="0"/>
            </w:pPr>
            <w:r w:rsidRPr="00455FDE">
              <w:t>Context</w:t>
            </w:r>
          </w:p>
        </w:tc>
        <w:tc>
          <w:tcPr>
            <w:tcW w:w="8072" w:type="dxa"/>
          </w:tcPr>
          <w:p w14:paraId="54681086" w14:textId="77777777" w:rsidR="00455FDE" w:rsidRPr="00455FDE" w:rsidRDefault="00455FDE" w:rsidP="00D148F6">
            <w:pPr>
              <w:pStyle w:val="TableText"/>
            </w:pPr>
            <w:r w:rsidRPr="00455FDE">
              <w:t>This is a measure of the effectiveness of our work to resolve trade disputes and its effect on the value of potential exports facilitated. The measure captures the work of our international counsellor network.</w:t>
            </w:r>
          </w:p>
        </w:tc>
      </w:tr>
    </w:tbl>
    <w:bookmarkEnd w:id="115"/>
    <w:p w14:paraId="135B4AF0" w14:textId="4B70D264" w:rsidR="00455FDE" w:rsidRPr="00DB5B70" w:rsidRDefault="00837ADD" w:rsidP="00DB5B70">
      <w:pPr>
        <w:pStyle w:val="Heading5"/>
      </w:pPr>
      <w:r>
        <w:t xml:space="preserve">Performance </w:t>
      </w:r>
      <w:r w:rsidR="003C7A1E" w:rsidRPr="003C7A1E">
        <w:t>criterion</w:t>
      </w:r>
      <w:r>
        <w:t xml:space="preserve">: </w:t>
      </w:r>
      <w:r w:rsidR="00455FDE" w:rsidRPr="00DB5B70">
        <w:t>Export regulatory activity is streamlined and effective</w:t>
      </w:r>
      <w:r w:rsidR="00DB5B70">
        <w:t>.</w:t>
      </w:r>
    </w:p>
    <w:tbl>
      <w:tblPr>
        <w:tblStyle w:val="TableGrid10"/>
        <w:tblW w:w="0" w:type="auto"/>
        <w:tblBorders>
          <w:left w:val="none" w:sz="0" w:space="0" w:color="auto"/>
          <w:right w:val="none" w:sz="0" w:space="0" w:color="auto"/>
          <w:insideV w:val="none" w:sz="0" w:space="0" w:color="auto"/>
        </w:tblBorders>
        <w:tblLook w:val="04A0" w:firstRow="1" w:lastRow="0" w:firstColumn="1" w:lastColumn="0" w:noHBand="0" w:noVBand="1"/>
      </w:tblPr>
      <w:tblGrid>
        <w:gridCol w:w="988"/>
        <w:gridCol w:w="8072"/>
      </w:tblGrid>
      <w:tr w:rsidR="00722D09" w:rsidRPr="00722D09" w14:paraId="453EA46E" w14:textId="77777777" w:rsidTr="001325BF">
        <w:trPr>
          <w:cantSplit/>
        </w:trPr>
        <w:tc>
          <w:tcPr>
            <w:tcW w:w="988" w:type="dxa"/>
            <w:tcBorders>
              <w:top w:val="nil"/>
              <w:bottom w:val="nil"/>
            </w:tcBorders>
            <w:shd w:val="clear" w:color="auto" w:fill="365F91" w:themeFill="accent1" w:themeFillShade="BF"/>
          </w:tcPr>
          <w:p w14:paraId="30568B3E" w14:textId="77777777" w:rsidR="00455FDE" w:rsidRPr="00722D09" w:rsidRDefault="00455FDE" w:rsidP="00D148F6">
            <w:pPr>
              <w:pStyle w:val="TableHeading"/>
              <w:rPr>
                <w:color w:val="FFFFFF" w:themeColor="background1"/>
              </w:rPr>
            </w:pPr>
            <w:bookmarkStart w:id="116" w:name="RowTitle_3" w:colFirst="0" w:colLast="0"/>
            <w:r w:rsidRPr="00722D09">
              <w:rPr>
                <w:color w:val="FFFFFF" w:themeColor="background1"/>
              </w:rPr>
              <w:t>Measure</w:t>
            </w:r>
          </w:p>
        </w:tc>
        <w:tc>
          <w:tcPr>
            <w:tcW w:w="8072" w:type="dxa"/>
            <w:tcBorders>
              <w:top w:val="nil"/>
              <w:bottom w:val="nil"/>
            </w:tcBorders>
            <w:shd w:val="clear" w:color="auto" w:fill="365F91" w:themeFill="accent1" w:themeFillShade="BF"/>
          </w:tcPr>
          <w:p w14:paraId="032889E4" w14:textId="77777777" w:rsidR="00455FDE" w:rsidRPr="00722D09" w:rsidRDefault="00455FDE" w:rsidP="00D148F6">
            <w:pPr>
              <w:pStyle w:val="TableText"/>
              <w:rPr>
                <w:color w:val="FFFFFF" w:themeColor="background1"/>
              </w:rPr>
            </w:pPr>
            <w:r w:rsidRPr="00722D09">
              <w:rPr>
                <w:color w:val="FFFFFF" w:themeColor="background1"/>
              </w:rPr>
              <w:t xml:space="preserve">Decrease in number of </w:t>
            </w:r>
            <w:proofErr w:type="gramStart"/>
            <w:r w:rsidRPr="00722D09">
              <w:rPr>
                <w:color w:val="FFFFFF" w:themeColor="background1"/>
              </w:rPr>
              <w:t>point</w:t>
            </w:r>
            <w:proofErr w:type="gramEnd"/>
            <w:r w:rsidRPr="00722D09">
              <w:rPr>
                <w:color w:val="FFFFFF" w:themeColor="background1"/>
              </w:rPr>
              <w:t xml:space="preserve"> of entry failures from agricultural exports. (Effectiveness)</w:t>
            </w:r>
          </w:p>
        </w:tc>
      </w:tr>
      <w:tr w:rsidR="007F6EF9" w:rsidRPr="00455FDE" w14:paraId="7C3FE375" w14:textId="77777777" w:rsidTr="001325BF">
        <w:trPr>
          <w:cantSplit/>
        </w:trPr>
        <w:tc>
          <w:tcPr>
            <w:tcW w:w="988" w:type="dxa"/>
            <w:tcBorders>
              <w:top w:val="nil"/>
              <w:bottom w:val="nil"/>
            </w:tcBorders>
          </w:tcPr>
          <w:p w14:paraId="0F36D713" w14:textId="77777777" w:rsidR="007F6EF9" w:rsidRPr="0058656B" w:rsidRDefault="007F6EF9" w:rsidP="00D148F6">
            <w:pPr>
              <w:pStyle w:val="TableHeading"/>
            </w:pPr>
            <w:r w:rsidRPr="0058656B">
              <w:t>Target</w:t>
            </w:r>
          </w:p>
        </w:tc>
        <w:tc>
          <w:tcPr>
            <w:tcW w:w="8072" w:type="dxa"/>
            <w:tcBorders>
              <w:top w:val="nil"/>
            </w:tcBorders>
            <w:shd w:val="clear" w:color="auto" w:fill="auto"/>
          </w:tcPr>
          <w:p w14:paraId="2CEB2B59" w14:textId="77777777" w:rsidR="007F6EF9" w:rsidRDefault="007F6EF9" w:rsidP="007F6EF9">
            <w:pPr>
              <w:pStyle w:val="TableText"/>
            </w:pPr>
            <w:r w:rsidRPr="00577269">
              <w:rPr>
                <w:rStyle w:val="Strong"/>
              </w:rPr>
              <w:t>2021–22</w:t>
            </w:r>
            <w:r>
              <w:t>:</w:t>
            </w:r>
            <w:r w:rsidRPr="00455FDE">
              <w:t xml:space="preserve"> &lt;0%</w:t>
            </w:r>
            <w:r>
              <w:t> </w:t>
            </w:r>
            <w:r w:rsidRPr="00455FDE">
              <w:t xml:space="preserve">difference in number of </w:t>
            </w:r>
            <w:proofErr w:type="gramStart"/>
            <w:r w:rsidRPr="00455FDE">
              <w:t>point</w:t>
            </w:r>
            <w:proofErr w:type="gramEnd"/>
            <w:r w:rsidRPr="00455FDE">
              <w:t xml:space="preserve"> of entry failures from </w:t>
            </w:r>
            <w:r>
              <w:t>baseline (</w:t>
            </w:r>
            <w:r w:rsidRPr="00455FDE">
              <w:t>2020–21</w:t>
            </w:r>
            <w:r>
              <w:t>)</w:t>
            </w:r>
            <w:r w:rsidRPr="00455FDE">
              <w:t>.</w:t>
            </w:r>
          </w:p>
          <w:p w14:paraId="54EACB59" w14:textId="0319BC03" w:rsidR="007F6EF9" w:rsidRDefault="007F6EF9" w:rsidP="007F6EF9">
            <w:pPr>
              <w:pStyle w:val="TableText"/>
            </w:pPr>
            <w:r w:rsidRPr="00577269">
              <w:rPr>
                <w:rStyle w:val="Strong"/>
              </w:rPr>
              <w:t>2022–23</w:t>
            </w:r>
            <w:r>
              <w:t>:</w:t>
            </w:r>
            <w:r w:rsidRPr="00F70E66">
              <w:t xml:space="preserve"> As for 2021–22</w:t>
            </w:r>
            <w:r w:rsidR="003F6B53">
              <w:t>.</w:t>
            </w:r>
          </w:p>
          <w:p w14:paraId="4E880340" w14:textId="0D4E5F9D" w:rsidR="007F6EF9" w:rsidRDefault="007F6EF9" w:rsidP="007F6EF9">
            <w:pPr>
              <w:pStyle w:val="TableText"/>
            </w:pPr>
            <w:r w:rsidRPr="00577269">
              <w:rPr>
                <w:rStyle w:val="Strong"/>
              </w:rPr>
              <w:t>2023–24</w:t>
            </w:r>
            <w:r>
              <w:t>:</w:t>
            </w:r>
            <w:r w:rsidRPr="00F70E66">
              <w:t xml:space="preserve"> As for 2021–22</w:t>
            </w:r>
            <w:r w:rsidR="003F6B53">
              <w:t>.</w:t>
            </w:r>
          </w:p>
          <w:p w14:paraId="77CC860F" w14:textId="12B6B713" w:rsidR="007F6EF9" w:rsidRPr="00455FDE" w:rsidRDefault="007F6EF9" w:rsidP="007F6EF9">
            <w:pPr>
              <w:pStyle w:val="TableText"/>
            </w:pPr>
            <w:r w:rsidRPr="00577269">
              <w:rPr>
                <w:rStyle w:val="Strong"/>
              </w:rPr>
              <w:t>2024–25</w:t>
            </w:r>
            <w:r>
              <w:t>:</w:t>
            </w:r>
            <w:r w:rsidRPr="00F70E66">
              <w:t xml:space="preserve"> As for 2021–22</w:t>
            </w:r>
            <w:r w:rsidR="003F6B53">
              <w:t>.</w:t>
            </w:r>
          </w:p>
        </w:tc>
      </w:tr>
      <w:tr w:rsidR="007F6EF9" w:rsidRPr="00455FDE" w14:paraId="36ECF2D3" w14:textId="77777777" w:rsidTr="001325BF">
        <w:trPr>
          <w:cantSplit/>
        </w:trPr>
        <w:tc>
          <w:tcPr>
            <w:tcW w:w="988" w:type="dxa"/>
            <w:tcBorders>
              <w:top w:val="nil"/>
              <w:bottom w:val="nil"/>
            </w:tcBorders>
          </w:tcPr>
          <w:p w14:paraId="3A060301" w14:textId="02CBD6D2" w:rsidR="007F6EF9" w:rsidRPr="00577269" w:rsidRDefault="007F6EF9" w:rsidP="00577269">
            <w:pPr>
              <w:pStyle w:val="TableHeading"/>
            </w:pPr>
            <w:r w:rsidRPr="00577269">
              <w:t>Target</w:t>
            </w:r>
          </w:p>
        </w:tc>
        <w:tc>
          <w:tcPr>
            <w:tcW w:w="8072" w:type="dxa"/>
            <w:shd w:val="clear" w:color="auto" w:fill="auto"/>
          </w:tcPr>
          <w:p w14:paraId="75024D15" w14:textId="77777777" w:rsidR="007F6EF9" w:rsidRDefault="007F6EF9" w:rsidP="00B75934">
            <w:pPr>
              <w:pStyle w:val="TableText"/>
            </w:pPr>
            <w:r w:rsidRPr="00577269">
              <w:rPr>
                <w:rStyle w:val="Strong"/>
              </w:rPr>
              <w:t>2021–22</w:t>
            </w:r>
            <w:r>
              <w:t>:</w:t>
            </w:r>
            <w:r w:rsidRPr="00455FDE">
              <w:t xml:space="preserve"> &lt;0%</w:t>
            </w:r>
            <w:r>
              <w:t> </w:t>
            </w:r>
            <w:r w:rsidRPr="00455FDE">
              <w:t xml:space="preserve">difference in overall certification failures from </w:t>
            </w:r>
            <w:r>
              <w:t>baseline (</w:t>
            </w:r>
            <w:r w:rsidRPr="00455FDE">
              <w:t>2020–21</w:t>
            </w:r>
            <w:r>
              <w:t>)</w:t>
            </w:r>
            <w:r w:rsidRPr="00455FDE">
              <w:t>.</w:t>
            </w:r>
          </w:p>
          <w:p w14:paraId="74542738" w14:textId="0699FE62" w:rsidR="007F6EF9" w:rsidRDefault="007F6EF9" w:rsidP="007F6EF9">
            <w:pPr>
              <w:pStyle w:val="TableText"/>
            </w:pPr>
            <w:r w:rsidRPr="00577269">
              <w:rPr>
                <w:rStyle w:val="Strong"/>
              </w:rPr>
              <w:t>2022–23</w:t>
            </w:r>
            <w:r>
              <w:t>:</w:t>
            </w:r>
            <w:r w:rsidRPr="00F70E66">
              <w:t xml:space="preserve"> As for 2021–22</w:t>
            </w:r>
            <w:r w:rsidR="003F6B53">
              <w:t>.</w:t>
            </w:r>
          </w:p>
          <w:p w14:paraId="5B7194A4" w14:textId="5CC09974" w:rsidR="007F6EF9" w:rsidRDefault="007F6EF9" w:rsidP="007F6EF9">
            <w:pPr>
              <w:pStyle w:val="TableText"/>
            </w:pPr>
            <w:r w:rsidRPr="00577269">
              <w:rPr>
                <w:rStyle w:val="Strong"/>
              </w:rPr>
              <w:t>2023–24</w:t>
            </w:r>
            <w:r>
              <w:t>:</w:t>
            </w:r>
            <w:r w:rsidRPr="00F70E66">
              <w:t xml:space="preserve"> As for 2021–22</w:t>
            </w:r>
            <w:r w:rsidR="003F6B53">
              <w:t>.</w:t>
            </w:r>
          </w:p>
          <w:p w14:paraId="592D38E8" w14:textId="63CBE0E6" w:rsidR="007F6EF9" w:rsidRPr="00455FDE" w:rsidRDefault="007F6EF9" w:rsidP="00B75934">
            <w:pPr>
              <w:pStyle w:val="TableText"/>
            </w:pPr>
            <w:r w:rsidRPr="00577269">
              <w:rPr>
                <w:rStyle w:val="Strong"/>
              </w:rPr>
              <w:t>2024–25</w:t>
            </w:r>
            <w:r>
              <w:t>:</w:t>
            </w:r>
            <w:r w:rsidRPr="00F70E66">
              <w:t xml:space="preserve"> As for 2021–22</w:t>
            </w:r>
            <w:r w:rsidR="003F6B53">
              <w:t>.</w:t>
            </w:r>
          </w:p>
        </w:tc>
      </w:tr>
      <w:tr w:rsidR="00455FDE" w:rsidRPr="00455FDE" w14:paraId="080C0EA9" w14:textId="77777777" w:rsidTr="001325BF">
        <w:trPr>
          <w:cantSplit/>
        </w:trPr>
        <w:tc>
          <w:tcPr>
            <w:tcW w:w="988" w:type="dxa"/>
            <w:tcBorders>
              <w:top w:val="nil"/>
            </w:tcBorders>
          </w:tcPr>
          <w:p w14:paraId="1B223669" w14:textId="77777777" w:rsidR="00455FDE" w:rsidRPr="0058656B" w:rsidRDefault="00455FDE" w:rsidP="002B7A00">
            <w:pPr>
              <w:pStyle w:val="TableHeading"/>
              <w:keepNext w:val="0"/>
            </w:pPr>
            <w:r w:rsidRPr="0058656B">
              <w:t>Context</w:t>
            </w:r>
          </w:p>
        </w:tc>
        <w:tc>
          <w:tcPr>
            <w:tcW w:w="8072" w:type="dxa"/>
          </w:tcPr>
          <w:p w14:paraId="0A8E16C4" w14:textId="46BB5CB6" w:rsidR="00440BC0" w:rsidRPr="00455FDE" w:rsidRDefault="00455FDE" w:rsidP="00B75934">
            <w:pPr>
              <w:pStyle w:val="TableText"/>
            </w:pPr>
            <w:r w:rsidRPr="00455FDE">
              <w:t>We provide export controls and assistance for agricultural, fisheries and forestry exporters to meet importing country requirements for their commodities. This is a proxy measure of our regulatory effectiveness. Fewer point of entry failures reflects greater compliance by exporters with regulatory standards.</w:t>
            </w:r>
          </w:p>
        </w:tc>
      </w:tr>
      <w:tr w:rsidR="00722D09" w:rsidRPr="00722D09" w14:paraId="16AD37CB" w14:textId="77777777" w:rsidTr="001325BF">
        <w:trPr>
          <w:cantSplit/>
        </w:trPr>
        <w:tc>
          <w:tcPr>
            <w:tcW w:w="988" w:type="dxa"/>
            <w:tcBorders>
              <w:top w:val="nil"/>
              <w:bottom w:val="nil"/>
            </w:tcBorders>
            <w:shd w:val="clear" w:color="auto" w:fill="365F91" w:themeFill="accent1" w:themeFillShade="BF"/>
          </w:tcPr>
          <w:p w14:paraId="4602F071" w14:textId="47DDCCD7" w:rsidR="00455FDE" w:rsidRPr="00722D09" w:rsidRDefault="00455FDE" w:rsidP="00B75934">
            <w:pPr>
              <w:pStyle w:val="TableHeading"/>
              <w:rPr>
                <w:color w:val="FFFFFF" w:themeColor="background1"/>
              </w:rPr>
            </w:pPr>
            <w:r w:rsidRPr="00722D09">
              <w:rPr>
                <w:color w:val="FFFFFF" w:themeColor="background1"/>
              </w:rPr>
              <w:lastRenderedPageBreak/>
              <w:t>Measure</w:t>
            </w:r>
          </w:p>
        </w:tc>
        <w:tc>
          <w:tcPr>
            <w:tcW w:w="8072" w:type="dxa"/>
            <w:tcBorders>
              <w:top w:val="nil"/>
              <w:bottom w:val="nil"/>
            </w:tcBorders>
            <w:shd w:val="clear" w:color="auto" w:fill="365F91" w:themeFill="accent1" w:themeFillShade="BF"/>
          </w:tcPr>
          <w:p w14:paraId="79CF0985" w14:textId="77777777" w:rsidR="00455FDE" w:rsidRPr="00722D09" w:rsidRDefault="00455FDE" w:rsidP="00B75934">
            <w:pPr>
              <w:pStyle w:val="TableText"/>
              <w:rPr>
                <w:color w:val="FFFFFF" w:themeColor="background1"/>
              </w:rPr>
            </w:pPr>
            <w:r w:rsidRPr="00722D09">
              <w:rPr>
                <w:color w:val="FFFFFF" w:themeColor="background1"/>
              </w:rPr>
              <w:t>Reduction of $21.4 million in the department’s regulatory costs for agricultural exporters by 2024. (Effectiveness)</w:t>
            </w:r>
          </w:p>
        </w:tc>
      </w:tr>
      <w:tr w:rsidR="007F6EF9" w:rsidRPr="00455FDE" w14:paraId="4450E91D" w14:textId="77777777" w:rsidTr="001325BF">
        <w:trPr>
          <w:cantSplit/>
        </w:trPr>
        <w:tc>
          <w:tcPr>
            <w:tcW w:w="988" w:type="dxa"/>
            <w:tcBorders>
              <w:top w:val="nil"/>
              <w:bottom w:val="nil"/>
            </w:tcBorders>
          </w:tcPr>
          <w:p w14:paraId="0E421F9F" w14:textId="77777777" w:rsidR="007F6EF9" w:rsidRPr="00455FDE" w:rsidRDefault="007F6EF9" w:rsidP="00B75934">
            <w:pPr>
              <w:pStyle w:val="TableHeading"/>
            </w:pPr>
            <w:r w:rsidRPr="00455FDE">
              <w:t>Target</w:t>
            </w:r>
          </w:p>
        </w:tc>
        <w:tc>
          <w:tcPr>
            <w:tcW w:w="8072" w:type="dxa"/>
            <w:tcBorders>
              <w:top w:val="nil"/>
            </w:tcBorders>
            <w:shd w:val="clear" w:color="auto" w:fill="auto"/>
          </w:tcPr>
          <w:p w14:paraId="154DA4F7" w14:textId="77777777" w:rsidR="007F6EF9" w:rsidRDefault="007F6EF9" w:rsidP="007F6EF9">
            <w:pPr>
              <w:pStyle w:val="TableText"/>
            </w:pPr>
            <w:r w:rsidRPr="00577269">
              <w:rPr>
                <w:rStyle w:val="Strong"/>
              </w:rPr>
              <w:t>2021–22</w:t>
            </w:r>
            <w:r>
              <w:t>:</w:t>
            </w:r>
            <w:r w:rsidRPr="00455FDE">
              <w:t xml:space="preserve"> Reduction of $12.7</w:t>
            </w:r>
            <w:r>
              <w:t> </w:t>
            </w:r>
            <w:r w:rsidRPr="00455FDE">
              <w:t>million in cost recovery expense.</w:t>
            </w:r>
          </w:p>
          <w:p w14:paraId="5EBE56BE" w14:textId="77777777" w:rsidR="007F6EF9" w:rsidRDefault="007F6EF9" w:rsidP="007F6EF9">
            <w:pPr>
              <w:pStyle w:val="TableText"/>
            </w:pPr>
            <w:r w:rsidRPr="00577269">
              <w:rPr>
                <w:rStyle w:val="Strong"/>
              </w:rPr>
              <w:t>2022–23</w:t>
            </w:r>
            <w:r>
              <w:t>: To be developed.</w:t>
            </w:r>
          </w:p>
          <w:p w14:paraId="4712AE02" w14:textId="77777777" w:rsidR="007F6EF9" w:rsidRDefault="007F6EF9" w:rsidP="007F6EF9">
            <w:pPr>
              <w:pStyle w:val="TableText"/>
            </w:pPr>
            <w:r w:rsidRPr="00577269">
              <w:rPr>
                <w:rStyle w:val="Strong"/>
              </w:rPr>
              <w:t>2023–24</w:t>
            </w:r>
            <w:r>
              <w:t>: To be developed.</w:t>
            </w:r>
          </w:p>
          <w:p w14:paraId="75B538CC" w14:textId="1F7FD357" w:rsidR="007F6EF9" w:rsidRPr="00455FDE" w:rsidRDefault="007F6EF9" w:rsidP="007F6EF9">
            <w:pPr>
              <w:pStyle w:val="TableText"/>
            </w:pPr>
            <w:r w:rsidRPr="00577269">
              <w:rPr>
                <w:rStyle w:val="Strong"/>
              </w:rPr>
              <w:t>2024–25</w:t>
            </w:r>
            <w:r>
              <w:t>: n/a</w:t>
            </w:r>
            <w:r w:rsidR="003F6B53">
              <w:t>.</w:t>
            </w:r>
          </w:p>
        </w:tc>
      </w:tr>
      <w:tr w:rsidR="00455FDE" w:rsidRPr="00455FDE" w14:paraId="01CE4513" w14:textId="77777777" w:rsidTr="001325BF">
        <w:trPr>
          <w:cantSplit/>
        </w:trPr>
        <w:tc>
          <w:tcPr>
            <w:tcW w:w="988" w:type="dxa"/>
            <w:tcBorders>
              <w:top w:val="nil"/>
            </w:tcBorders>
          </w:tcPr>
          <w:p w14:paraId="18CD69D2" w14:textId="77777777" w:rsidR="00455FDE" w:rsidRPr="00455FDE" w:rsidRDefault="00455FDE" w:rsidP="002B7A00">
            <w:pPr>
              <w:pStyle w:val="TableHeading"/>
              <w:keepNext w:val="0"/>
            </w:pPr>
            <w:r w:rsidRPr="00455FDE">
              <w:t>Context</w:t>
            </w:r>
          </w:p>
        </w:tc>
        <w:tc>
          <w:tcPr>
            <w:tcW w:w="8072" w:type="dxa"/>
          </w:tcPr>
          <w:p w14:paraId="1B6160E0" w14:textId="301A2B64" w:rsidR="00440BC0" w:rsidRPr="00455FDE" w:rsidRDefault="00455FDE" w:rsidP="00B75934">
            <w:pPr>
              <w:pStyle w:val="TableText"/>
            </w:pPr>
            <w:proofErr w:type="gramStart"/>
            <w:r w:rsidRPr="00455FDE">
              <w:t>This measures</w:t>
            </w:r>
            <w:proofErr w:type="gramEnd"/>
            <w:r w:rsidRPr="00455FDE">
              <w:t xml:space="preserve"> core outcomes of the government’s package of reforms for Australian agricultural exporters. We seek to make it faster and cheaper for farmers to get their product to market. Reducing regulatory costs and costs of compliance contributes to this goal.</w:t>
            </w:r>
          </w:p>
        </w:tc>
      </w:tr>
      <w:tr w:rsidR="00722D09" w:rsidRPr="00722D09" w14:paraId="285053B7" w14:textId="77777777" w:rsidTr="001325BF">
        <w:trPr>
          <w:cantSplit/>
        </w:trPr>
        <w:tc>
          <w:tcPr>
            <w:tcW w:w="988" w:type="dxa"/>
            <w:tcBorders>
              <w:top w:val="nil"/>
              <w:bottom w:val="nil"/>
            </w:tcBorders>
            <w:shd w:val="clear" w:color="auto" w:fill="365F91" w:themeFill="accent1" w:themeFillShade="BF"/>
          </w:tcPr>
          <w:p w14:paraId="6CD04B06" w14:textId="5C9DE3F8" w:rsidR="00455FDE" w:rsidRPr="00722D09" w:rsidRDefault="00455FDE" w:rsidP="00B75934">
            <w:pPr>
              <w:pStyle w:val="TableHeading"/>
              <w:rPr>
                <w:color w:val="FFFFFF" w:themeColor="background1"/>
              </w:rPr>
            </w:pPr>
            <w:r w:rsidRPr="00722D09">
              <w:rPr>
                <w:color w:val="FFFFFF" w:themeColor="background1"/>
              </w:rPr>
              <w:t>Measure</w:t>
            </w:r>
          </w:p>
        </w:tc>
        <w:tc>
          <w:tcPr>
            <w:tcW w:w="8072" w:type="dxa"/>
            <w:tcBorders>
              <w:top w:val="nil"/>
              <w:bottom w:val="nil"/>
            </w:tcBorders>
            <w:shd w:val="clear" w:color="auto" w:fill="365F91" w:themeFill="accent1" w:themeFillShade="BF"/>
          </w:tcPr>
          <w:p w14:paraId="0DDB120E" w14:textId="77777777" w:rsidR="00455FDE" w:rsidRPr="00722D09" w:rsidRDefault="00455FDE" w:rsidP="00B75934">
            <w:pPr>
              <w:pStyle w:val="TableText"/>
              <w:rPr>
                <w:color w:val="FFFFFF" w:themeColor="background1"/>
              </w:rPr>
            </w:pPr>
            <w:r w:rsidRPr="00722D09">
              <w:rPr>
                <w:color w:val="FFFFFF" w:themeColor="background1"/>
              </w:rPr>
              <w:t>Reduction in costs of compliance burden for agricultural exporters. (Efficiency)</w:t>
            </w:r>
          </w:p>
        </w:tc>
      </w:tr>
      <w:tr w:rsidR="001F0BF0" w:rsidRPr="00455FDE" w14:paraId="55BED662" w14:textId="77777777" w:rsidTr="001325BF">
        <w:trPr>
          <w:cantSplit/>
        </w:trPr>
        <w:tc>
          <w:tcPr>
            <w:tcW w:w="988" w:type="dxa"/>
            <w:tcBorders>
              <w:top w:val="nil"/>
              <w:bottom w:val="nil"/>
            </w:tcBorders>
          </w:tcPr>
          <w:p w14:paraId="2CA868E6" w14:textId="77777777" w:rsidR="001F0BF0" w:rsidRPr="00455FDE" w:rsidRDefault="001F0BF0" w:rsidP="00B75934">
            <w:pPr>
              <w:pStyle w:val="TableHeading"/>
            </w:pPr>
            <w:r w:rsidRPr="00455FDE">
              <w:t>Target</w:t>
            </w:r>
          </w:p>
        </w:tc>
        <w:tc>
          <w:tcPr>
            <w:tcW w:w="8072" w:type="dxa"/>
            <w:tcBorders>
              <w:top w:val="nil"/>
            </w:tcBorders>
            <w:shd w:val="clear" w:color="auto" w:fill="auto"/>
          </w:tcPr>
          <w:p w14:paraId="0E79C596" w14:textId="77777777" w:rsidR="001F0BF0" w:rsidRDefault="001F0BF0" w:rsidP="001F0BF0">
            <w:pPr>
              <w:pStyle w:val="TableText"/>
            </w:pPr>
            <w:r w:rsidRPr="00577269">
              <w:rPr>
                <w:rStyle w:val="Strong"/>
              </w:rPr>
              <w:t>2021–22</w:t>
            </w:r>
            <w:r>
              <w:t>:</w:t>
            </w:r>
            <w:r w:rsidRPr="00455FDE">
              <w:t xml:space="preserve"> Target will be developed based on 2021–22 values to form a baseline as this is a new measure.</w:t>
            </w:r>
          </w:p>
          <w:p w14:paraId="709DCABB" w14:textId="77777777" w:rsidR="001F0BF0" w:rsidRDefault="001F0BF0" w:rsidP="001F0BF0">
            <w:pPr>
              <w:pStyle w:val="TableText"/>
            </w:pPr>
            <w:r w:rsidRPr="00577269">
              <w:rPr>
                <w:rStyle w:val="Strong"/>
              </w:rPr>
              <w:t>2022–23</w:t>
            </w:r>
            <w:r>
              <w:t>: To be developed.</w:t>
            </w:r>
          </w:p>
          <w:p w14:paraId="70774D75" w14:textId="77777777" w:rsidR="001F0BF0" w:rsidRDefault="001F0BF0" w:rsidP="001F0BF0">
            <w:pPr>
              <w:pStyle w:val="TableText"/>
            </w:pPr>
            <w:r w:rsidRPr="00577269">
              <w:rPr>
                <w:rStyle w:val="Strong"/>
              </w:rPr>
              <w:t>2023–24</w:t>
            </w:r>
            <w:r>
              <w:t>: To be developed.</w:t>
            </w:r>
          </w:p>
          <w:p w14:paraId="55FFE9F2" w14:textId="2BE38681" w:rsidR="001F0BF0" w:rsidRPr="00455FDE" w:rsidRDefault="001F0BF0" w:rsidP="001F0BF0">
            <w:pPr>
              <w:pStyle w:val="TableText"/>
            </w:pPr>
            <w:r w:rsidRPr="00577269">
              <w:rPr>
                <w:rStyle w:val="Strong"/>
              </w:rPr>
              <w:t>2024–25</w:t>
            </w:r>
            <w:r>
              <w:t>: To be developed.</w:t>
            </w:r>
          </w:p>
        </w:tc>
      </w:tr>
      <w:tr w:rsidR="00455FDE" w:rsidRPr="00455FDE" w14:paraId="059DF6DC" w14:textId="77777777" w:rsidTr="001325BF">
        <w:trPr>
          <w:cantSplit/>
        </w:trPr>
        <w:tc>
          <w:tcPr>
            <w:tcW w:w="988" w:type="dxa"/>
            <w:tcBorders>
              <w:top w:val="nil"/>
            </w:tcBorders>
          </w:tcPr>
          <w:p w14:paraId="511C9A42" w14:textId="77777777" w:rsidR="00455FDE" w:rsidRPr="00455FDE" w:rsidRDefault="00455FDE" w:rsidP="002B7A00">
            <w:pPr>
              <w:pStyle w:val="TableHeading"/>
              <w:keepNext w:val="0"/>
            </w:pPr>
            <w:r w:rsidRPr="00455FDE">
              <w:t>Context</w:t>
            </w:r>
          </w:p>
        </w:tc>
        <w:tc>
          <w:tcPr>
            <w:tcW w:w="8072" w:type="dxa"/>
          </w:tcPr>
          <w:p w14:paraId="5156AFAA" w14:textId="59B90965" w:rsidR="002E1E6D" w:rsidRPr="00455FDE" w:rsidRDefault="00455FDE" w:rsidP="00B75934">
            <w:pPr>
              <w:pStyle w:val="TableText"/>
            </w:pPr>
            <w:r w:rsidRPr="00455FDE">
              <w:t>These are core outcomes of the government’s package of reforms for Australian agricultural exporters. We seek to make it faster and cheaper for farmers to get their product to market. Reducing regulatory costs and costs of compliance contribute to this goal.</w:t>
            </w:r>
          </w:p>
        </w:tc>
      </w:tr>
    </w:tbl>
    <w:p w14:paraId="18141131" w14:textId="1107B898" w:rsidR="00455FDE" w:rsidRPr="00DB5B70" w:rsidRDefault="00837ADD" w:rsidP="00DB5B70">
      <w:pPr>
        <w:pStyle w:val="Heading5"/>
      </w:pPr>
      <w:bookmarkStart w:id="117" w:name="_Toc75856599"/>
      <w:bookmarkEnd w:id="116"/>
      <w:r>
        <w:t xml:space="preserve">Performance </w:t>
      </w:r>
      <w:r w:rsidR="003C7A1E" w:rsidRPr="003C7A1E">
        <w:t>criterion</w:t>
      </w:r>
      <w:r>
        <w:t xml:space="preserve">: </w:t>
      </w:r>
      <w:r w:rsidR="00455FDE" w:rsidRPr="00DB5B70">
        <w:t>Australian farmers and communities are supported through hardship and are prepared for business risk, including drought</w:t>
      </w:r>
      <w:bookmarkEnd w:id="117"/>
      <w:r w:rsidR="00DB5B70">
        <w:t>.</w:t>
      </w:r>
    </w:p>
    <w:tbl>
      <w:tblPr>
        <w:tblStyle w:val="TableGrid10"/>
        <w:tblW w:w="0" w:type="auto"/>
        <w:tblBorders>
          <w:left w:val="none" w:sz="0" w:space="0" w:color="auto"/>
          <w:right w:val="none" w:sz="0" w:space="0" w:color="auto"/>
          <w:insideV w:val="none" w:sz="0" w:space="0" w:color="auto"/>
        </w:tblBorders>
        <w:tblLook w:val="04A0" w:firstRow="1" w:lastRow="0" w:firstColumn="1" w:lastColumn="0" w:noHBand="0" w:noVBand="1"/>
      </w:tblPr>
      <w:tblGrid>
        <w:gridCol w:w="988"/>
        <w:gridCol w:w="8072"/>
      </w:tblGrid>
      <w:tr w:rsidR="00722D09" w:rsidRPr="00722D09" w14:paraId="53FBAFAE" w14:textId="77777777" w:rsidTr="001325BF">
        <w:trPr>
          <w:cantSplit/>
        </w:trPr>
        <w:tc>
          <w:tcPr>
            <w:tcW w:w="988" w:type="dxa"/>
            <w:tcBorders>
              <w:top w:val="nil"/>
              <w:bottom w:val="nil"/>
            </w:tcBorders>
            <w:shd w:val="clear" w:color="auto" w:fill="365F91" w:themeFill="accent1" w:themeFillShade="BF"/>
          </w:tcPr>
          <w:p w14:paraId="54E45247" w14:textId="77777777" w:rsidR="00455FDE" w:rsidRPr="00722D09" w:rsidRDefault="00455FDE" w:rsidP="00B75934">
            <w:pPr>
              <w:pStyle w:val="TableHeading"/>
              <w:rPr>
                <w:color w:val="FFFFFF" w:themeColor="background1"/>
              </w:rPr>
            </w:pPr>
            <w:bookmarkStart w:id="118" w:name="RowTitle_4" w:colFirst="0" w:colLast="0"/>
            <w:r w:rsidRPr="00722D09">
              <w:rPr>
                <w:color w:val="FFFFFF" w:themeColor="background1"/>
              </w:rPr>
              <w:t>Measure</w:t>
            </w:r>
          </w:p>
        </w:tc>
        <w:tc>
          <w:tcPr>
            <w:tcW w:w="8072" w:type="dxa"/>
            <w:tcBorders>
              <w:top w:val="nil"/>
              <w:bottom w:val="nil"/>
            </w:tcBorders>
            <w:shd w:val="clear" w:color="auto" w:fill="365F91" w:themeFill="accent1" w:themeFillShade="BF"/>
          </w:tcPr>
          <w:p w14:paraId="56354096" w14:textId="442131FD" w:rsidR="00455FDE" w:rsidRPr="00722D09" w:rsidRDefault="00455FDE" w:rsidP="00B75934">
            <w:pPr>
              <w:pStyle w:val="TableText"/>
              <w:rPr>
                <w:color w:val="FFFFFF" w:themeColor="background1"/>
              </w:rPr>
            </w:pPr>
            <w:r w:rsidRPr="00722D09">
              <w:rPr>
                <w:color w:val="FFFFFF" w:themeColor="background1"/>
              </w:rPr>
              <w:t xml:space="preserve">Increase in the proportion of farmers </w:t>
            </w:r>
            <w:r w:rsidR="00DC2A88" w:rsidRPr="00722D09">
              <w:rPr>
                <w:color w:val="FFFFFF" w:themeColor="background1"/>
              </w:rPr>
              <w:t xml:space="preserve">who </w:t>
            </w:r>
            <w:r w:rsidRPr="00722D09">
              <w:rPr>
                <w:color w:val="FFFFFF" w:themeColor="background1"/>
              </w:rPr>
              <w:t>are actively planning for business risk, including drought, and have confidence in their ability to achieve desired outcomes on their farm. (Effectiveness)</w:t>
            </w:r>
          </w:p>
        </w:tc>
      </w:tr>
      <w:tr w:rsidR="001F0BF0" w:rsidRPr="00455FDE" w14:paraId="1746ED13" w14:textId="77777777" w:rsidTr="001325BF">
        <w:trPr>
          <w:cantSplit/>
          <w:trHeight w:val="138"/>
        </w:trPr>
        <w:tc>
          <w:tcPr>
            <w:tcW w:w="988" w:type="dxa"/>
            <w:tcBorders>
              <w:top w:val="nil"/>
              <w:bottom w:val="nil"/>
            </w:tcBorders>
          </w:tcPr>
          <w:p w14:paraId="798F8358" w14:textId="77777777" w:rsidR="001F0BF0" w:rsidRPr="00455FDE" w:rsidRDefault="001F0BF0" w:rsidP="00B75934">
            <w:pPr>
              <w:pStyle w:val="TableHeading"/>
            </w:pPr>
            <w:r w:rsidRPr="00455FDE">
              <w:t>Target</w:t>
            </w:r>
          </w:p>
        </w:tc>
        <w:tc>
          <w:tcPr>
            <w:tcW w:w="8072" w:type="dxa"/>
            <w:tcBorders>
              <w:top w:val="nil"/>
            </w:tcBorders>
            <w:shd w:val="clear" w:color="auto" w:fill="auto"/>
          </w:tcPr>
          <w:p w14:paraId="02DEE9FF" w14:textId="77777777" w:rsidR="001F0BF0" w:rsidRDefault="001F0BF0" w:rsidP="001F0BF0">
            <w:pPr>
              <w:pStyle w:val="TableText"/>
            </w:pPr>
            <w:r w:rsidRPr="00577269">
              <w:rPr>
                <w:rStyle w:val="Strong"/>
              </w:rPr>
              <w:t>2021–22</w:t>
            </w:r>
            <w:r>
              <w:t>:</w:t>
            </w:r>
            <w:r w:rsidRPr="00455FDE">
              <w:t xml:space="preserve"> &gt;75%</w:t>
            </w:r>
            <w:r>
              <w:t> </w:t>
            </w:r>
            <w:r w:rsidRPr="00455FDE">
              <w:t>of farmers have a farm plan with business objectives.</w:t>
            </w:r>
          </w:p>
          <w:p w14:paraId="3CC39E40" w14:textId="05DB66C8" w:rsidR="001F0BF0" w:rsidRDefault="001F0BF0" w:rsidP="001F0BF0">
            <w:pPr>
              <w:pStyle w:val="TableText"/>
            </w:pPr>
            <w:r w:rsidRPr="00577269">
              <w:rPr>
                <w:rStyle w:val="Strong"/>
              </w:rPr>
              <w:t>2022–23</w:t>
            </w:r>
            <w:r>
              <w:t>: As for 2021–22</w:t>
            </w:r>
            <w:r w:rsidR="003F6B53">
              <w:t>.</w:t>
            </w:r>
          </w:p>
          <w:p w14:paraId="379AC316" w14:textId="4D02C6A5" w:rsidR="001F0BF0" w:rsidRDefault="001F0BF0" w:rsidP="001F0BF0">
            <w:pPr>
              <w:pStyle w:val="TableText"/>
            </w:pPr>
            <w:r w:rsidRPr="00577269">
              <w:rPr>
                <w:rStyle w:val="Strong"/>
              </w:rPr>
              <w:t>2023–24</w:t>
            </w:r>
            <w:r>
              <w:t>:</w:t>
            </w:r>
            <w:r w:rsidRPr="00775054">
              <w:t xml:space="preserve"> As for 2021–22</w:t>
            </w:r>
            <w:r w:rsidR="003F6B53">
              <w:t>.</w:t>
            </w:r>
          </w:p>
          <w:p w14:paraId="5B52EC7A" w14:textId="7E8B866C" w:rsidR="001F0BF0" w:rsidRPr="00455FDE" w:rsidRDefault="001F0BF0" w:rsidP="001F0BF0">
            <w:pPr>
              <w:pStyle w:val="TableText"/>
            </w:pPr>
            <w:r w:rsidRPr="00577269">
              <w:rPr>
                <w:rStyle w:val="Strong"/>
              </w:rPr>
              <w:t>2024–25</w:t>
            </w:r>
            <w:r>
              <w:t>:</w:t>
            </w:r>
            <w:r w:rsidRPr="00775054">
              <w:t xml:space="preserve"> As for 2021–22</w:t>
            </w:r>
            <w:r w:rsidR="003F6B53">
              <w:t>.</w:t>
            </w:r>
          </w:p>
        </w:tc>
      </w:tr>
      <w:tr w:rsidR="00577269" w:rsidRPr="00455FDE" w14:paraId="7D4E2484" w14:textId="77777777" w:rsidTr="001325BF">
        <w:trPr>
          <w:cantSplit/>
          <w:trHeight w:val="400"/>
        </w:trPr>
        <w:tc>
          <w:tcPr>
            <w:tcW w:w="988" w:type="dxa"/>
            <w:tcBorders>
              <w:top w:val="nil"/>
              <w:bottom w:val="nil"/>
            </w:tcBorders>
          </w:tcPr>
          <w:p w14:paraId="20015957" w14:textId="13466F4D" w:rsidR="00577269" w:rsidRPr="00455FDE" w:rsidRDefault="00577269" w:rsidP="00577269">
            <w:pPr>
              <w:pStyle w:val="TableHeading"/>
            </w:pPr>
            <w:r w:rsidRPr="00577269">
              <w:t>Target</w:t>
            </w:r>
          </w:p>
        </w:tc>
        <w:tc>
          <w:tcPr>
            <w:tcW w:w="8072" w:type="dxa"/>
            <w:shd w:val="clear" w:color="auto" w:fill="auto"/>
          </w:tcPr>
          <w:p w14:paraId="7B85BA96" w14:textId="77777777" w:rsidR="00577269" w:rsidRDefault="00577269" w:rsidP="00577269">
            <w:pPr>
              <w:pStyle w:val="TableText"/>
            </w:pPr>
            <w:r w:rsidRPr="003F6B53">
              <w:rPr>
                <w:rStyle w:val="Strong"/>
              </w:rPr>
              <w:t>2021–22</w:t>
            </w:r>
            <w:r>
              <w:t xml:space="preserve">: </w:t>
            </w:r>
            <w:r w:rsidRPr="00455FDE">
              <w:t>&gt;75%</w:t>
            </w:r>
            <w:r>
              <w:t> </w:t>
            </w:r>
            <w:r w:rsidRPr="00455FDE">
              <w:t>of farmers have a farm plan with strategies for dealing with drought and other risks that could affect their farm.</w:t>
            </w:r>
          </w:p>
          <w:p w14:paraId="54541203" w14:textId="49B0DF4F" w:rsidR="00577269" w:rsidRDefault="00577269" w:rsidP="00577269">
            <w:pPr>
              <w:pStyle w:val="TableText"/>
            </w:pPr>
            <w:r w:rsidRPr="003F6B53">
              <w:rPr>
                <w:rStyle w:val="Strong"/>
              </w:rPr>
              <w:t>2022–23</w:t>
            </w:r>
            <w:r>
              <w:t>: As for 2021–22.</w:t>
            </w:r>
          </w:p>
          <w:p w14:paraId="3843F14E" w14:textId="2173C021" w:rsidR="00577269" w:rsidRDefault="00577269" w:rsidP="00577269">
            <w:pPr>
              <w:pStyle w:val="TableText"/>
            </w:pPr>
            <w:r w:rsidRPr="003F6B53">
              <w:rPr>
                <w:rStyle w:val="Strong"/>
              </w:rPr>
              <w:t>2023–24</w:t>
            </w:r>
            <w:r>
              <w:t>:</w:t>
            </w:r>
            <w:r w:rsidRPr="00775054">
              <w:t xml:space="preserve"> As for 2021–22</w:t>
            </w:r>
            <w:r>
              <w:t>.</w:t>
            </w:r>
          </w:p>
          <w:p w14:paraId="787D630F" w14:textId="709E7113" w:rsidR="00577269" w:rsidRPr="00455FDE" w:rsidRDefault="00577269" w:rsidP="00577269">
            <w:pPr>
              <w:pStyle w:val="TableText"/>
            </w:pPr>
            <w:r w:rsidRPr="003F6B53">
              <w:rPr>
                <w:rStyle w:val="Strong"/>
              </w:rPr>
              <w:t>2024–25</w:t>
            </w:r>
            <w:r>
              <w:t>:</w:t>
            </w:r>
            <w:r w:rsidRPr="00775054">
              <w:t xml:space="preserve"> As for 2021–22</w:t>
            </w:r>
            <w:r>
              <w:t>.</w:t>
            </w:r>
          </w:p>
        </w:tc>
      </w:tr>
      <w:tr w:rsidR="00455FDE" w:rsidRPr="00455FDE" w14:paraId="631340D5" w14:textId="77777777" w:rsidTr="001325BF">
        <w:trPr>
          <w:cantSplit/>
        </w:trPr>
        <w:tc>
          <w:tcPr>
            <w:tcW w:w="988" w:type="dxa"/>
            <w:tcBorders>
              <w:top w:val="nil"/>
            </w:tcBorders>
          </w:tcPr>
          <w:p w14:paraId="39DBD5B6" w14:textId="77777777" w:rsidR="00455FDE" w:rsidRPr="00455FDE" w:rsidRDefault="00455FDE" w:rsidP="002B7A00">
            <w:pPr>
              <w:pStyle w:val="TableHeading"/>
              <w:keepNext w:val="0"/>
            </w:pPr>
            <w:r w:rsidRPr="00455FDE">
              <w:t>Context</w:t>
            </w:r>
          </w:p>
        </w:tc>
        <w:tc>
          <w:tcPr>
            <w:tcW w:w="8072" w:type="dxa"/>
          </w:tcPr>
          <w:p w14:paraId="41A28766" w14:textId="603A0F95" w:rsidR="00455FDE" w:rsidRPr="00455FDE" w:rsidRDefault="00455FDE" w:rsidP="00B75934">
            <w:pPr>
              <w:pStyle w:val="TableText"/>
            </w:pPr>
            <w:r w:rsidRPr="00455FDE">
              <w:t>The Australian Government is accountable for ensuring the Future Drought Fund supports genuine improvements in drought preparedness and resilience.</w:t>
            </w:r>
          </w:p>
          <w:p w14:paraId="13313D8F" w14:textId="22BC2331" w:rsidR="00455FDE" w:rsidRPr="00455FDE" w:rsidRDefault="00455FDE" w:rsidP="00B75934">
            <w:pPr>
              <w:pStyle w:val="TableText"/>
            </w:pPr>
            <w:r w:rsidRPr="00455FDE">
              <w:t>The measure align</w:t>
            </w:r>
            <w:r w:rsidR="00DC2A88">
              <w:t>s with</w:t>
            </w:r>
            <w:r w:rsidRPr="00455FDE">
              <w:t xml:space="preserve"> the Monitoring, Evaluation and Learning Framework, which</w:t>
            </w:r>
            <w:r w:rsidR="006F0597">
              <w:t xml:space="preserve"> </w:t>
            </w:r>
            <w:r w:rsidRPr="00455FDE">
              <w:t>outlines the approach to monitoring and evaluating the fund and its programs</w:t>
            </w:r>
            <w:r w:rsidR="006F0597">
              <w:t xml:space="preserve">, </w:t>
            </w:r>
            <w:r w:rsidRPr="00455FDE">
              <w:t>support</w:t>
            </w:r>
            <w:r w:rsidR="00DC2A88">
              <w:t>s</w:t>
            </w:r>
            <w:r w:rsidRPr="00455FDE">
              <w:t xml:space="preserve"> measurement of the fund’s progress and achievements over time</w:t>
            </w:r>
            <w:r w:rsidR="006F0597">
              <w:t xml:space="preserve">, and </w:t>
            </w:r>
            <w:r w:rsidRPr="00455FDE">
              <w:t>help</w:t>
            </w:r>
            <w:r w:rsidR="00DC2A88">
              <w:t>s</w:t>
            </w:r>
            <w:r w:rsidRPr="00455FDE">
              <w:t xml:space="preserve"> identify improvements for the programs in the future.</w:t>
            </w:r>
          </w:p>
        </w:tc>
      </w:tr>
    </w:tbl>
    <w:bookmarkEnd w:id="118"/>
    <w:p w14:paraId="74AB19D2" w14:textId="3CE1A7C2" w:rsidR="00455FDE" w:rsidRPr="00DB5B70" w:rsidRDefault="00455FDE" w:rsidP="00DB5B70">
      <w:pPr>
        <w:pStyle w:val="Heading4"/>
      </w:pPr>
      <w:r w:rsidRPr="00DB5B70">
        <w:lastRenderedPageBreak/>
        <w:t xml:space="preserve">Environment and </w:t>
      </w:r>
      <w:r w:rsidR="00DC2A88">
        <w:t>h</w:t>
      </w:r>
      <w:r w:rsidR="00DC2A88" w:rsidRPr="00DB5B70">
        <w:t>eritage</w:t>
      </w:r>
    </w:p>
    <w:p w14:paraId="630A8373" w14:textId="77777777" w:rsidR="00455FDE" w:rsidRPr="00455FDE" w:rsidRDefault="00455FDE" w:rsidP="00722D09">
      <w:pPr>
        <w:keepNext/>
      </w:pPr>
      <w:r w:rsidRPr="00455FDE">
        <w:t>Objective: Improve stewardship and sustainable management of Australia’s environment and unique heritage.</w:t>
      </w:r>
    </w:p>
    <w:p w14:paraId="2561BDDA" w14:textId="32254D17" w:rsidR="00455FDE" w:rsidRPr="00DB5B70" w:rsidRDefault="00837ADD" w:rsidP="00DB5B70">
      <w:pPr>
        <w:pStyle w:val="Heading5"/>
      </w:pPr>
      <w:bookmarkStart w:id="119" w:name="_Toc75856600"/>
      <w:r>
        <w:t xml:space="preserve">Performance </w:t>
      </w:r>
      <w:r w:rsidR="003C7A1E" w:rsidRPr="003C7A1E">
        <w:t>criterion</w:t>
      </w:r>
      <w:r>
        <w:t xml:space="preserve">: </w:t>
      </w:r>
      <w:r w:rsidR="00455FDE" w:rsidRPr="00DB5B70">
        <w:t>Ecosystem diversity, extent and function are maintained or improved</w:t>
      </w:r>
      <w:bookmarkEnd w:id="119"/>
      <w:r w:rsidR="00DB5B70">
        <w:t>.</w:t>
      </w:r>
    </w:p>
    <w:tbl>
      <w:tblPr>
        <w:tblStyle w:val="TableGrid10"/>
        <w:tblW w:w="0" w:type="auto"/>
        <w:tblBorders>
          <w:left w:val="none" w:sz="0" w:space="0" w:color="auto"/>
          <w:right w:val="none" w:sz="0" w:space="0" w:color="auto"/>
          <w:insideV w:val="none" w:sz="0" w:space="0" w:color="auto"/>
        </w:tblBorders>
        <w:tblLook w:val="04A0" w:firstRow="1" w:lastRow="0" w:firstColumn="1" w:lastColumn="0" w:noHBand="0" w:noVBand="1"/>
      </w:tblPr>
      <w:tblGrid>
        <w:gridCol w:w="988"/>
        <w:gridCol w:w="8072"/>
      </w:tblGrid>
      <w:tr w:rsidR="00722D09" w:rsidRPr="00722D09" w14:paraId="04BB1954" w14:textId="77777777" w:rsidTr="001325BF">
        <w:trPr>
          <w:cantSplit/>
          <w:trHeight w:val="93"/>
        </w:trPr>
        <w:tc>
          <w:tcPr>
            <w:tcW w:w="988" w:type="dxa"/>
            <w:tcBorders>
              <w:top w:val="nil"/>
              <w:bottom w:val="nil"/>
            </w:tcBorders>
            <w:shd w:val="clear" w:color="auto" w:fill="365F91" w:themeFill="accent1" w:themeFillShade="BF"/>
          </w:tcPr>
          <w:p w14:paraId="31BD1D54" w14:textId="4219C9AC" w:rsidR="00455FDE" w:rsidRPr="00722D09" w:rsidRDefault="00455FDE" w:rsidP="00B75934">
            <w:pPr>
              <w:pStyle w:val="TableHeading"/>
              <w:rPr>
                <w:color w:val="FFFFFF" w:themeColor="background1"/>
              </w:rPr>
            </w:pPr>
            <w:bookmarkStart w:id="120" w:name="RowTitle_5" w:colFirst="0" w:colLast="0"/>
            <w:r w:rsidRPr="00722D09">
              <w:rPr>
                <w:color w:val="FFFFFF" w:themeColor="background1"/>
              </w:rPr>
              <w:t>Measure</w:t>
            </w:r>
          </w:p>
        </w:tc>
        <w:tc>
          <w:tcPr>
            <w:tcW w:w="8072" w:type="dxa"/>
            <w:tcBorders>
              <w:top w:val="nil"/>
              <w:bottom w:val="nil"/>
            </w:tcBorders>
            <w:shd w:val="clear" w:color="auto" w:fill="365F91" w:themeFill="accent1" w:themeFillShade="BF"/>
          </w:tcPr>
          <w:p w14:paraId="48586DD0" w14:textId="066DCEDF" w:rsidR="00DC2A88" w:rsidRPr="00722D09" w:rsidRDefault="00455FDE" w:rsidP="00DC2A88">
            <w:pPr>
              <w:pStyle w:val="TableText"/>
              <w:rPr>
                <w:color w:val="FFFFFF" w:themeColor="background1"/>
              </w:rPr>
            </w:pPr>
            <w:r w:rsidRPr="00722D09">
              <w:rPr>
                <w:color w:val="FFFFFF" w:themeColor="background1"/>
              </w:rPr>
              <w:t>Percentage improvement in 5 to 10-year rolling average of</w:t>
            </w:r>
            <w:r w:rsidR="00DC2A88" w:rsidRPr="00722D09">
              <w:rPr>
                <w:color w:val="FFFFFF" w:themeColor="background1"/>
              </w:rPr>
              <w:t>:</w:t>
            </w:r>
          </w:p>
          <w:p w14:paraId="3DA5F623" w14:textId="72CB9587" w:rsidR="00722D09" w:rsidRPr="00722D09" w:rsidRDefault="00722D09" w:rsidP="00722D09">
            <w:pPr>
              <w:pStyle w:val="TableBullet1"/>
              <w:rPr>
                <w:color w:val="FFFFFF" w:themeColor="background1"/>
              </w:rPr>
            </w:pPr>
            <w:r w:rsidRPr="00722D09">
              <w:rPr>
                <w:color w:val="FFFFFF" w:themeColor="background1"/>
              </w:rPr>
              <w:t>habitat condition assessment scores across major vegetation groups, after any relevant offsets</w:t>
            </w:r>
          </w:p>
          <w:p w14:paraId="07344BD7" w14:textId="6DB02C0A" w:rsidR="00722D09" w:rsidRPr="00722D09" w:rsidRDefault="00722D09" w:rsidP="00722D09">
            <w:pPr>
              <w:pStyle w:val="TableBullet1"/>
              <w:rPr>
                <w:color w:val="FFFFFF" w:themeColor="background1"/>
              </w:rPr>
            </w:pPr>
            <w:r w:rsidRPr="00722D09">
              <w:rPr>
                <w:color w:val="FFFFFF" w:themeColor="background1"/>
              </w:rPr>
              <w:t>National Connectivity Index scores across major vegetation groups, after any relevant offsets</w:t>
            </w:r>
          </w:p>
          <w:p w14:paraId="3F1ADDC8" w14:textId="6F31F339" w:rsidR="00455FDE" w:rsidRPr="00722D09" w:rsidRDefault="00722D09" w:rsidP="00722D09">
            <w:pPr>
              <w:pStyle w:val="TableBullet1"/>
              <w:rPr>
                <w:color w:val="FFFFFF" w:themeColor="background1"/>
              </w:rPr>
            </w:pPr>
            <w:r w:rsidRPr="00722D09">
              <w:rPr>
                <w:color w:val="FFFFFF" w:themeColor="background1"/>
              </w:rPr>
              <w:t>remaining area of major vegetation groups as a percentage of pre-1750 levels, after any relevant offsets. (Effectiveness)</w:t>
            </w:r>
          </w:p>
        </w:tc>
      </w:tr>
      <w:tr w:rsidR="003446C0" w:rsidRPr="00455FDE" w14:paraId="5C614DE7" w14:textId="77777777" w:rsidTr="001325BF">
        <w:trPr>
          <w:cantSplit/>
          <w:trHeight w:val="138"/>
        </w:trPr>
        <w:tc>
          <w:tcPr>
            <w:tcW w:w="988" w:type="dxa"/>
            <w:tcBorders>
              <w:top w:val="nil"/>
              <w:bottom w:val="nil"/>
            </w:tcBorders>
          </w:tcPr>
          <w:p w14:paraId="107F090F" w14:textId="77777777" w:rsidR="003446C0" w:rsidRPr="00455FDE" w:rsidRDefault="003446C0" w:rsidP="003446C0">
            <w:pPr>
              <w:pStyle w:val="TableHeading"/>
            </w:pPr>
            <w:r w:rsidRPr="00455FDE">
              <w:t>Target</w:t>
            </w:r>
          </w:p>
        </w:tc>
        <w:tc>
          <w:tcPr>
            <w:tcW w:w="8072" w:type="dxa"/>
            <w:tcBorders>
              <w:top w:val="nil"/>
            </w:tcBorders>
            <w:shd w:val="clear" w:color="auto" w:fill="auto"/>
          </w:tcPr>
          <w:p w14:paraId="22646037" w14:textId="77777777" w:rsidR="003446C0" w:rsidRDefault="003446C0" w:rsidP="003446C0">
            <w:pPr>
              <w:pStyle w:val="TableText"/>
            </w:pPr>
            <w:r w:rsidRPr="003F6B53">
              <w:rPr>
                <w:rStyle w:val="Strong"/>
              </w:rPr>
              <w:t>2021–22</w:t>
            </w:r>
            <w:r w:rsidRPr="003446C0">
              <w:t>:</w:t>
            </w:r>
            <w:r w:rsidRPr="00455FDE">
              <w:t xml:space="preserve"> Maintained or improved (≥0%)</w:t>
            </w:r>
            <w:r>
              <w:t>.</w:t>
            </w:r>
          </w:p>
          <w:p w14:paraId="7FCBE156" w14:textId="0964E3DC" w:rsidR="003446C0" w:rsidRDefault="003446C0" w:rsidP="003446C0">
            <w:pPr>
              <w:pStyle w:val="TableText"/>
            </w:pPr>
            <w:r w:rsidRPr="003F6B53">
              <w:rPr>
                <w:rStyle w:val="Strong"/>
              </w:rPr>
              <w:t>2022–23</w:t>
            </w:r>
            <w:r>
              <w:t>:</w:t>
            </w:r>
            <w:r w:rsidRPr="00110C51">
              <w:t xml:space="preserve"> As for 2021–22</w:t>
            </w:r>
            <w:r w:rsidR="003F6B53">
              <w:t>.</w:t>
            </w:r>
          </w:p>
          <w:p w14:paraId="4B90ABC2" w14:textId="7E862F6F" w:rsidR="003446C0" w:rsidRDefault="003446C0" w:rsidP="003446C0">
            <w:pPr>
              <w:pStyle w:val="TableText"/>
            </w:pPr>
            <w:r w:rsidRPr="003F6B53">
              <w:rPr>
                <w:rStyle w:val="Strong"/>
              </w:rPr>
              <w:t>2023–24</w:t>
            </w:r>
            <w:r>
              <w:t xml:space="preserve">: </w:t>
            </w:r>
            <w:r w:rsidRPr="00110C51">
              <w:t>As for 2021–22</w:t>
            </w:r>
            <w:r w:rsidR="003F6B53">
              <w:t>.</w:t>
            </w:r>
          </w:p>
          <w:p w14:paraId="130FB361" w14:textId="7CD69E38" w:rsidR="003446C0" w:rsidRPr="003446C0" w:rsidRDefault="003446C0" w:rsidP="003446C0">
            <w:pPr>
              <w:pStyle w:val="TableText"/>
            </w:pPr>
            <w:r w:rsidRPr="003F6B53">
              <w:rPr>
                <w:rStyle w:val="Strong"/>
              </w:rPr>
              <w:t>2024–25</w:t>
            </w:r>
            <w:r>
              <w:t>:</w:t>
            </w:r>
            <w:r w:rsidRPr="00110C51">
              <w:t xml:space="preserve"> As for 2021–22</w:t>
            </w:r>
            <w:r w:rsidR="003F6B53">
              <w:t>.</w:t>
            </w:r>
          </w:p>
        </w:tc>
      </w:tr>
      <w:tr w:rsidR="003446C0" w:rsidRPr="00455FDE" w14:paraId="6CC0EE99" w14:textId="77777777" w:rsidTr="001325BF">
        <w:trPr>
          <w:cantSplit/>
        </w:trPr>
        <w:tc>
          <w:tcPr>
            <w:tcW w:w="988" w:type="dxa"/>
            <w:tcBorders>
              <w:top w:val="nil"/>
            </w:tcBorders>
          </w:tcPr>
          <w:p w14:paraId="7CA411F5" w14:textId="77777777" w:rsidR="003446C0" w:rsidRPr="00455FDE" w:rsidRDefault="003446C0" w:rsidP="002B7A00">
            <w:pPr>
              <w:pStyle w:val="TableHeading"/>
              <w:keepNext w:val="0"/>
            </w:pPr>
            <w:r w:rsidRPr="00455FDE">
              <w:t>Context</w:t>
            </w:r>
          </w:p>
        </w:tc>
        <w:tc>
          <w:tcPr>
            <w:tcW w:w="8072" w:type="dxa"/>
          </w:tcPr>
          <w:p w14:paraId="3D51D705" w14:textId="1E76DB87" w:rsidR="003446C0" w:rsidRPr="00455FDE" w:rsidRDefault="003446C0" w:rsidP="003446C0">
            <w:pPr>
              <w:pStyle w:val="TableText"/>
            </w:pPr>
            <w:r w:rsidRPr="00455FDE">
              <w:t xml:space="preserve">Tracking change in the condition, connectivity and extent of habitats is important to determine the effectiveness of policy, regulatory and program interventions to improve native ecosystems, and the species they support. The 3 </w:t>
            </w:r>
            <w:r>
              <w:t xml:space="preserve">elements of this </w:t>
            </w:r>
            <w:r w:rsidRPr="00455FDE">
              <w:t>measure capture the full picture of habitat status, which is a proxy indicator of biodiversity.</w:t>
            </w:r>
          </w:p>
          <w:p w14:paraId="07B2ADC4" w14:textId="291A1DBF" w:rsidR="003446C0" w:rsidRPr="00455FDE" w:rsidRDefault="003446C0" w:rsidP="003446C0">
            <w:pPr>
              <w:pStyle w:val="TableText"/>
            </w:pPr>
            <w:r w:rsidRPr="00455FDE">
              <w:t xml:space="preserve">While Australian Government policy, regulatory and program interventions should influence performance against these criteria, changes in condition, connectivity and extent of habitats </w:t>
            </w:r>
            <w:r>
              <w:t>are</w:t>
            </w:r>
            <w:r w:rsidRPr="00455FDE">
              <w:t xml:space="preserve"> influenced by other factors, </w:t>
            </w:r>
            <w:r>
              <w:t>such as</w:t>
            </w:r>
            <w:r w:rsidRPr="00455FDE">
              <w:t xml:space="preserve"> state and territory government interventions</w:t>
            </w:r>
            <w:r>
              <w:t xml:space="preserve">, </w:t>
            </w:r>
            <w:r w:rsidRPr="00455FDE">
              <w:t>stakeholder actions, natural variation</w:t>
            </w:r>
            <w:r>
              <w:t>,</w:t>
            </w:r>
            <w:r w:rsidRPr="00455FDE">
              <w:t xml:space="preserve"> and random events.</w:t>
            </w:r>
          </w:p>
        </w:tc>
      </w:tr>
      <w:tr w:rsidR="00722D09" w:rsidRPr="00722D09" w14:paraId="162EF309" w14:textId="77777777" w:rsidTr="001325BF">
        <w:trPr>
          <w:cantSplit/>
        </w:trPr>
        <w:tc>
          <w:tcPr>
            <w:tcW w:w="988" w:type="dxa"/>
            <w:tcBorders>
              <w:top w:val="nil"/>
              <w:bottom w:val="nil"/>
            </w:tcBorders>
            <w:shd w:val="clear" w:color="auto" w:fill="365F91" w:themeFill="accent1" w:themeFillShade="BF"/>
          </w:tcPr>
          <w:p w14:paraId="30D9304E" w14:textId="77777777" w:rsidR="00455FDE" w:rsidRPr="00722D09" w:rsidRDefault="00455FDE" w:rsidP="00B75934">
            <w:pPr>
              <w:pStyle w:val="TableHeading"/>
              <w:rPr>
                <w:color w:val="FFFFFF" w:themeColor="background1"/>
              </w:rPr>
            </w:pPr>
            <w:r w:rsidRPr="00722D09">
              <w:rPr>
                <w:color w:val="FFFFFF" w:themeColor="background1"/>
              </w:rPr>
              <w:t>Measure</w:t>
            </w:r>
          </w:p>
        </w:tc>
        <w:tc>
          <w:tcPr>
            <w:tcW w:w="8072" w:type="dxa"/>
            <w:tcBorders>
              <w:top w:val="nil"/>
              <w:bottom w:val="nil"/>
            </w:tcBorders>
            <w:shd w:val="clear" w:color="auto" w:fill="365F91" w:themeFill="accent1" w:themeFillShade="BF"/>
          </w:tcPr>
          <w:p w14:paraId="171EDDC8" w14:textId="77777777" w:rsidR="00455FDE" w:rsidRPr="00722D09" w:rsidRDefault="00455FDE" w:rsidP="00B75934">
            <w:pPr>
              <w:pStyle w:val="TableText"/>
              <w:rPr>
                <w:color w:val="FFFFFF" w:themeColor="background1"/>
              </w:rPr>
            </w:pPr>
            <w:r w:rsidRPr="00722D09">
              <w:rPr>
                <w:color w:val="FFFFFF" w:themeColor="background1"/>
              </w:rPr>
              <w:t>Reporting on Australia’s responsibilities under the Ramsar Convention is informed by the states working collaboratively with the department to provide completed updates for Ramsar Information Sheets. (Output)</w:t>
            </w:r>
          </w:p>
        </w:tc>
      </w:tr>
      <w:tr w:rsidR="003446C0" w:rsidRPr="00455FDE" w14:paraId="79F9943D" w14:textId="77777777" w:rsidTr="001325BF">
        <w:trPr>
          <w:cantSplit/>
          <w:trHeight w:val="138"/>
        </w:trPr>
        <w:tc>
          <w:tcPr>
            <w:tcW w:w="988" w:type="dxa"/>
            <w:tcBorders>
              <w:top w:val="nil"/>
              <w:bottom w:val="nil"/>
            </w:tcBorders>
          </w:tcPr>
          <w:p w14:paraId="222E6EA6" w14:textId="77777777" w:rsidR="003446C0" w:rsidRPr="00455FDE" w:rsidRDefault="003446C0" w:rsidP="00B75934">
            <w:pPr>
              <w:pStyle w:val="TableHeading"/>
            </w:pPr>
            <w:r w:rsidRPr="00455FDE">
              <w:t>Target</w:t>
            </w:r>
          </w:p>
        </w:tc>
        <w:tc>
          <w:tcPr>
            <w:tcW w:w="8072" w:type="dxa"/>
            <w:tcBorders>
              <w:top w:val="nil"/>
            </w:tcBorders>
            <w:shd w:val="clear" w:color="auto" w:fill="auto"/>
          </w:tcPr>
          <w:p w14:paraId="6637613B" w14:textId="77777777" w:rsidR="003446C0" w:rsidRDefault="003446C0" w:rsidP="003446C0">
            <w:pPr>
              <w:pStyle w:val="TableText"/>
            </w:pPr>
            <w:r w:rsidRPr="003F6B53">
              <w:rPr>
                <w:rStyle w:val="Strong"/>
              </w:rPr>
              <w:t>2021–22</w:t>
            </w:r>
            <w:r>
              <w:t>:</w:t>
            </w:r>
            <w:r w:rsidRPr="00455FDE">
              <w:t xml:space="preserve"> 8</w:t>
            </w:r>
            <w:r>
              <w:t> </w:t>
            </w:r>
            <w:r w:rsidRPr="00455FDE">
              <w:t>additional Ramsar information sheets completed by June</w:t>
            </w:r>
            <w:r>
              <w:t> </w:t>
            </w:r>
            <w:r w:rsidRPr="00455FDE">
              <w:t>2022.</w:t>
            </w:r>
          </w:p>
          <w:p w14:paraId="759A12D6" w14:textId="77777777" w:rsidR="003446C0" w:rsidRDefault="003446C0" w:rsidP="003446C0">
            <w:pPr>
              <w:pStyle w:val="TableText"/>
            </w:pPr>
            <w:r w:rsidRPr="003F6B53">
              <w:rPr>
                <w:rStyle w:val="Strong"/>
              </w:rPr>
              <w:t>2022–23</w:t>
            </w:r>
            <w:r>
              <w:t>:</w:t>
            </w:r>
            <w:r w:rsidRPr="00455FDE">
              <w:t xml:space="preserve"> 8</w:t>
            </w:r>
            <w:r>
              <w:t> </w:t>
            </w:r>
            <w:r w:rsidRPr="00455FDE">
              <w:t>additional Ramsar information sheets completed by June</w:t>
            </w:r>
            <w:r>
              <w:t> </w:t>
            </w:r>
            <w:r w:rsidRPr="00455FDE">
              <w:t>2023.</w:t>
            </w:r>
          </w:p>
          <w:p w14:paraId="32D185FE" w14:textId="77777777" w:rsidR="003446C0" w:rsidRDefault="003446C0" w:rsidP="003446C0">
            <w:pPr>
              <w:pStyle w:val="TableText"/>
            </w:pPr>
            <w:r w:rsidRPr="003F6B53">
              <w:rPr>
                <w:rStyle w:val="Strong"/>
              </w:rPr>
              <w:t>2023–24</w:t>
            </w:r>
            <w:r>
              <w:t>:</w:t>
            </w:r>
            <w:r w:rsidRPr="00455FDE">
              <w:t xml:space="preserve"> 8</w:t>
            </w:r>
            <w:r>
              <w:t> </w:t>
            </w:r>
            <w:r w:rsidRPr="00455FDE">
              <w:t>additional Ramsar information sheets completed by June</w:t>
            </w:r>
            <w:r>
              <w:t> </w:t>
            </w:r>
            <w:r w:rsidRPr="00455FDE">
              <w:t>2024.</w:t>
            </w:r>
          </w:p>
          <w:p w14:paraId="36C68C1A" w14:textId="2B0E2AA1" w:rsidR="003446C0" w:rsidRPr="00455FDE" w:rsidRDefault="003446C0" w:rsidP="003446C0">
            <w:pPr>
              <w:pStyle w:val="TableText"/>
            </w:pPr>
            <w:r w:rsidRPr="003F6B53">
              <w:rPr>
                <w:rStyle w:val="Strong"/>
              </w:rPr>
              <w:t>2024–25</w:t>
            </w:r>
            <w:r>
              <w:t>:</w:t>
            </w:r>
            <w:r w:rsidRPr="00455FDE">
              <w:t xml:space="preserve"> 8</w:t>
            </w:r>
            <w:r>
              <w:t> </w:t>
            </w:r>
            <w:r w:rsidRPr="00455FDE">
              <w:t>additional Ramsar information sheets completed by June</w:t>
            </w:r>
            <w:r>
              <w:t> </w:t>
            </w:r>
            <w:r w:rsidRPr="00455FDE">
              <w:t>2025.</w:t>
            </w:r>
          </w:p>
        </w:tc>
      </w:tr>
      <w:tr w:rsidR="00455FDE" w:rsidRPr="00455FDE" w14:paraId="32B6D986" w14:textId="77777777" w:rsidTr="001325BF">
        <w:trPr>
          <w:cantSplit/>
        </w:trPr>
        <w:tc>
          <w:tcPr>
            <w:tcW w:w="988" w:type="dxa"/>
            <w:tcBorders>
              <w:top w:val="nil"/>
            </w:tcBorders>
          </w:tcPr>
          <w:p w14:paraId="0B419DC7" w14:textId="77777777" w:rsidR="00455FDE" w:rsidRPr="00455FDE" w:rsidRDefault="00455FDE" w:rsidP="002B7A00">
            <w:pPr>
              <w:pStyle w:val="TableHeading"/>
              <w:keepNext w:val="0"/>
            </w:pPr>
            <w:r w:rsidRPr="00455FDE">
              <w:t>Context</w:t>
            </w:r>
          </w:p>
        </w:tc>
        <w:tc>
          <w:tcPr>
            <w:tcW w:w="8072" w:type="dxa"/>
          </w:tcPr>
          <w:p w14:paraId="6F4E87A6" w14:textId="54726354" w:rsidR="00455FDE" w:rsidRPr="00455FDE" w:rsidRDefault="00DC2A88" w:rsidP="00B75934">
            <w:pPr>
              <w:pStyle w:val="TableText"/>
            </w:pPr>
            <w:r>
              <w:t>Ramsar</w:t>
            </w:r>
            <w:r w:rsidRPr="00455FDE">
              <w:t xml:space="preserve"> </w:t>
            </w:r>
            <w:r w:rsidR="00455FDE" w:rsidRPr="00455FDE">
              <w:t xml:space="preserve">information sheets are the culmination of significant work to protect and conserve internationally important wetlands. They provide information to inform decisions about managing Ramsar sites. There are more than </w:t>
            </w:r>
            <w:r w:rsidR="00F92D20" w:rsidRPr="00455FDE">
              <w:t>60</w:t>
            </w:r>
            <w:r w:rsidR="00F92D20">
              <w:t> </w:t>
            </w:r>
            <w:r w:rsidR="00455FDE" w:rsidRPr="00455FDE">
              <w:t xml:space="preserve">information sheets – one for each wetland – which </w:t>
            </w:r>
            <w:r w:rsidR="00A2616D">
              <w:t>require regular</w:t>
            </w:r>
            <w:r w:rsidR="00455FDE" w:rsidRPr="00455FDE">
              <w:t xml:space="preserve"> update. We aim to update </w:t>
            </w:r>
            <w:r w:rsidR="00F92D20" w:rsidRPr="00455FDE">
              <w:t>8</w:t>
            </w:r>
            <w:r w:rsidR="00F92D20">
              <w:t> </w:t>
            </w:r>
            <w:r w:rsidR="00455FDE" w:rsidRPr="00455FDE">
              <w:t>per year, given current resources and requirements.</w:t>
            </w:r>
          </w:p>
        </w:tc>
      </w:tr>
      <w:tr w:rsidR="00722D09" w:rsidRPr="00722D09" w14:paraId="4E2E4979" w14:textId="77777777" w:rsidTr="001325BF">
        <w:trPr>
          <w:cantSplit/>
        </w:trPr>
        <w:tc>
          <w:tcPr>
            <w:tcW w:w="988" w:type="dxa"/>
            <w:tcBorders>
              <w:top w:val="nil"/>
              <w:bottom w:val="nil"/>
            </w:tcBorders>
            <w:shd w:val="clear" w:color="auto" w:fill="365F91" w:themeFill="accent1" w:themeFillShade="BF"/>
          </w:tcPr>
          <w:p w14:paraId="11500A0F" w14:textId="77777777" w:rsidR="00455FDE" w:rsidRPr="00722D09" w:rsidRDefault="00455FDE" w:rsidP="00B75934">
            <w:pPr>
              <w:pStyle w:val="TableHeading"/>
              <w:rPr>
                <w:color w:val="FFFFFF" w:themeColor="background1"/>
              </w:rPr>
            </w:pPr>
            <w:r w:rsidRPr="00722D09">
              <w:rPr>
                <w:color w:val="FFFFFF" w:themeColor="background1"/>
              </w:rPr>
              <w:t>Measure</w:t>
            </w:r>
          </w:p>
        </w:tc>
        <w:tc>
          <w:tcPr>
            <w:tcW w:w="8072" w:type="dxa"/>
            <w:tcBorders>
              <w:top w:val="nil"/>
              <w:bottom w:val="nil"/>
            </w:tcBorders>
            <w:shd w:val="clear" w:color="auto" w:fill="365F91" w:themeFill="accent1" w:themeFillShade="BF"/>
          </w:tcPr>
          <w:p w14:paraId="469E9E5E" w14:textId="77777777" w:rsidR="00455FDE" w:rsidRPr="00722D09" w:rsidRDefault="00455FDE" w:rsidP="00B75934">
            <w:pPr>
              <w:pStyle w:val="TableText"/>
              <w:rPr>
                <w:color w:val="FFFFFF" w:themeColor="background1"/>
              </w:rPr>
            </w:pPr>
            <w:r w:rsidRPr="00722D09">
              <w:rPr>
                <w:color w:val="FFFFFF" w:themeColor="background1"/>
              </w:rPr>
              <w:t>Delivery of the National Soil Strategy. (Effectiveness)</w:t>
            </w:r>
          </w:p>
        </w:tc>
      </w:tr>
      <w:tr w:rsidR="003446C0" w:rsidRPr="00455FDE" w14:paraId="721EA428" w14:textId="77777777" w:rsidTr="001325BF">
        <w:trPr>
          <w:cantSplit/>
          <w:trHeight w:val="138"/>
        </w:trPr>
        <w:tc>
          <w:tcPr>
            <w:tcW w:w="988" w:type="dxa"/>
            <w:tcBorders>
              <w:top w:val="nil"/>
              <w:bottom w:val="nil"/>
            </w:tcBorders>
          </w:tcPr>
          <w:p w14:paraId="60C5922E" w14:textId="77777777" w:rsidR="003446C0" w:rsidRPr="00455FDE" w:rsidRDefault="003446C0" w:rsidP="00B75934">
            <w:pPr>
              <w:pStyle w:val="TableHeading"/>
            </w:pPr>
            <w:r w:rsidRPr="00455FDE">
              <w:t>Target</w:t>
            </w:r>
          </w:p>
        </w:tc>
        <w:tc>
          <w:tcPr>
            <w:tcW w:w="8072" w:type="dxa"/>
            <w:tcBorders>
              <w:top w:val="nil"/>
            </w:tcBorders>
            <w:shd w:val="clear" w:color="auto" w:fill="auto"/>
          </w:tcPr>
          <w:p w14:paraId="69EE0296" w14:textId="0078EC6F" w:rsidR="003446C0" w:rsidRDefault="003446C0" w:rsidP="003446C0">
            <w:pPr>
              <w:pStyle w:val="TableText"/>
            </w:pPr>
            <w:r w:rsidRPr="003F6B53">
              <w:rPr>
                <w:rStyle w:val="Strong"/>
              </w:rPr>
              <w:t>2021–22</w:t>
            </w:r>
            <w:r>
              <w:t>: Review of historical soil data. Delivery of soil testing rebates. Development of a federated soil data platform.</w:t>
            </w:r>
          </w:p>
          <w:p w14:paraId="6AE6209D" w14:textId="77777777" w:rsidR="003446C0" w:rsidRDefault="003446C0" w:rsidP="003446C0">
            <w:pPr>
              <w:pStyle w:val="TableText"/>
            </w:pPr>
            <w:r w:rsidRPr="003F6B53">
              <w:rPr>
                <w:rStyle w:val="Strong"/>
              </w:rPr>
              <w:t>2022–23</w:t>
            </w:r>
            <w:r>
              <w:t>:</w:t>
            </w:r>
            <w:r w:rsidRPr="00455FDE">
              <w:t xml:space="preserve"> Completion of </w:t>
            </w:r>
            <w:r>
              <w:t xml:space="preserve">the </w:t>
            </w:r>
            <w:r w:rsidRPr="00B26547">
              <w:t>National Soil Monitoring and Incentives Pilot Program</w:t>
            </w:r>
            <w:r w:rsidRPr="00455FDE">
              <w:t xml:space="preserve"> by</w:t>
            </w:r>
            <w:r>
              <w:t> </w:t>
            </w:r>
            <w:r w:rsidRPr="00455FDE">
              <w:t>2023.</w:t>
            </w:r>
          </w:p>
          <w:p w14:paraId="197E04FF" w14:textId="5080D5EF" w:rsidR="003446C0" w:rsidRDefault="003446C0" w:rsidP="003446C0">
            <w:pPr>
              <w:pStyle w:val="TableText"/>
            </w:pPr>
            <w:r w:rsidRPr="003F6B53">
              <w:rPr>
                <w:rStyle w:val="Strong"/>
              </w:rPr>
              <w:t>2023–24</w:t>
            </w:r>
            <w:r>
              <w:t>: n/a</w:t>
            </w:r>
            <w:r w:rsidR="003F6B53">
              <w:t>.</w:t>
            </w:r>
          </w:p>
          <w:p w14:paraId="39A7B6DA" w14:textId="799C1AF2" w:rsidR="003446C0" w:rsidRPr="00455FDE" w:rsidRDefault="003446C0" w:rsidP="003446C0">
            <w:pPr>
              <w:pStyle w:val="TableText"/>
            </w:pPr>
            <w:r w:rsidRPr="003F6B53">
              <w:rPr>
                <w:rStyle w:val="Strong"/>
              </w:rPr>
              <w:t>2024–25</w:t>
            </w:r>
            <w:r>
              <w:t>: n/a</w:t>
            </w:r>
            <w:r w:rsidR="003F6B53">
              <w:t>.</w:t>
            </w:r>
          </w:p>
        </w:tc>
      </w:tr>
      <w:tr w:rsidR="00455FDE" w:rsidRPr="00455FDE" w14:paraId="2BAB59C6" w14:textId="77777777" w:rsidTr="001325BF">
        <w:trPr>
          <w:cantSplit/>
        </w:trPr>
        <w:tc>
          <w:tcPr>
            <w:tcW w:w="988" w:type="dxa"/>
            <w:tcBorders>
              <w:top w:val="nil"/>
            </w:tcBorders>
          </w:tcPr>
          <w:p w14:paraId="3CDB22CA" w14:textId="77777777" w:rsidR="00455FDE" w:rsidRPr="00455FDE" w:rsidRDefault="00455FDE" w:rsidP="002B7A00">
            <w:pPr>
              <w:pStyle w:val="TableHeading"/>
              <w:keepNext w:val="0"/>
            </w:pPr>
            <w:r w:rsidRPr="00455FDE">
              <w:t>Context</w:t>
            </w:r>
          </w:p>
        </w:tc>
        <w:tc>
          <w:tcPr>
            <w:tcW w:w="8072" w:type="dxa"/>
          </w:tcPr>
          <w:p w14:paraId="3DD26C69" w14:textId="7E9672F5" w:rsidR="00455FDE" w:rsidRPr="00455FDE" w:rsidRDefault="00455FDE" w:rsidP="00B75934">
            <w:pPr>
              <w:pStyle w:val="TableText"/>
            </w:pPr>
            <w:r w:rsidRPr="00455FDE">
              <w:t xml:space="preserve">The National Soil Strategy sets out how Australia will value, manage and improve its soil for the next </w:t>
            </w:r>
            <w:r w:rsidR="00F92D20" w:rsidRPr="00455FDE">
              <w:t>20</w:t>
            </w:r>
            <w:r w:rsidR="00F92D20">
              <w:t> </w:t>
            </w:r>
            <w:r w:rsidRPr="00455FDE">
              <w:t xml:space="preserve">years. The strategy highlights </w:t>
            </w:r>
            <w:r w:rsidR="00F92D20" w:rsidRPr="00455FDE">
              <w:t>3</w:t>
            </w:r>
            <w:r w:rsidR="00F92D20">
              <w:t> </w:t>
            </w:r>
            <w:r w:rsidRPr="00455FDE">
              <w:t>overarching goals:</w:t>
            </w:r>
          </w:p>
          <w:p w14:paraId="4C95C77E" w14:textId="77777777" w:rsidR="00455FDE" w:rsidRPr="00455FDE" w:rsidRDefault="00455FDE" w:rsidP="00B75934">
            <w:pPr>
              <w:pStyle w:val="TableBullet1"/>
            </w:pPr>
            <w:r w:rsidRPr="00455FDE">
              <w:t>prioritise soil health</w:t>
            </w:r>
          </w:p>
          <w:p w14:paraId="29131453" w14:textId="77777777" w:rsidR="00455FDE" w:rsidRPr="00455FDE" w:rsidRDefault="00455FDE" w:rsidP="00B75934">
            <w:pPr>
              <w:pStyle w:val="TableBullet1"/>
            </w:pPr>
            <w:r w:rsidRPr="00455FDE">
              <w:t>empower soil innovation and stewards</w:t>
            </w:r>
          </w:p>
          <w:p w14:paraId="5BFF8F0A" w14:textId="77777777" w:rsidR="00455FDE" w:rsidRPr="00455FDE" w:rsidRDefault="00455FDE" w:rsidP="00B75934">
            <w:pPr>
              <w:pStyle w:val="TableBullet1"/>
            </w:pPr>
            <w:r w:rsidRPr="00455FDE">
              <w:t>strengthen soil knowledge and capability.</w:t>
            </w:r>
          </w:p>
          <w:p w14:paraId="761F5922" w14:textId="77777777" w:rsidR="00455FDE" w:rsidRPr="00455FDE" w:rsidRDefault="00455FDE" w:rsidP="00B75934">
            <w:pPr>
              <w:pStyle w:val="TableText"/>
            </w:pPr>
            <w:r w:rsidRPr="00455FDE">
              <w:t>Actions to address these goals will ensure that soil continues to contribute to agricultural productivity, environmental sustainability and economic growth.</w:t>
            </w:r>
          </w:p>
        </w:tc>
      </w:tr>
    </w:tbl>
    <w:bookmarkEnd w:id="120"/>
    <w:p w14:paraId="79A71419" w14:textId="1F534AF0" w:rsidR="00455FDE" w:rsidRPr="00DB5B70" w:rsidRDefault="00837ADD" w:rsidP="00DB5B70">
      <w:pPr>
        <w:pStyle w:val="Heading5"/>
      </w:pPr>
      <w:r>
        <w:lastRenderedPageBreak/>
        <w:t xml:space="preserve">Performance </w:t>
      </w:r>
      <w:r w:rsidR="003C7A1E" w:rsidRPr="003C7A1E">
        <w:t>criterion</w:t>
      </w:r>
      <w:r>
        <w:t xml:space="preserve">: </w:t>
      </w:r>
      <w:r w:rsidR="00455FDE" w:rsidRPr="00DB5B70">
        <w:t>Species diversity, range and abundance are maintained or improved</w:t>
      </w:r>
      <w:r w:rsidR="00DB5B70">
        <w:t>.</w:t>
      </w:r>
    </w:p>
    <w:tbl>
      <w:tblPr>
        <w:tblStyle w:val="TableGrid10"/>
        <w:tblW w:w="0" w:type="auto"/>
        <w:tblBorders>
          <w:left w:val="none" w:sz="0" w:space="0" w:color="auto"/>
          <w:right w:val="none" w:sz="0" w:space="0" w:color="auto"/>
          <w:insideV w:val="none" w:sz="0" w:space="0" w:color="auto"/>
        </w:tblBorders>
        <w:tblLook w:val="04A0" w:firstRow="1" w:lastRow="0" w:firstColumn="1" w:lastColumn="0" w:noHBand="0" w:noVBand="1"/>
      </w:tblPr>
      <w:tblGrid>
        <w:gridCol w:w="988"/>
        <w:gridCol w:w="8072"/>
      </w:tblGrid>
      <w:tr w:rsidR="0048360B" w:rsidRPr="0048360B" w14:paraId="11376168" w14:textId="77777777" w:rsidTr="001325BF">
        <w:trPr>
          <w:cantSplit/>
        </w:trPr>
        <w:tc>
          <w:tcPr>
            <w:tcW w:w="988" w:type="dxa"/>
            <w:tcBorders>
              <w:top w:val="nil"/>
              <w:bottom w:val="nil"/>
            </w:tcBorders>
            <w:shd w:val="clear" w:color="auto" w:fill="365F91" w:themeFill="accent1" w:themeFillShade="BF"/>
          </w:tcPr>
          <w:p w14:paraId="19BB03BD" w14:textId="77777777" w:rsidR="00455FDE" w:rsidRPr="0048360B" w:rsidRDefault="00455FDE" w:rsidP="00B75934">
            <w:pPr>
              <w:pStyle w:val="TableHeading"/>
              <w:rPr>
                <w:color w:val="FFFFFF" w:themeColor="background1"/>
              </w:rPr>
            </w:pPr>
            <w:bookmarkStart w:id="121" w:name="RowTitle_6" w:colFirst="0" w:colLast="0"/>
            <w:r w:rsidRPr="0048360B">
              <w:rPr>
                <w:color w:val="FFFFFF" w:themeColor="background1"/>
              </w:rPr>
              <w:t>Measure</w:t>
            </w:r>
          </w:p>
        </w:tc>
        <w:tc>
          <w:tcPr>
            <w:tcW w:w="8072" w:type="dxa"/>
            <w:tcBorders>
              <w:top w:val="nil"/>
              <w:bottom w:val="nil"/>
            </w:tcBorders>
            <w:shd w:val="clear" w:color="auto" w:fill="365F91" w:themeFill="accent1" w:themeFillShade="BF"/>
          </w:tcPr>
          <w:p w14:paraId="368B187E" w14:textId="77777777" w:rsidR="00455FDE" w:rsidRPr="0048360B" w:rsidRDefault="00455FDE" w:rsidP="00455FDE">
            <w:pPr>
              <w:spacing w:after="60" w:line="240" w:lineRule="auto"/>
              <w:rPr>
                <w:color w:val="FFFFFF" w:themeColor="background1"/>
                <w:sz w:val="18"/>
              </w:rPr>
            </w:pPr>
            <w:r w:rsidRPr="0048360B">
              <w:rPr>
                <w:color w:val="FFFFFF" w:themeColor="background1"/>
                <w:sz w:val="18"/>
              </w:rPr>
              <w:t>Stability or improvement in the 5-year rolling trajectory of the Threatened Species Main Index. (Effectiveness)</w:t>
            </w:r>
          </w:p>
        </w:tc>
      </w:tr>
      <w:tr w:rsidR="003446C0" w:rsidRPr="00455FDE" w14:paraId="2E51E6F0" w14:textId="77777777" w:rsidTr="001325BF">
        <w:trPr>
          <w:cantSplit/>
          <w:trHeight w:val="138"/>
        </w:trPr>
        <w:tc>
          <w:tcPr>
            <w:tcW w:w="988" w:type="dxa"/>
            <w:tcBorders>
              <w:top w:val="nil"/>
              <w:bottom w:val="nil"/>
            </w:tcBorders>
          </w:tcPr>
          <w:p w14:paraId="14A09F23" w14:textId="77777777" w:rsidR="003446C0" w:rsidRPr="00455FDE" w:rsidRDefault="003446C0" w:rsidP="00B75934">
            <w:pPr>
              <w:pStyle w:val="TableHeading"/>
            </w:pPr>
            <w:r w:rsidRPr="00455FDE">
              <w:t>Target</w:t>
            </w:r>
          </w:p>
        </w:tc>
        <w:tc>
          <w:tcPr>
            <w:tcW w:w="8072" w:type="dxa"/>
            <w:tcBorders>
              <w:top w:val="nil"/>
            </w:tcBorders>
            <w:shd w:val="clear" w:color="auto" w:fill="auto"/>
          </w:tcPr>
          <w:p w14:paraId="2CA4F2BE" w14:textId="77777777" w:rsidR="003446C0" w:rsidRDefault="003446C0" w:rsidP="003446C0">
            <w:pPr>
              <w:pStyle w:val="TableText"/>
            </w:pPr>
            <w:r w:rsidRPr="003F6B53">
              <w:rPr>
                <w:rStyle w:val="Strong"/>
              </w:rPr>
              <w:t>2021–22</w:t>
            </w:r>
            <w:r>
              <w:t>:</w:t>
            </w:r>
            <w:r w:rsidRPr="00455FDE">
              <w:t xml:space="preserve"> Maintained or improved trajectory (≥0).</w:t>
            </w:r>
          </w:p>
          <w:p w14:paraId="4F011E84" w14:textId="74C2B00B" w:rsidR="003446C0" w:rsidRDefault="003446C0" w:rsidP="003446C0">
            <w:pPr>
              <w:pStyle w:val="TableText"/>
            </w:pPr>
            <w:r w:rsidRPr="003F6B53">
              <w:rPr>
                <w:rStyle w:val="Strong"/>
              </w:rPr>
              <w:t>2022–23</w:t>
            </w:r>
            <w:r>
              <w:t>:</w:t>
            </w:r>
            <w:r w:rsidRPr="00110C51">
              <w:t xml:space="preserve"> As for 2021–22</w:t>
            </w:r>
            <w:r w:rsidR="003F6B53">
              <w:t>.</w:t>
            </w:r>
          </w:p>
          <w:p w14:paraId="78FC9055" w14:textId="6BE89931" w:rsidR="003446C0" w:rsidRDefault="003446C0" w:rsidP="003446C0">
            <w:pPr>
              <w:pStyle w:val="TableText"/>
            </w:pPr>
            <w:r w:rsidRPr="003F6B53">
              <w:rPr>
                <w:rStyle w:val="Strong"/>
              </w:rPr>
              <w:t>2023–24</w:t>
            </w:r>
            <w:r>
              <w:t>:</w:t>
            </w:r>
            <w:r w:rsidRPr="00110C51">
              <w:t xml:space="preserve"> As for 2021–22</w:t>
            </w:r>
            <w:r w:rsidR="003F6B53">
              <w:t>.</w:t>
            </w:r>
          </w:p>
          <w:p w14:paraId="3F40A6F5" w14:textId="5549EF1A" w:rsidR="003446C0" w:rsidRPr="00455FDE" w:rsidRDefault="003446C0" w:rsidP="003446C0">
            <w:pPr>
              <w:pStyle w:val="TableText"/>
            </w:pPr>
            <w:r w:rsidRPr="003F6B53">
              <w:rPr>
                <w:rStyle w:val="Strong"/>
              </w:rPr>
              <w:t>2024–25</w:t>
            </w:r>
            <w:r>
              <w:t>:</w:t>
            </w:r>
            <w:r w:rsidRPr="00110C51">
              <w:t xml:space="preserve"> As for 2021–22</w:t>
            </w:r>
            <w:r w:rsidR="003F6B53">
              <w:t>.</w:t>
            </w:r>
          </w:p>
        </w:tc>
      </w:tr>
      <w:tr w:rsidR="00455FDE" w:rsidRPr="00455FDE" w14:paraId="65A8ECAA" w14:textId="77777777" w:rsidTr="001325BF">
        <w:trPr>
          <w:cantSplit/>
        </w:trPr>
        <w:tc>
          <w:tcPr>
            <w:tcW w:w="988" w:type="dxa"/>
            <w:tcBorders>
              <w:top w:val="nil"/>
            </w:tcBorders>
          </w:tcPr>
          <w:p w14:paraId="190910D3" w14:textId="77777777" w:rsidR="00455FDE" w:rsidRPr="00455FDE" w:rsidRDefault="00455FDE" w:rsidP="002B7A00">
            <w:pPr>
              <w:pStyle w:val="TableHeading"/>
              <w:keepNext w:val="0"/>
            </w:pPr>
            <w:r w:rsidRPr="00455FDE">
              <w:t>Context</w:t>
            </w:r>
          </w:p>
        </w:tc>
        <w:tc>
          <w:tcPr>
            <w:tcW w:w="8072" w:type="dxa"/>
          </w:tcPr>
          <w:p w14:paraId="0BD71C70" w14:textId="5EB7265F" w:rsidR="00455FDE" w:rsidRPr="00455FDE" w:rsidRDefault="00455FDE" w:rsidP="00B75934">
            <w:pPr>
              <w:pStyle w:val="TableText"/>
            </w:pPr>
            <w:r w:rsidRPr="00455FDE">
              <w:t xml:space="preserve">This is a measure of the effectiveness of the Australian Government’s investment in priority species, and </w:t>
            </w:r>
            <w:r w:rsidR="009E1ADE">
              <w:t xml:space="preserve">of </w:t>
            </w:r>
            <w:r w:rsidRPr="00455FDE">
              <w:t>its partnerships with other governments and the community to address species decline and support recovery.</w:t>
            </w:r>
          </w:p>
          <w:p w14:paraId="566AA77D" w14:textId="77777777" w:rsidR="00455FDE" w:rsidRPr="00455FDE" w:rsidRDefault="00455FDE" w:rsidP="00B75934">
            <w:pPr>
              <w:pStyle w:val="TableText"/>
            </w:pPr>
            <w:r w:rsidRPr="00455FDE">
              <w:t>The trajectory of threatened species is a leading indicator of biodiversity loss. Given the trends, targets are about slowing loss rather than reversing it.</w:t>
            </w:r>
          </w:p>
          <w:p w14:paraId="54A84618" w14:textId="0206A251" w:rsidR="00455FDE" w:rsidRPr="00455FDE" w:rsidRDefault="009E1ADE" w:rsidP="00B75934">
            <w:pPr>
              <w:pStyle w:val="TableText"/>
            </w:pPr>
            <w:r>
              <w:t>The t</w:t>
            </w:r>
            <w:r w:rsidR="00455FDE" w:rsidRPr="00455FDE">
              <w:t xml:space="preserve">rajectory </w:t>
            </w:r>
            <w:r>
              <w:t xml:space="preserve">is the </w:t>
            </w:r>
            <w:r w:rsidR="00455FDE" w:rsidRPr="00455FDE">
              <w:t>slope of the curve over time compared to the slope over a longer term.</w:t>
            </w:r>
          </w:p>
          <w:p w14:paraId="5695DED5" w14:textId="210B16B3" w:rsidR="00455FDE" w:rsidRPr="00455FDE" w:rsidRDefault="00455FDE" w:rsidP="00B75934">
            <w:pPr>
              <w:pStyle w:val="TableText"/>
            </w:pPr>
            <w:r w:rsidRPr="00455FDE">
              <w:t>The long-term nature of changes in the main index is represented with a multi-year rolling average.</w:t>
            </w:r>
          </w:p>
          <w:p w14:paraId="4E928298" w14:textId="77777777" w:rsidR="00455FDE" w:rsidRPr="00455FDE" w:rsidRDefault="00455FDE" w:rsidP="00B75934">
            <w:pPr>
              <w:pStyle w:val="TableText"/>
            </w:pPr>
            <w:r w:rsidRPr="00455FDE">
              <w:t>The indices aim to aggregate all species. The trajectory of priority species (referred to as 'target' or 'strategy' species) is the main driver of changes to the overall index.</w:t>
            </w:r>
          </w:p>
        </w:tc>
      </w:tr>
      <w:tr w:rsidR="0048360B" w:rsidRPr="0048360B" w14:paraId="7657E2A8" w14:textId="77777777" w:rsidTr="001325BF">
        <w:trPr>
          <w:cantSplit/>
        </w:trPr>
        <w:tc>
          <w:tcPr>
            <w:tcW w:w="988" w:type="dxa"/>
            <w:tcBorders>
              <w:top w:val="nil"/>
              <w:bottom w:val="nil"/>
            </w:tcBorders>
            <w:shd w:val="clear" w:color="auto" w:fill="365F91" w:themeFill="accent1" w:themeFillShade="BF"/>
          </w:tcPr>
          <w:p w14:paraId="46F6D2F5" w14:textId="77777777" w:rsidR="00455FDE" w:rsidRPr="0048360B" w:rsidRDefault="00455FDE" w:rsidP="00B75934">
            <w:pPr>
              <w:pStyle w:val="TableHeading"/>
              <w:rPr>
                <w:color w:val="FFFFFF" w:themeColor="background1"/>
              </w:rPr>
            </w:pPr>
            <w:r w:rsidRPr="0048360B">
              <w:rPr>
                <w:color w:val="FFFFFF" w:themeColor="background1"/>
              </w:rPr>
              <w:t>Measure</w:t>
            </w:r>
          </w:p>
        </w:tc>
        <w:tc>
          <w:tcPr>
            <w:tcW w:w="8072" w:type="dxa"/>
            <w:tcBorders>
              <w:top w:val="nil"/>
              <w:bottom w:val="nil"/>
            </w:tcBorders>
            <w:shd w:val="clear" w:color="auto" w:fill="365F91" w:themeFill="accent1" w:themeFillShade="BF"/>
          </w:tcPr>
          <w:p w14:paraId="0607DA8C" w14:textId="77777777" w:rsidR="00455FDE" w:rsidRPr="0048360B" w:rsidRDefault="00455FDE" w:rsidP="00B75934">
            <w:pPr>
              <w:pStyle w:val="TableText"/>
              <w:rPr>
                <w:color w:val="FFFFFF" w:themeColor="background1"/>
              </w:rPr>
            </w:pPr>
            <w:r w:rsidRPr="0048360B">
              <w:rPr>
                <w:color w:val="FFFFFF" w:themeColor="background1"/>
              </w:rPr>
              <w:t>Percentage of natural resource management projects that demonstrate an improvement in environmental outcomes relative to the established project baseline. (Effectiveness)</w:t>
            </w:r>
          </w:p>
        </w:tc>
      </w:tr>
      <w:tr w:rsidR="003446C0" w:rsidRPr="00455FDE" w14:paraId="237FECCE" w14:textId="77777777" w:rsidTr="001325BF">
        <w:trPr>
          <w:cantSplit/>
          <w:trHeight w:val="138"/>
        </w:trPr>
        <w:tc>
          <w:tcPr>
            <w:tcW w:w="988" w:type="dxa"/>
            <w:tcBorders>
              <w:top w:val="nil"/>
              <w:bottom w:val="nil"/>
            </w:tcBorders>
          </w:tcPr>
          <w:p w14:paraId="249F30E8" w14:textId="77777777" w:rsidR="003446C0" w:rsidRPr="00455FDE" w:rsidRDefault="003446C0" w:rsidP="00B75934">
            <w:pPr>
              <w:pStyle w:val="TableHeading"/>
            </w:pPr>
            <w:r w:rsidRPr="00455FDE">
              <w:t>Target</w:t>
            </w:r>
          </w:p>
        </w:tc>
        <w:tc>
          <w:tcPr>
            <w:tcW w:w="8072" w:type="dxa"/>
            <w:tcBorders>
              <w:top w:val="nil"/>
            </w:tcBorders>
            <w:shd w:val="clear" w:color="auto" w:fill="auto"/>
          </w:tcPr>
          <w:p w14:paraId="393EE42E" w14:textId="10668D7E" w:rsidR="003446C0" w:rsidRDefault="003446C0" w:rsidP="003446C0">
            <w:pPr>
              <w:pStyle w:val="TableText"/>
            </w:pPr>
            <w:r w:rsidRPr="003F6B53">
              <w:rPr>
                <w:rStyle w:val="Strong"/>
              </w:rPr>
              <w:t>2021–22</w:t>
            </w:r>
            <w:r>
              <w:t>: n/a</w:t>
            </w:r>
            <w:r w:rsidR="003F6B53">
              <w:t>.</w:t>
            </w:r>
          </w:p>
          <w:p w14:paraId="3CC48523" w14:textId="494ED478" w:rsidR="003446C0" w:rsidRDefault="003446C0" w:rsidP="003446C0">
            <w:pPr>
              <w:pStyle w:val="TableText"/>
            </w:pPr>
            <w:r w:rsidRPr="003F6B53">
              <w:rPr>
                <w:rStyle w:val="Strong"/>
              </w:rPr>
              <w:t>2022–23</w:t>
            </w:r>
            <w:r>
              <w:t>: 100%</w:t>
            </w:r>
            <w:r w:rsidR="003F6B53">
              <w:t>.</w:t>
            </w:r>
          </w:p>
          <w:p w14:paraId="5A34740B" w14:textId="7039D42F" w:rsidR="003446C0" w:rsidRDefault="003446C0" w:rsidP="003446C0">
            <w:pPr>
              <w:pStyle w:val="TableText"/>
            </w:pPr>
            <w:r w:rsidRPr="003F6B53">
              <w:rPr>
                <w:rStyle w:val="Strong"/>
              </w:rPr>
              <w:t>2023–24</w:t>
            </w:r>
            <w:r>
              <w:t>: n/a</w:t>
            </w:r>
            <w:r w:rsidR="003F6B53">
              <w:t>.</w:t>
            </w:r>
          </w:p>
          <w:p w14:paraId="0D9836ED" w14:textId="758E120C" w:rsidR="003446C0" w:rsidRPr="00455FDE" w:rsidRDefault="003446C0" w:rsidP="003446C0">
            <w:pPr>
              <w:pStyle w:val="TableText"/>
            </w:pPr>
            <w:r w:rsidRPr="003F6B53">
              <w:rPr>
                <w:rStyle w:val="Strong"/>
              </w:rPr>
              <w:t>2024–25</w:t>
            </w:r>
            <w:r>
              <w:t>: n/a</w:t>
            </w:r>
            <w:r w:rsidR="003F6B53">
              <w:t>.</w:t>
            </w:r>
          </w:p>
        </w:tc>
      </w:tr>
      <w:tr w:rsidR="00455FDE" w:rsidRPr="00455FDE" w14:paraId="6B57A1C5" w14:textId="77777777" w:rsidTr="001325BF">
        <w:trPr>
          <w:cantSplit/>
        </w:trPr>
        <w:tc>
          <w:tcPr>
            <w:tcW w:w="988" w:type="dxa"/>
            <w:tcBorders>
              <w:top w:val="nil"/>
            </w:tcBorders>
          </w:tcPr>
          <w:p w14:paraId="76714CFE" w14:textId="77777777" w:rsidR="00455FDE" w:rsidRPr="00455FDE" w:rsidRDefault="00455FDE" w:rsidP="002B7A00">
            <w:pPr>
              <w:pStyle w:val="TableHeading"/>
              <w:keepNext w:val="0"/>
            </w:pPr>
            <w:r w:rsidRPr="00455FDE">
              <w:t>Context</w:t>
            </w:r>
          </w:p>
        </w:tc>
        <w:tc>
          <w:tcPr>
            <w:tcW w:w="8072" w:type="dxa"/>
          </w:tcPr>
          <w:p w14:paraId="73A3A61B" w14:textId="3FFC0CC1" w:rsidR="00455FDE" w:rsidRPr="00455FDE" w:rsidRDefault="00455FDE" w:rsidP="00B75934">
            <w:pPr>
              <w:pStyle w:val="TableText"/>
            </w:pPr>
            <w:r w:rsidRPr="00455FDE">
              <w:t>We provide national leadership for the delivery of natural resource management projects through environment and sustainable agriculture programs.</w:t>
            </w:r>
          </w:p>
          <w:p w14:paraId="68284122" w14:textId="3510B656" w:rsidR="00455FDE" w:rsidRPr="00455FDE" w:rsidRDefault="00455FDE" w:rsidP="00B75934">
            <w:pPr>
              <w:pStyle w:val="TableText"/>
            </w:pPr>
            <w:r w:rsidRPr="00455FDE">
              <w:t>This is an indicator of the impact of joint efforts across the department</w:t>
            </w:r>
            <w:r w:rsidR="00112437">
              <w:t xml:space="preserve">. </w:t>
            </w:r>
            <w:r w:rsidR="00112437" w:rsidRPr="00112437">
              <w:t>Projects reported against this measure for 2020–21 and are due to report again in July 2023.</w:t>
            </w:r>
          </w:p>
        </w:tc>
      </w:tr>
      <w:tr w:rsidR="0048360B" w:rsidRPr="0048360B" w14:paraId="5C6A63FE" w14:textId="77777777" w:rsidTr="001325BF">
        <w:trPr>
          <w:cantSplit/>
        </w:trPr>
        <w:tc>
          <w:tcPr>
            <w:tcW w:w="988" w:type="dxa"/>
            <w:tcBorders>
              <w:top w:val="nil"/>
              <w:bottom w:val="nil"/>
            </w:tcBorders>
            <w:shd w:val="clear" w:color="auto" w:fill="365F91" w:themeFill="accent1" w:themeFillShade="BF"/>
          </w:tcPr>
          <w:p w14:paraId="6110BC61" w14:textId="77777777" w:rsidR="00455FDE" w:rsidRPr="0048360B" w:rsidRDefault="00455FDE" w:rsidP="00B75934">
            <w:pPr>
              <w:pStyle w:val="TableHeading"/>
              <w:rPr>
                <w:color w:val="FFFFFF" w:themeColor="background1"/>
              </w:rPr>
            </w:pPr>
            <w:r w:rsidRPr="0048360B">
              <w:rPr>
                <w:color w:val="FFFFFF" w:themeColor="background1"/>
              </w:rPr>
              <w:t>Measure</w:t>
            </w:r>
          </w:p>
        </w:tc>
        <w:tc>
          <w:tcPr>
            <w:tcW w:w="8072" w:type="dxa"/>
            <w:tcBorders>
              <w:top w:val="nil"/>
              <w:bottom w:val="nil"/>
            </w:tcBorders>
            <w:shd w:val="clear" w:color="auto" w:fill="365F91" w:themeFill="accent1" w:themeFillShade="BF"/>
          </w:tcPr>
          <w:p w14:paraId="5A17C195" w14:textId="52AA28A1" w:rsidR="00455FDE" w:rsidRPr="0048360B" w:rsidRDefault="00455FDE" w:rsidP="00B75934">
            <w:pPr>
              <w:pStyle w:val="TableText"/>
              <w:rPr>
                <w:color w:val="FFFFFF" w:themeColor="background1"/>
              </w:rPr>
            </w:pPr>
            <w:r w:rsidRPr="0048360B">
              <w:rPr>
                <w:color w:val="FFFFFF" w:themeColor="background1"/>
              </w:rPr>
              <w:t xml:space="preserve">Percentage of </w:t>
            </w:r>
            <w:r w:rsidRPr="0048360B">
              <w:rPr>
                <w:i/>
                <w:iCs/>
                <w:color w:val="FFFFFF" w:themeColor="background1"/>
              </w:rPr>
              <w:t xml:space="preserve">Environmental Protection and Biodiversity </w:t>
            </w:r>
            <w:r w:rsidR="006D1741" w:rsidRPr="0048360B">
              <w:rPr>
                <w:i/>
                <w:iCs/>
                <w:color w:val="FFFFFF" w:themeColor="background1"/>
              </w:rPr>
              <w:t>Act </w:t>
            </w:r>
            <w:r w:rsidRPr="0048360B">
              <w:rPr>
                <w:i/>
                <w:iCs/>
                <w:color w:val="FFFFFF" w:themeColor="background1"/>
              </w:rPr>
              <w:t>1999</w:t>
            </w:r>
            <w:r w:rsidRPr="0048360B">
              <w:rPr>
                <w:color w:val="FFFFFF" w:themeColor="background1"/>
              </w:rPr>
              <w:t xml:space="preserve"> referral, assessment, and approval decisions that meet statutory timeframes. (Output)</w:t>
            </w:r>
          </w:p>
        </w:tc>
      </w:tr>
      <w:tr w:rsidR="003446C0" w:rsidRPr="00455FDE" w14:paraId="3A54DE42" w14:textId="77777777" w:rsidTr="001325BF">
        <w:trPr>
          <w:cantSplit/>
          <w:trHeight w:val="138"/>
        </w:trPr>
        <w:tc>
          <w:tcPr>
            <w:tcW w:w="988" w:type="dxa"/>
            <w:tcBorders>
              <w:top w:val="nil"/>
              <w:bottom w:val="nil"/>
            </w:tcBorders>
          </w:tcPr>
          <w:p w14:paraId="788AF291" w14:textId="77777777" w:rsidR="003446C0" w:rsidRPr="00455FDE" w:rsidRDefault="003446C0" w:rsidP="00B75934">
            <w:pPr>
              <w:pStyle w:val="TableHeading"/>
            </w:pPr>
            <w:r w:rsidRPr="00455FDE">
              <w:t>Target</w:t>
            </w:r>
          </w:p>
        </w:tc>
        <w:tc>
          <w:tcPr>
            <w:tcW w:w="8072" w:type="dxa"/>
            <w:tcBorders>
              <w:top w:val="nil"/>
            </w:tcBorders>
            <w:shd w:val="clear" w:color="auto" w:fill="auto"/>
          </w:tcPr>
          <w:p w14:paraId="1E6EF120" w14:textId="665743AE" w:rsidR="003446C0" w:rsidRDefault="003446C0" w:rsidP="003446C0">
            <w:pPr>
              <w:pStyle w:val="TableText"/>
            </w:pPr>
            <w:r w:rsidRPr="003F6B53">
              <w:rPr>
                <w:rStyle w:val="Strong"/>
              </w:rPr>
              <w:t>2021–22</w:t>
            </w:r>
            <w:r>
              <w:t>:</w:t>
            </w:r>
            <w:r w:rsidRPr="00455FDE">
              <w:t xml:space="preserve"> 100%</w:t>
            </w:r>
            <w:r w:rsidR="003F6B53">
              <w:t>.</w:t>
            </w:r>
          </w:p>
          <w:p w14:paraId="21251325" w14:textId="3CCC44A6" w:rsidR="003446C0" w:rsidRDefault="003446C0" w:rsidP="003446C0">
            <w:pPr>
              <w:pStyle w:val="TableText"/>
            </w:pPr>
            <w:r w:rsidRPr="003F6B53">
              <w:rPr>
                <w:rStyle w:val="Strong"/>
              </w:rPr>
              <w:t>2022–23</w:t>
            </w:r>
            <w:r>
              <w:t>:</w:t>
            </w:r>
            <w:r w:rsidRPr="00110C51">
              <w:t xml:space="preserve"> As for 2021–22</w:t>
            </w:r>
            <w:r w:rsidR="003F6B53">
              <w:t>.</w:t>
            </w:r>
          </w:p>
          <w:p w14:paraId="265C46F6" w14:textId="0372775D" w:rsidR="003446C0" w:rsidRDefault="003446C0" w:rsidP="003446C0">
            <w:pPr>
              <w:pStyle w:val="TableText"/>
            </w:pPr>
            <w:r w:rsidRPr="003F6B53">
              <w:rPr>
                <w:rStyle w:val="Strong"/>
              </w:rPr>
              <w:t>2023–24</w:t>
            </w:r>
            <w:r>
              <w:t>:</w:t>
            </w:r>
            <w:r w:rsidRPr="00110C51">
              <w:t xml:space="preserve"> As for 2021–22</w:t>
            </w:r>
            <w:r w:rsidR="003F6B53">
              <w:t>.</w:t>
            </w:r>
          </w:p>
          <w:p w14:paraId="4B13313D" w14:textId="5959E334" w:rsidR="003446C0" w:rsidRPr="00455FDE" w:rsidRDefault="003446C0" w:rsidP="003446C0">
            <w:pPr>
              <w:pStyle w:val="TableText"/>
            </w:pPr>
            <w:r w:rsidRPr="003F6B53">
              <w:rPr>
                <w:rStyle w:val="Strong"/>
              </w:rPr>
              <w:t>2024–25</w:t>
            </w:r>
            <w:r>
              <w:t>:</w:t>
            </w:r>
            <w:r w:rsidRPr="00110C51">
              <w:t xml:space="preserve"> As for 2021–22</w:t>
            </w:r>
            <w:r w:rsidR="003F6B53">
              <w:t>.</w:t>
            </w:r>
          </w:p>
        </w:tc>
      </w:tr>
      <w:tr w:rsidR="00455FDE" w:rsidRPr="00455FDE" w14:paraId="7AB5B9DA" w14:textId="77777777" w:rsidTr="001325BF">
        <w:trPr>
          <w:cantSplit/>
        </w:trPr>
        <w:tc>
          <w:tcPr>
            <w:tcW w:w="988" w:type="dxa"/>
            <w:tcBorders>
              <w:top w:val="nil"/>
            </w:tcBorders>
          </w:tcPr>
          <w:p w14:paraId="28466DA5" w14:textId="77777777" w:rsidR="00455FDE" w:rsidRPr="00455FDE" w:rsidRDefault="00455FDE" w:rsidP="002B7A00">
            <w:pPr>
              <w:pStyle w:val="TableHeading"/>
              <w:keepNext w:val="0"/>
            </w:pPr>
            <w:r w:rsidRPr="00455FDE">
              <w:t>Context</w:t>
            </w:r>
          </w:p>
        </w:tc>
        <w:tc>
          <w:tcPr>
            <w:tcW w:w="8072" w:type="dxa"/>
          </w:tcPr>
          <w:p w14:paraId="30E92178" w14:textId="5FC69BB7" w:rsidR="00455FDE" w:rsidRPr="00455FDE" w:rsidRDefault="00455FDE" w:rsidP="00B75934">
            <w:pPr>
              <w:pStyle w:val="TableText"/>
            </w:pPr>
            <w:r w:rsidRPr="00455FDE">
              <w:t>This is a measure of our direct involvement in the implementation of the Act aside from reform. Assuming the referrals, assessments and approvals system set out in the Act are effective, our main responsibility is to ensure that this is carried out within the legislated time frames.</w:t>
            </w:r>
          </w:p>
        </w:tc>
      </w:tr>
    </w:tbl>
    <w:p w14:paraId="4C8C0D0A" w14:textId="75BE2489" w:rsidR="00455FDE" w:rsidRPr="00DB5B70" w:rsidRDefault="00837ADD" w:rsidP="00DB5B70">
      <w:pPr>
        <w:pStyle w:val="Heading5"/>
      </w:pPr>
      <w:bookmarkStart w:id="122" w:name="_Toc75856602"/>
      <w:bookmarkEnd w:id="121"/>
      <w:r>
        <w:lastRenderedPageBreak/>
        <w:t xml:space="preserve">Performance </w:t>
      </w:r>
      <w:r w:rsidR="003C7A1E" w:rsidRPr="003C7A1E">
        <w:t>criterion</w:t>
      </w:r>
      <w:r>
        <w:t xml:space="preserve">: </w:t>
      </w:r>
      <w:r w:rsidR="00455FDE" w:rsidRPr="00DB5B70">
        <w:t xml:space="preserve">Our natural, historic, and Indigenous </w:t>
      </w:r>
      <w:r w:rsidR="0058656B">
        <w:t>h</w:t>
      </w:r>
      <w:r w:rsidR="0058656B" w:rsidRPr="00DB5B70">
        <w:t xml:space="preserve">eritage </w:t>
      </w:r>
      <w:r w:rsidR="00455FDE" w:rsidRPr="00DB5B70">
        <w:t>places are protected and sustainably managed for future generations</w:t>
      </w:r>
      <w:bookmarkEnd w:id="122"/>
      <w:r w:rsidR="00DB5B70">
        <w:t>.</w:t>
      </w:r>
    </w:p>
    <w:tbl>
      <w:tblPr>
        <w:tblStyle w:val="TableGrid10"/>
        <w:tblW w:w="0" w:type="auto"/>
        <w:tblBorders>
          <w:left w:val="none" w:sz="0" w:space="0" w:color="auto"/>
          <w:right w:val="none" w:sz="0" w:space="0" w:color="auto"/>
          <w:insideV w:val="none" w:sz="0" w:space="0" w:color="auto"/>
        </w:tblBorders>
        <w:tblLook w:val="04A0" w:firstRow="1" w:lastRow="0" w:firstColumn="1" w:lastColumn="0" w:noHBand="0" w:noVBand="1"/>
      </w:tblPr>
      <w:tblGrid>
        <w:gridCol w:w="988"/>
        <w:gridCol w:w="8072"/>
      </w:tblGrid>
      <w:tr w:rsidR="00051948" w:rsidRPr="00051948" w14:paraId="783E30DB" w14:textId="77777777" w:rsidTr="001325BF">
        <w:trPr>
          <w:cantSplit/>
          <w:trHeight w:val="226"/>
        </w:trPr>
        <w:tc>
          <w:tcPr>
            <w:tcW w:w="988" w:type="dxa"/>
            <w:tcBorders>
              <w:top w:val="nil"/>
              <w:bottom w:val="nil"/>
            </w:tcBorders>
            <w:shd w:val="clear" w:color="auto" w:fill="365F91" w:themeFill="accent1" w:themeFillShade="BF"/>
          </w:tcPr>
          <w:p w14:paraId="33DD0D01" w14:textId="77777777" w:rsidR="00455FDE" w:rsidRPr="00051948" w:rsidRDefault="00455FDE" w:rsidP="00B75934">
            <w:pPr>
              <w:pStyle w:val="TableHeading"/>
              <w:rPr>
                <w:color w:val="FFFFFF" w:themeColor="background1"/>
              </w:rPr>
            </w:pPr>
            <w:bookmarkStart w:id="123" w:name="RowTitle_7" w:colFirst="0" w:colLast="0"/>
            <w:r w:rsidRPr="00051948">
              <w:rPr>
                <w:color w:val="FFFFFF" w:themeColor="background1"/>
              </w:rPr>
              <w:t>Measure</w:t>
            </w:r>
          </w:p>
        </w:tc>
        <w:tc>
          <w:tcPr>
            <w:tcW w:w="8072" w:type="dxa"/>
            <w:tcBorders>
              <w:top w:val="nil"/>
              <w:bottom w:val="nil"/>
            </w:tcBorders>
            <w:shd w:val="clear" w:color="auto" w:fill="365F91" w:themeFill="accent1" w:themeFillShade="BF"/>
          </w:tcPr>
          <w:p w14:paraId="6A48ED5B" w14:textId="77777777" w:rsidR="00455FDE" w:rsidRPr="00051948" w:rsidRDefault="00455FDE" w:rsidP="00B75934">
            <w:pPr>
              <w:pStyle w:val="TableText"/>
              <w:rPr>
                <w:color w:val="FFFFFF" w:themeColor="background1"/>
              </w:rPr>
            </w:pPr>
            <w:r w:rsidRPr="00051948">
              <w:rPr>
                <w:color w:val="FFFFFF" w:themeColor="background1"/>
              </w:rPr>
              <w:t>Percentage of World Heritage listed properties with management plans that are consistent with the principles in the Environment Protection and Biodiversity Conservation Regulations. (Output)</w:t>
            </w:r>
          </w:p>
          <w:p w14:paraId="4248A712" w14:textId="04518F8F" w:rsidR="00051948" w:rsidRPr="00051948" w:rsidRDefault="00051948" w:rsidP="00B75934">
            <w:pPr>
              <w:pStyle w:val="TableText"/>
              <w:rPr>
                <w:color w:val="FFFFFF" w:themeColor="background1"/>
              </w:rPr>
            </w:pPr>
            <w:r w:rsidRPr="00051948">
              <w:rPr>
                <w:color w:val="FFFFFF" w:themeColor="background1"/>
              </w:rPr>
              <w:t>Percentage of National Heritage listed properties with management plans that are consistent with the principles in the Environment Protection and Biodiversity Conservation Regulations. (Output)</w:t>
            </w:r>
          </w:p>
        </w:tc>
      </w:tr>
      <w:tr w:rsidR="007755B3" w:rsidRPr="00455FDE" w14:paraId="73A92699" w14:textId="77777777" w:rsidTr="001325BF">
        <w:trPr>
          <w:cantSplit/>
          <w:trHeight w:val="138"/>
        </w:trPr>
        <w:tc>
          <w:tcPr>
            <w:tcW w:w="988" w:type="dxa"/>
            <w:tcBorders>
              <w:top w:val="nil"/>
              <w:bottom w:val="nil"/>
            </w:tcBorders>
          </w:tcPr>
          <w:p w14:paraId="35A4C4AE" w14:textId="77777777" w:rsidR="007755B3" w:rsidRPr="00455FDE" w:rsidRDefault="007755B3" w:rsidP="00B75934">
            <w:pPr>
              <w:pStyle w:val="TableHeading"/>
            </w:pPr>
            <w:r w:rsidRPr="00455FDE">
              <w:t>Target</w:t>
            </w:r>
          </w:p>
        </w:tc>
        <w:tc>
          <w:tcPr>
            <w:tcW w:w="8072" w:type="dxa"/>
            <w:tcBorders>
              <w:top w:val="nil"/>
            </w:tcBorders>
            <w:shd w:val="clear" w:color="auto" w:fill="auto"/>
          </w:tcPr>
          <w:p w14:paraId="05502CC5" w14:textId="686E3979" w:rsidR="007755B3" w:rsidRDefault="007755B3" w:rsidP="007755B3">
            <w:pPr>
              <w:pStyle w:val="TableText"/>
            </w:pPr>
            <w:r w:rsidRPr="003F6B53">
              <w:rPr>
                <w:rStyle w:val="Strong"/>
              </w:rPr>
              <w:t>2021–22</w:t>
            </w:r>
            <w:r>
              <w:t>:</w:t>
            </w:r>
            <w:r w:rsidRPr="00455FDE">
              <w:t xml:space="preserve"> 100%</w:t>
            </w:r>
            <w:r w:rsidR="003F6B53">
              <w:t>.</w:t>
            </w:r>
          </w:p>
          <w:p w14:paraId="6FD2344A" w14:textId="679FD343" w:rsidR="007755B3" w:rsidRDefault="007755B3" w:rsidP="007755B3">
            <w:pPr>
              <w:pStyle w:val="TableText"/>
            </w:pPr>
            <w:r w:rsidRPr="003F6B53">
              <w:rPr>
                <w:rStyle w:val="Strong"/>
              </w:rPr>
              <w:t>2022–23</w:t>
            </w:r>
            <w:r>
              <w:t>:</w:t>
            </w:r>
            <w:r w:rsidRPr="00110C51">
              <w:t xml:space="preserve"> As for 2021–22</w:t>
            </w:r>
            <w:r w:rsidR="003F6B53">
              <w:t>.</w:t>
            </w:r>
          </w:p>
          <w:p w14:paraId="6E2CF9F5" w14:textId="7978984A" w:rsidR="007755B3" w:rsidRDefault="007755B3" w:rsidP="007755B3">
            <w:pPr>
              <w:pStyle w:val="TableText"/>
            </w:pPr>
            <w:r w:rsidRPr="003F6B53">
              <w:rPr>
                <w:rStyle w:val="Strong"/>
              </w:rPr>
              <w:t>2023–24</w:t>
            </w:r>
            <w:r>
              <w:t>:</w:t>
            </w:r>
            <w:r w:rsidRPr="00110C51">
              <w:t xml:space="preserve"> As for 2021–22</w:t>
            </w:r>
            <w:r w:rsidR="003F6B53">
              <w:t>.</w:t>
            </w:r>
          </w:p>
          <w:p w14:paraId="3F21182C" w14:textId="22773EC1" w:rsidR="007755B3" w:rsidRPr="00455FDE" w:rsidRDefault="007755B3" w:rsidP="007755B3">
            <w:pPr>
              <w:pStyle w:val="TableText"/>
            </w:pPr>
            <w:r w:rsidRPr="003F6B53">
              <w:rPr>
                <w:rStyle w:val="Strong"/>
              </w:rPr>
              <w:t>2024–25</w:t>
            </w:r>
            <w:r>
              <w:t>:</w:t>
            </w:r>
            <w:r w:rsidRPr="00110C51">
              <w:t xml:space="preserve"> As for 2021–22</w:t>
            </w:r>
            <w:r w:rsidR="003F6B53">
              <w:t>.</w:t>
            </w:r>
          </w:p>
        </w:tc>
      </w:tr>
      <w:tr w:rsidR="00455FDE" w:rsidRPr="00455FDE" w14:paraId="520C2592" w14:textId="77777777" w:rsidTr="001325BF">
        <w:trPr>
          <w:cantSplit/>
        </w:trPr>
        <w:tc>
          <w:tcPr>
            <w:tcW w:w="988" w:type="dxa"/>
            <w:tcBorders>
              <w:top w:val="nil"/>
            </w:tcBorders>
          </w:tcPr>
          <w:p w14:paraId="6BFCEFED" w14:textId="77777777" w:rsidR="00455FDE" w:rsidRPr="00455FDE" w:rsidRDefault="00455FDE" w:rsidP="002B7A00">
            <w:pPr>
              <w:pStyle w:val="TableHeading"/>
              <w:keepNext w:val="0"/>
            </w:pPr>
            <w:r w:rsidRPr="00455FDE">
              <w:t>Context</w:t>
            </w:r>
          </w:p>
        </w:tc>
        <w:tc>
          <w:tcPr>
            <w:tcW w:w="8072" w:type="dxa"/>
          </w:tcPr>
          <w:p w14:paraId="618D40F8" w14:textId="30EDEECB" w:rsidR="00455FDE" w:rsidRPr="00455FDE" w:rsidRDefault="00455FDE" w:rsidP="00051948">
            <w:pPr>
              <w:pStyle w:val="TableText"/>
              <w:keepLines/>
            </w:pPr>
            <w:r w:rsidRPr="00455FDE">
              <w:t>Management plans consistent with the Regulations provide a foundation for effective management of World Heritage and National Heritage listed properties.</w:t>
            </w:r>
          </w:p>
          <w:p w14:paraId="03025D43" w14:textId="77777777" w:rsidR="00455FDE" w:rsidRPr="00455FDE" w:rsidRDefault="00455FDE" w:rsidP="00051948">
            <w:pPr>
              <w:pStyle w:val="TableText"/>
              <w:keepLines/>
            </w:pPr>
            <w:r w:rsidRPr="00455FDE">
              <w:t>Measurement supports the effective management and protection of matters of national environmental significance.</w:t>
            </w:r>
          </w:p>
          <w:p w14:paraId="0CC08DCA" w14:textId="77777777" w:rsidR="00455FDE" w:rsidRPr="00455FDE" w:rsidRDefault="00455FDE" w:rsidP="00051948">
            <w:pPr>
              <w:pStyle w:val="TableText"/>
              <w:keepLines/>
            </w:pPr>
            <w:r w:rsidRPr="00455FDE">
              <w:t>We work with property managers to provide guidance on issues such as the effects of climate change and approaches for effective adaptation.</w:t>
            </w:r>
          </w:p>
        </w:tc>
      </w:tr>
      <w:tr w:rsidR="0048360B" w:rsidRPr="0048360B" w14:paraId="098ECB4F" w14:textId="77777777" w:rsidTr="001325BF">
        <w:trPr>
          <w:cantSplit/>
          <w:trHeight w:val="226"/>
        </w:trPr>
        <w:tc>
          <w:tcPr>
            <w:tcW w:w="988" w:type="dxa"/>
            <w:tcBorders>
              <w:top w:val="nil"/>
              <w:bottom w:val="nil"/>
            </w:tcBorders>
            <w:shd w:val="clear" w:color="auto" w:fill="365F91" w:themeFill="accent1" w:themeFillShade="BF"/>
          </w:tcPr>
          <w:p w14:paraId="1FB164D4" w14:textId="77777777" w:rsidR="00455FDE" w:rsidRPr="0048360B" w:rsidRDefault="00455FDE" w:rsidP="00B75934">
            <w:pPr>
              <w:pStyle w:val="TableHeading"/>
              <w:rPr>
                <w:color w:val="FFFFFF" w:themeColor="background1"/>
              </w:rPr>
            </w:pPr>
            <w:r w:rsidRPr="0048360B">
              <w:rPr>
                <w:color w:val="FFFFFF" w:themeColor="background1"/>
              </w:rPr>
              <w:t>Measure</w:t>
            </w:r>
          </w:p>
        </w:tc>
        <w:tc>
          <w:tcPr>
            <w:tcW w:w="8072" w:type="dxa"/>
            <w:tcBorders>
              <w:top w:val="nil"/>
              <w:bottom w:val="nil"/>
            </w:tcBorders>
            <w:shd w:val="clear" w:color="auto" w:fill="365F91" w:themeFill="accent1" w:themeFillShade="BF"/>
          </w:tcPr>
          <w:p w14:paraId="7375CEE3" w14:textId="77777777" w:rsidR="00455FDE" w:rsidRPr="0048360B" w:rsidRDefault="00455FDE" w:rsidP="00B75934">
            <w:pPr>
              <w:pStyle w:val="TableText"/>
              <w:rPr>
                <w:color w:val="FFFFFF" w:themeColor="background1"/>
              </w:rPr>
            </w:pPr>
            <w:r w:rsidRPr="0048360B">
              <w:rPr>
                <w:color w:val="FFFFFF" w:themeColor="background1"/>
              </w:rPr>
              <w:t>Deliver a sustainable ocean economy strategy and all elements of the Oceans Leadership Package. (Output)</w:t>
            </w:r>
          </w:p>
        </w:tc>
      </w:tr>
      <w:tr w:rsidR="00DD2950" w:rsidRPr="00455FDE" w14:paraId="7ABD62FB" w14:textId="77777777" w:rsidTr="001325BF">
        <w:trPr>
          <w:cantSplit/>
          <w:trHeight w:val="138"/>
        </w:trPr>
        <w:tc>
          <w:tcPr>
            <w:tcW w:w="988" w:type="dxa"/>
            <w:tcBorders>
              <w:top w:val="nil"/>
              <w:bottom w:val="nil"/>
            </w:tcBorders>
          </w:tcPr>
          <w:p w14:paraId="461A5E74" w14:textId="77777777" w:rsidR="00DD2950" w:rsidRPr="00455FDE" w:rsidRDefault="00DD2950" w:rsidP="00B75934">
            <w:pPr>
              <w:pStyle w:val="TableHeading"/>
            </w:pPr>
            <w:r w:rsidRPr="00455FDE">
              <w:t>Target</w:t>
            </w:r>
          </w:p>
        </w:tc>
        <w:tc>
          <w:tcPr>
            <w:tcW w:w="8072" w:type="dxa"/>
            <w:tcBorders>
              <w:top w:val="nil"/>
            </w:tcBorders>
            <w:shd w:val="clear" w:color="auto" w:fill="auto"/>
          </w:tcPr>
          <w:p w14:paraId="1E698A07" w14:textId="77777777" w:rsidR="00DD2950" w:rsidRDefault="00DD2950" w:rsidP="007755B3">
            <w:pPr>
              <w:pStyle w:val="TableText"/>
            </w:pPr>
            <w:r w:rsidRPr="003F6B53">
              <w:rPr>
                <w:rStyle w:val="Strong"/>
              </w:rPr>
              <w:t>2021–22</w:t>
            </w:r>
            <w:r>
              <w:t>: Commence development of the ocean economy strategy.</w:t>
            </w:r>
          </w:p>
          <w:p w14:paraId="51E0DEF2" w14:textId="77777777" w:rsidR="00DD2950" w:rsidRDefault="00DD2950" w:rsidP="007755B3">
            <w:pPr>
              <w:pStyle w:val="TableText"/>
            </w:pPr>
            <w:r w:rsidRPr="003F6B53">
              <w:rPr>
                <w:rStyle w:val="Strong"/>
              </w:rPr>
              <w:t>2022–23</w:t>
            </w:r>
            <w:r>
              <w:t>: To be developed.</w:t>
            </w:r>
          </w:p>
          <w:p w14:paraId="3AD5D0CB" w14:textId="77777777" w:rsidR="00DD2950" w:rsidRDefault="00DD2950" w:rsidP="007755B3">
            <w:pPr>
              <w:pStyle w:val="TableText"/>
            </w:pPr>
            <w:r w:rsidRPr="003F6B53">
              <w:rPr>
                <w:rStyle w:val="Strong"/>
              </w:rPr>
              <w:t>2023–24</w:t>
            </w:r>
            <w:r>
              <w:t>: To be developed.</w:t>
            </w:r>
          </w:p>
          <w:p w14:paraId="3DCCF41A" w14:textId="37B7BE49" w:rsidR="00DD2950" w:rsidRPr="00455FDE" w:rsidRDefault="00DD2950" w:rsidP="007755B3">
            <w:pPr>
              <w:pStyle w:val="TableText"/>
            </w:pPr>
            <w:r w:rsidRPr="003F6B53">
              <w:rPr>
                <w:rStyle w:val="Strong"/>
              </w:rPr>
              <w:t>2024–25</w:t>
            </w:r>
            <w:r>
              <w:t>:</w:t>
            </w:r>
            <w:r w:rsidRPr="00455FDE">
              <w:t xml:space="preserve"> Delivery of the strategy by 2025.</w:t>
            </w:r>
          </w:p>
        </w:tc>
      </w:tr>
      <w:tr w:rsidR="00455FDE" w:rsidRPr="00455FDE" w14:paraId="00679908" w14:textId="77777777" w:rsidTr="001325BF">
        <w:trPr>
          <w:cantSplit/>
        </w:trPr>
        <w:tc>
          <w:tcPr>
            <w:tcW w:w="988" w:type="dxa"/>
            <w:tcBorders>
              <w:top w:val="nil"/>
            </w:tcBorders>
          </w:tcPr>
          <w:p w14:paraId="172AAB98" w14:textId="77777777" w:rsidR="00455FDE" w:rsidRPr="00455FDE" w:rsidRDefault="00455FDE" w:rsidP="002B7A00">
            <w:pPr>
              <w:pStyle w:val="TableHeading"/>
              <w:keepNext w:val="0"/>
            </w:pPr>
            <w:r w:rsidRPr="00455FDE">
              <w:t>Context</w:t>
            </w:r>
          </w:p>
        </w:tc>
        <w:tc>
          <w:tcPr>
            <w:tcW w:w="8072" w:type="dxa"/>
          </w:tcPr>
          <w:p w14:paraId="69491E2E" w14:textId="3CADF780" w:rsidR="0058656B" w:rsidRDefault="00455FDE" w:rsidP="0058656B">
            <w:pPr>
              <w:pStyle w:val="TableText"/>
            </w:pPr>
            <w:r w:rsidRPr="00455FDE">
              <w:t xml:space="preserve">The package spans </w:t>
            </w:r>
            <w:r w:rsidR="0058656B">
              <w:t>4</w:t>
            </w:r>
            <w:r w:rsidR="0058656B" w:rsidRPr="00455FDE">
              <w:t xml:space="preserve"> </w:t>
            </w:r>
            <w:r w:rsidRPr="00455FDE">
              <w:t>key areas of Australia’s oceans management</w:t>
            </w:r>
            <w:r w:rsidR="0058656B">
              <w:t>:</w:t>
            </w:r>
          </w:p>
          <w:p w14:paraId="33A1A2A7" w14:textId="575F27D8" w:rsidR="0058656B" w:rsidRDefault="00455FDE" w:rsidP="0058656B">
            <w:pPr>
              <w:pStyle w:val="TableBullet1"/>
            </w:pPr>
            <w:r w:rsidRPr="00455FDE">
              <w:t>implementing on</w:t>
            </w:r>
            <w:r w:rsidR="00F140A3">
              <w:t>-</w:t>
            </w:r>
            <w:r w:rsidRPr="00455FDE">
              <w:t>ground actions to support Australian Marine Parks</w:t>
            </w:r>
          </w:p>
          <w:p w14:paraId="184239D2" w14:textId="11802D91" w:rsidR="0058656B" w:rsidRDefault="00455FDE" w:rsidP="0058656B">
            <w:pPr>
              <w:pStyle w:val="TableBullet1"/>
            </w:pPr>
            <w:r w:rsidRPr="00455FDE">
              <w:t>expand the Indigenous Protected Areas into Sea Country</w:t>
            </w:r>
          </w:p>
          <w:p w14:paraId="632B7FD2" w14:textId="088AC964" w:rsidR="0058656B" w:rsidRDefault="00455FDE" w:rsidP="0058656B">
            <w:pPr>
              <w:pStyle w:val="TableBullet1"/>
            </w:pPr>
            <w:r w:rsidRPr="00455FDE">
              <w:t xml:space="preserve">restore blue carbon ecosystems </w:t>
            </w:r>
          </w:p>
          <w:p w14:paraId="5B059665" w14:textId="111B662D" w:rsidR="00455FDE" w:rsidRPr="00455FDE" w:rsidRDefault="00455FDE" w:rsidP="00B75934">
            <w:pPr>
              <w:pStyle w:val="TableBullet1"/>
            </w:pPr>
            <w:r w:rsidRPr="00455FDE">
              <w:t>protect iconic marine species.</w:t>
            </w:r>
          </w:p>
        </w:tc>
      </w:tr>
    </w:tbl>
    <w:p w14:paraId="71F48327" w14:textId="7C54A3E5" w:rsidR="00455FDE" w:rsidRPr="00DB5B70" w:rsidRDefault="00837ADD" w:rsidP="00DB5B70">
      <w:pPr>
        <w:pStyle w:val="Heading5"/>
      </w:pPr>
      <w:bookmarkStart w:id="124" w:name="_Toc75856603"/>
      <w:bookmarkEnd w:id="123"/>
      <w:r>
        <w:t xml:space="preserve">Performance </w:t>
      </w:r>
      <w:r w:rsidR="003C7A1E" w:rsidRPr="003C7A1E">
        <w:t>criterion</w:t>
      </w:r>
      <w:r>
        <w:t xml:space="preserve">: </w:t>
      </w:r>
      <w:r w:rsidR="00455FDE" w:rsidRPr="00DB5B70">
        <w:t>Provide national leadership to effectively manage Australia's waste</w:t>
      </w:r>
      <w:bookmarkEnd w:id="124"/>
      <w:r w:rsidR="00DB5B70">
        <w:t>.</w:t>
      </w:r>
    </w:p>
    <w:tbl>
      <w:tblPr>
        <w:tblStyle w:val="TableGrid10"/>
        <w:tblW w:w="0" w:type="auto"/>
        <w:tblBorders>
          <w:left w:val="none" w:sz="0" w:space="0" w:color="auto"/>
          <w:right w:val="none" w:sz="0" w:space="0" w:color="auto"/>
          <w:insideV w:val="none" w:sz="0" w:space="0" w:color="auto"/>
        </w:tblBorders>
        <w:tblLook w:val="04A0" w:firstRow="1" w:lastRow="0" w:firstColumn="1" w:lastColumn="0" w:noHBand="0" w:noVBand="1"/>
      </w:tblPr>
      <w:tblGrid>
        <w:gridCol w:w="988"/>
        <w:gridCol w:w="8072"/>
      </w:tblGrid>
      <w:tr w:rsidR="002C7730" w:rsidRPr="002C7730" w14:paraId="5AFAEEB5" w14:textId="77777777" w:rsidTr="001325BF">
        <w:trPr>
          <w:cantSplit/>
          <w:trHeight w:val="226"/>
        </w:trPr>
        <w:tc>
          <w:tcPr>
            <w:tcW w:w="988" w:type="dxa"/>
            <w:tcBorders>
              <w:top w:val="nil"/>
              <w:bottom w:val="nil"/>
            </w:tcBorders>
            <w:shd w:val="clear" w:color="auto" w:fill="365F91" w:themeFill="accent1" w:themeFillShade="BF"/>
          </w:tcPr>
          <w:p w14:paraId="4C58712B" w14:textId="77777777" w:rsidR="00455FDE" w:rsidRPr="002C7730" w:rsidRDefault="00455FDE" w:rsidP="00B75934">
            <w:pPr>
              <w:pStyle w:val="TableHeading"/>
              <w:rPr>
                <w:color w:val="FFFFFF" w:themeColor="background1"/>
              </w:rPr>
            </w:pPr>
            <w:bookmarkStart w:id="125" w:name="RowTitle_8" w:colFirst="0" w:colLast="0"/>
            <w:r w:rsidRPr="002C7730">
              <w:rPr>
                <w:color w:val="FFFFFF" w:themeColor="background1"/>
              </w:rPr>
              <w:t>Measure</w:t>
            </w:r>
          </w:p>
        </w:tc>
        <w:tc>
          <w:tcPr>
            <w:tcW w:w="8072" w:type="dxa"/>
            <w:tcBorders>
              <w:top w:val="nil"/>
              <w:bottom w:val="nil"/>
            </w:tcBorders>
            <w:shd w:val="clear" w:color="auto" w:fill="365F91" w:themeFill="accent1" w:themeFillShade="BF"/>
          </w:tcPr>
          <w:p w14:paraId="77FA5E27" w14:textId="5EA700D7" w:rsidR="00455FDE" w:rsidRPr="002C7730" w:rsidRDefault="00112437" w:rsidP="00B75934">
            <w:pPr>
              <w:pStyle w:val="TableText"/>
              <w:rPr>
                <w:color w:val="FFFFFF" w:themeColor="background1"/>
              </w:rPr>
            </w:pPr>
            <w:r w:rsidRPr="002C7730">
              <w:rPr>
                <w:color w:val="FFFFFF" w:themeColor="background1"/>
              </w:rPr>
              <w:t>Reduction in kilograms of waste per capita generated in Australia every year from 2,700 kg to 2,400 kg per person by 2030. (Effectiveness)</w:t>
            </w:r>
          </w:p>
        </w:tc>
      </w:tr>
      <w:tr w:rsidR="00DD2950" w:rsidRPr="00455FDE" w14:paraId="6D39B50D" w14:textId="77777777" w:rsidTr="001325BF">
        <w:trPr>
          <w:cantSplit/>
          <w:trHeight w:val="138"/>
        </w:trPr>
        <w:tc>
          <w:tcPr>
            <w:tcW w:w="988" w:type="dxa"/>
            <w:tcBorders>
              <w:top w:val="nil"/>
              <w:bottom w:val="nil"/>
            </w:tcBorders>
          </w:tcPr>
          <w:p w14:paraId="67A48F5C" w14:textId="77777777" w:rsidR="00DD2950" w:rsidRPr="00455FDE" w:rsidRDefault="00DD2950" w:rsidP="00B75934">
            <w:pPr>
              <w:pStyle w:val="TableHeading"/>
            </w:pPr>
            <w:r w:rsidRPr="00455FDE">
              <w:t>Target</w:t>
            </w:r>
          </w:p>
        </w:tc>
        <w:tc>
          <w:tcPr>
            <w:tcW w:w="8072" w:type="dxa"/>
            <w:tcBorders>
              <w:top w:val="nil"/>
            </w:tcBorders>
            <w:shd w:val="clear" w:color="auto" w:fill="auto"/>
          </w:tcPr>
          <w:p w14:paraId="6F032F61" w14:textId="651F3CB5" w:rsidR="00DD2950" w:rsidRDefault="00DD2950" w:rsidP="00DD2950">
            <w:pPr>
              <w:pStyle w:val="TableText"/>
            </w:pPr>
            <w:r w:rsidRPr="003F6B53">
              <w:rPr>
                <w:rStyle w:val="Strong"/>
              </w:rPr>
              <w:t>2021–22</w:t>
            </w:r>
            <w:r>
              <w:t xml:space="preserve">: </w:t>
            </w:r>
            <w:r w:rsidR="00357C5B">
              <w:t>n/a</w:t>
            </w:r>
            <w:r>
              <w:t>.</w:t>
            </w:r>
          </w:p>
          <w:p w14:paraId="683D868F" w14:textId="7A68E356" w:rsidR="00DD2950" w:rsidRDefault="00DD2950" w:rsidP="00DD2950">
            <w:pPr>
              <w:pStyle w:val="TableText"/>
            </w:pPr>
            <w:r w:rsidRPr="003F6B53">
              <w:rPr>
                <w:rStyle w:val="Strong"/>
              </w:rPr>
              <w:t>2022–23</w:t>
            </w:r>
            <w:r>
              <w:t xml:space="preserve">: </w:t>
            </w:r>
            <w:r w:rsidR="00357C5B">
              <w:t>n/a</w:t>
            </w:r>
            <w:r>
              <w:t>.</w:t>
            </w:r>
          </w:p>
          <w:p w14:paraId="1B601290" w14:textId="24E6568D" w:rsidR="00DD2950" w:rsidRDefault="00DD2950" w:rsidP="00DD2950">
            <w:pPr>
              <w:pStyle w:val="TableText"/>
            </w:pPr>
            <w:r w:rsidRPr="003F6B53">
              <w:rPr>
                <w:rStyle w:val="Strong"/>
              </w:rPr>
              <w:t>2023–24</w:t>
            </w:r>
            <w:r>
              <w:t xml:space="preserve">: </w:t>
            </w:r>
            <w:r w:rsidR="00357C5B">
              <w:t>n/a</w:t>
            </w:r>
            <w:r>
              <w:t>.</w:t>
            </w:r>
          </w:p>
          <w:p w14:paraId="5FDE463E" w14:textId="4FB4E665" w:rsidR="00DD2950" w:rsidRPr="00455FDE" w:rsidRDefault="00DD2950" w:rsidP="00DD2950">
            <w:pPr>
              <w:pStyle w:val="TableText"/>
            </w:pPr>
            <w:r w:rsidRPr="003F6B53">
              <w:rPr>
                <w:rStyle w:val="Strong"/>
              </w:rPr>
              <w:t>2024–25</w:t>
            </w:r>
            <w:r>
              <w:t>:</w:t>
            </w:r>
            <w:r w:rsidRPr="00455FDE">
              <w:t xml:space="preserve"> 2,600</w:t>
            </w:r>
            <w:r>
              <w:t> </w:t>
            </w:r>
            <w:r w:rsidRPr="00455FDE">
              <w:t>kg per person by 2025.</w:t>
            </w:r>
          </w:p>
        </w:tc>
      </w:tr>
      <w:tr w:rsidR="00455FDE" w:rsidRPr="00455FDE" w14:paraId="4AB8E53E" w14:textId="77777777" w:rsidTr="001325BF">
        <w:trPr>
          <w:cantSplit/>
        </w:trPr>
        <w:tc>
          <w:tcPr>
            <w:tcW w:w="988" w:type="dxa"/>
            <w:tcBorders>
              <w:top w:val="nil"/>
            </w:tcBorders>
          </w:tcPr>
          <w:p w14:paraId="0929C800" w14:textId="77777777" w:rsidR="00455FDE" w:rsidRPr="00455FDE" w:rsidRDefault="00455FDE" w:rsidP="002B7A00">
            <w:pPr>
              <w:pStyle w:val="TableHeading"/>
              <w:keepNext w:val="0"/>
            </w:pPr>
            <w:r w:rsidRPr="00455FDE">
              <w:t>Context</w:t>
            </w:r>
          </w:p>
        </w:tc>
        <w:tc>
          <w:tcPr>
            <w:tcW w:w="8072" w:type="dxa"/>
          </w:tcPr>
          <w:p w14:paraId="22EA6D50" w14:textId="1684FAD3" w:rsidR="00455FDE" w:rsidRPr="00455FDE" w:rsidRDefault="00455FDE" w:rsidP="00B75934">
            <w:pPr>
              <w:pStyle w:val="TableText"/>
            </w:pPr>
            <w:r w:rsidRPr="00455FDE">
              <w:t xml:space="preserve">Waste volume is an indicator of environmental pressures and </w:t>
            </w:r>
            <w:r w:rsidR="0058656B">
              <w:t>waste reduction</w:t>
            </w:r>
            <w:r w:rsidR="0058656B" w:rsidRPr="00455FDE">
              <w:t xml:space="preserve"> </w:t>
            </w:r>
            <w:r w:rsidRPr="00455FDE">
              <w:t>is one of the key outcomes of the National Waste Policy Action Plan.</w:t>
            </w:r>
          </w:p>
          <w:p w14:paraId="16704A37" w14:textId="03EB871D" w:rsidR="00455FDE" w:rsidRPr="00455FDE" w:rsidRDefault="00455FDE" w:rsidP="00B75934">
            <w:pPr>
              <w:pStyle w:val="TableText"/>
            </w:pPr>
            <w:r w:rsidRPr="00455FDE">
              <w:t xml:space="preserve">We provide national leadership to coordinate states, territories and other stakeholders to achieve this outcome. We are also responsible for leading </w:t>
            </w:r>
            <w:proofErr w:type="gramStart"/>
            <w:r w:rsidRPr="00455FDE">
              <w:t>a number of</w:t>
            </w:r>
            <w:proofErr w:type="gramEnd"/>
            <w:r w:rsidRPr="00455FDE">
              <w:t xml:space="preserve"> actions under the action plan.</w:t>
            </w:r>
          </w:p>
          <w:p w14:paraId="6CDBE3A3" w14:textId="457E98E2" w:rsidR="00455FDE" w:rsidRPr="00455FDE" w:rsidRDefault="00455FDE" w:rsidP="00B75934">
            <w:pPr>
              <w:pStyle w:val="TableText"/>
            </w:pPr>
            <w:r w:rsidRPr="00455FDE">
              <w:t>The National Waste Policy has other key outcomes</w:t>
            </w:r>
            <w:r w:rsidR="0058656B">
              <w:t xml:space="preserve">: </w:t>
            </w:r>
            <w:r w:rsidRPr="00455FDE">
              <w:t xml:space="preserve">recycling targets, resource recovery targets, harmful substance use targets, and waste information goals. Each of these is important, </w:t>
            </w:r>
            <w:r w:rsidR="0058656B">
              <w:t>but</w:t>
            </w:r>
            <w:r w:rsidR="0058656B" w:rsidRPr="00455FDE">
              <w:t xml:space="preserve"> </w:t>
            </w:r>
            <w:r w:rsidRPr="00455FDE">
              <w:t>waste volume has been selected as the headline figure.</w:t>
            </w:r>
          </w:p>
        </w:tc>
      </w:tr>
      <w:tr w:rsidR="002C7730" w:rsidRPr="002C7730" w14:paraId="1F8FB885" w14:textId="77777777" w:rsidTr="001325BF">
        <w:trPr>
          <w:cantSplit/>
          <w:trHeight w:val="226"/>
        </w:trPr>
        <w:tc>
          <w:tcPr>
            <w:tcW w:w="988" w:type="dxa"/>
            <w:tcBorders>
              <w:top w:val="nil"/>
              <w:bottom w:val="nil"/>
            </w:tcBorders>
            <w:shd w:val="clear" w:color="auto" w:fill="365F91" w:themeFill="accent1" w:themeFillShade="BF"/>
          </w:tcPr>
          <w:p w14:paraId="4184306D" w14:textId="77777777" w:rsidR="00455FDE" w:rsidRPr="002C7730" w:rsidRDefault="00455FDE" w:rsidP="00B75934">
            <w:pPr>
              <w:pStyle w:val="TableHeading"/>
              <w:rPr>
                <w:color w:val="FFFFFF" w:themeColor="background1"/>
              </w:rPr>
            </w:pPr>
            <w:r w:rsidRPr="002C7730">
              <w:rPr>
                <w:color w:val="FFFFFF" w:themeColor="background1"/>
              </w:rPr>
              <w:lastRenderedPageBreak/>
              <w:t>Measure</w:t>
            </w:r>
          </w:p>
        </w:tc>
        <w:tc>
          <w:tcPr>
            <w:tcW w:w="8072" w:type="dxa"/>
            <w:tcBorders>
              <w:top w:val="nil"/>
              <w:bottom w:val="nil"/>
            </w:tcBorders>
            <w:shd w:val="clear" w:color="auto" w:fill="365F91" w:themeFill="accent1" w:themeFillShade="BF"/>
          </w:tcPr>
          <w:p w14:paraId="07428FB5" w14:textId="0B926B1F" w:rsidR="00455FDE" w:rsidRPr="002C7730" w:rsidRDefault="00455FDE" w:rsidP="00B75934">
            <w:pPr>
              <w:pStyle w:val="TableText"/>
              <w:rPr>
                <w:color w:val="FFFFFF" w:themeColor="background1"/>
                <w:highlight w:val="yellow"/>
              </w:rPr>
            </w:pPr>
            <w:r w:rsidRPr="002C7730">
              <w:rPr>
                <w:color w:val="FFFFFF" w:themeColor="background1"/>
              </w:rPr>
              <w:t xml:space="preserve">The recycling rate for televisions and computers increases </w:t>
            </w:r>
            <w:r w:rsidR="006D1741" w:rsidRPr="002C7730">
              <w:rPr>
                <w:color w:val="FFFFFF" w:themeColor="background1"/>
              </w:rPr>
              <w:t>to </w:t>
            </w:r>
            <w:r w:rsidRPr="002C7730">
              <w:rPr>
                <w:color w:val="FFFFFF" w:themeColor="background1"/>
              </w:rPr>
              <w:t xml:space="preserve">80% </w:t>
            </w:r>
            <w:r w:rsidR="006D1741" w:rsidRPr="002C7730">
              <w:rPr>
                <w:color w:val="FFFFFF" w:themeColor="background1"/>
              </w:rPr>
              <w:t>by </w:t>
            </w:r>
            <w:r w:rsidRPr="002C7730">
              <w:rPr>
                <w:color w:val="FFFFFF" w:themeColor="background1"/>
              </w:rPr>
              <w:t>2026–27. (Effectiveness)</w:t>
            </w:r>
          </w:p>
        </w:tc>
      </w:tr>
      <w:tr w:rsidR="00DD2950" w:rsidRPr="00455FDE" w14:paraId="050561A3" w14:textId="77777777" w:rsidTr="001325BF">
        <w:trPr>
          <w:cantSplit/>
          <w:trHeight w:val="138"/>
        </w:trPr>
        <w:tc>
          <w:tcPr>
            <w:tcW w:w="988" w:type="dxa"/>
            <w:tcBorders>
              <w:top w:val="nil"/>
              <w:bottom w:val="nil"/>
            </w:tcBorders>
          </w:tcPr>
          <w:p w14:paraId="67A68EC5" w14:textId="77777777" w:rsidR="00DD2950" w:rsidRPr="00455FDE" w:rsidRDefault="00DD2950" w:rsidP="00B75934">
            <w:pPr>
              <w:pStyle w:val="TableHeading"/>
            </w:pPr>
            <w:r w:rsidRPr="00455FDE">
              <w:t>Target</w:t>
            </w:r>
          </w:p>
        </w:tc>
        <w:tc>
          <w:tcPr>
            <w:tcW w:w="8072" w:type="dxa"/>
            <w:tcBorders>
              <w:top w:val="nil"/>
            </w:tcBorders>
            <w:shd w:val="clear" w:color="auto" w:fill="auto"/>
          </w:tcPr>
          <w:p w14:paraId="3FF5FD28" w14:textId="77777777" w:rsidR="00DD2950" w:rsidRDefault="00DD2950" w:rsidP="00DD2950">
            <w:pPr>
              <w:pStyle w:val="TableText"/>
            </w:pPr>
            <w:r w:rsidRPr="003F6B53">
              <w:rPr>
                <w:rStyle w:val="Strong"/>
              </w:rPr>
              <w:t>2021–22</w:t>
            </w:r>
            <w:r>
              <w:t>:</w:t>
            </w:r>
            <w:r w:rsidRPr="00455FDE">
              <w:t xml:space="preserve"> 70%</w:t>
            </w:r>
            <w:r>
              <w:t> </w:t>
            </w:r>
            <w:r w:rsidRPr="00455FDE">
              <w:t>recycled by June</w:t>
            </w:r>
            <w:r>
              <w:t> </w:t>
            </w:r>
            <w:r w:rsidRPr="00455FDE">
              <w:t>2022.</w:t>
            </w:r>
          </w:p>
          <w:p w14:paraId="5AFDC93D" w14:textId="77777777" w:rsidR="00DD2950" w:rsidRDefault="00DD2950" w:rsidP="00DD2950">
            <w:pPr>
              <w:pStyle w:val="TableText"/>
            </w:pPr>
            <w:r w:rsidRPr="003F6B53">
              <w:rPr>
                <w:rStyle w:val="Strong"/>
              </w:rPr>
              <w:t>2022–23</w:t>
            </w:r>
            <w:r>
              <w:t>:</w:t>
            </w:r>
            <w:r w:rsidRPr="00455FDE">
              <w:t xml:space="preserve"> 72%</w:t>
            </w:r>
            <w:r>
              <w:t> </w:t>
            </w:r>
            <w:r w:rsidRPr="00455FDE">
              <w:t>recycled by June</w:t>
            </w:r>
            <w:r>
              <w:t> </w:t>
            </w:r>
            <w:r w:rsidRPr="00455FDE">
              <w:t>2023.</w:t>
            </w:r>
          </w:p>
          <w:p w14:paraId="551DFD9A" w14:textId="77777777" w:rsidR="00DD2950" w:rsidRDefault="00DD2950" w:rsidP="00DD2950">
            <w:pPr>
              <w:pStyle w:val="TableText"/>
            </w:pPr>
            <w:r w:rsidRPr="003F6B53">
              <w:rPr>
                <w:rStyle w:val="Strong"/>
              </w:rPr>
              <w:t>2023–24</w:t>
            </w:r>
            <w:r>
              <w:t>:</w:t>
            </w:r>
            <w:r w:rsidRPr="00455FDE">
              <w:t xml:space="preserve"> 74%</w:t>
            </w:r>
            <w:r>
              <w:t> </w:t>
            </w:r>
            <w:r w:rsidRPr="00455FDE">
              <w:t>recycled by June</w:t>
            </w:r>
            <w:r>
              <w:t> </w:t>
            </w:r>
            <w:r w:rsidRPr="00455FDE">
              <w:t>2024.</w:t>
            </w:r>
          </w:p>
          <w:p w14:paraId="210CD99F" w14:textId="7A96F1FB" w:rsidR="00DD2950" w:rsidRPr="00455FDE" w:rsidRDefault="00DD2950" w:rsidP="00DD2950">
            <w:pPr>
              <w:pStyle w:val="TableText"/>
            </w:pPr>
            <w:r w:rsidRPr="003F6B53">
              <w:rPr>
                <w:rStyle w:val="Strong"/>
              </w:rPr>
              <w:t>2024–25</w:t>
            </w:r>
            <w:r>
              <w:t>:</w:t>
            </w:r>
            <w:r w:rsidRPr="00455FDE">
              <w:t xml:space="preserve"> 76%</w:t>
            </w:r>
            <w:r>
              <w:t> </w:t>
            </w:r>
            <w:r w:rsidRPr="00455FDE">
              <w:t>recycled by June</w:t>
            </w:r>
            <w:r>
              <w:t> </w:t>
            </w:r>
            <w:r w:rsidRPr="00455FDE">
              <w:t>2025.</w:t>
            </w:r>
          </w:p>
        </w:tc>
      </w:tr>
      <w:tr w:rsidR="00455FDE" w:rsidRPr="00455FDE" w14:paraId="02DEC3D8" w14:textId="77777777" w:rsidTr="001325BF">
        <w:trPr>
          <w:cantSplit/>
        </w:trPr>
        <w:tc>
          <w:tcPr>
            <w:tcW w:w="988" w:type="dxa"/>
            <w:tcBorders>
              <w:top w:val="nil"/>
            </w:tcBorders>
          </w:tcPr>
          <w:p w14:paraId="59069DEA" w14:textId="77777777" w:rsidR="00455FDE" w:rsidRPr="00455FDE" w:rsidRDefault="00455FDE" w:rsidP="002B7A00">
            <w:pPr>
              <w:pStyle w:val="TableHeading"/>
              <w:keepNext w:val="0"/>
            </w:pPr>
            <w:r w:rsidRPr="00455FDE">
              <w:t>Context</w:t>
            </w:r>
          </w:p>
        </w:tc>
        <w:tc>
          <w:tcPr>
            <w:tcW w:w="8072" w:type="dxa"/>
          </w:tcPr>
          <w:p w14:paraId="6DE4F02C" w14:textId="77777777" w:rsidR="00455FDE" w:rsidRPr="00455FDE" w:rsidRDefault="00455FDE" w:rsidP="00B75934">
            <w:pPr>
              <w:pStyle w:val="TableText"/>
            </w:pPr>
            <w:r w:rsidRPr="00455FDE">
              <w:t>The National Television and Computer Recycling Scheme supports Australians with industry-funded collection and recycling services. The recycling rate determines the effectiveness of the scheme in removing hazardous materials from landfill and recovering valuable elements used in electronics manufacturing.</w:t>
            </w:r>
          </w:p>
        </w:tc>
      </w:tr>
    </w:tbl>
    <w:bookmarkEnd w:id="125"/>
    <w:p w14:paraId="606A0CC6" w14:textId="4F4AD686" w:rsidR="00455FDE" w:rsidRPr="00DB5B70" w:rsidRDefault="00837ADD" w:rsidP="00DB5B70">
      <w:pPr>
        <w:pStyle w:val="Heading5"/>
      </w:pPr>
      <w:r>
        <w:t xml:space="preserve">Performance </w:t>
      </w:r>
      <w:r w:rsidR="003C7A1E" w:rsidRPr="003C7A1E">
        <w:t>criterion</w:t>
      </w:r>
      <w:r>
        <w:t xml:space="preserve">: </w:t>
      </w:r>
      <w:r w:rsidR="00455FDE" w:rsidRPr="00DB5B70">
        <w:t>The condition and value of Australia’s environment is accounted for and this information is available to decision makers</w:t>
      </w:r>
      <w:r w:rsidR="00DB5B70">
        <w:t>.</w:t>
      </w:r>
    </w:p>
    <w:tbl>
      <w:tblPr>
        <w:tblStyle w:val="TableGrid10"/>
        <w:tblW w:w="0" w:type="auto"/>
        <w:tblBorders>
          <w:left w:val="none" w:sz="0" w:space="0" w:color="auto"/>
          <w:right w:val="none" w:sz="0" w:space="0" w:color="auto"/>
          <w:insideV w:val="none" w:sz="0" w:space="0" w:color="auto"/>
        </w:tblBorders>
        <w:tblLook w:val="04A0" w:firstRow="1" w:lastRow="0" w:firstColumn="1" w:lastColumn="0" w:noHBand="0" w:noVBand="1"/>
      </w:tblPr>
      <w:tblGrid>
        <w:gridCol w:w="988"/>
        <w:gridCol w:w="8072"/>
      </w:tblGrid>
      <w:tr w:rsidR="00051948" w:rsidRPr="00051948" w14:paraId="3F2534AC" w14:textId="77777777" w:rsidTr="001325BF">
        <w:trPr>
          <w:cantSplit/>
          <w:trHeight w:val="226"/>
        </w:trPr>
        <w:tc>
          <w:tcPr>
            <w:tcW w:w="988" w:type="dxa"/>
            <w:tcBorders>
              <w:top w:val="nil"/>
              <w:bottom w:val="nil"/>
            </w:tcBorders>
            <w:shd w:val="clear" w:color="auto" w:fill="365F91" w:themeFill="accent1" w:themeFillShade="BF"/>
          </w:tcPr>
          <w:p w14:paraId="5F78F9AB" w14:textId="77777777" w:rsidR="00455FDE" w:rsidRPr="00051948" w:rsidRDefault="00455FDE" w:rsidP="00B75934">
            <w:pPr>
              <w:pStyle w:val="TableHeading"/>
              <w:rPr>
                <w:color w:val="FFFFFF" w:themeColor="background1"/>
              </w:rPr>
            </w:pPr>
            <w:bookmarkStart w:id="126" w:name="RowTitle_9" w:colFirst="0" w:colLast="0"/>
            <w:r w:rsidRPr="00051948">
              <w:rPr>
                <w:color w:val="FFFFFF" w:themeColor="background1"/>
              </w:rPr>
              <w:t>Measure</w:t>
            </w:r>
          </w:p>
        </w:tc>
        <w:tc>
          <w:tcPr>
            <w:tcW w:w="8072" w:type="dxa"/>
            <w:tcBorders>
              <w:top w:val="nil"/>
              <w:bottom w:val="nil"/>
            </w:tcBorders>
            <w:shd w:val="clear" w:color="auto" w:fill="365F91" w:themeFill="accent1" w:themeFillShade="BF"/>
          </w:tcPr>
          <w:p w14:paraId="3F0F0AFC" w14:textId="77777777" w:rsidR="00455FDE" w:rsidRPr="00051948" w:rsidRDefault="00455FDE" w:rsidP="00B75934">
            <w:pPr>
              <w:pStyle w:val="TableText"/>
              <w:rPr>
                <w:color w:val="FFFFFF" w:themeColor="background1"/>
                <w:highlight w:val="yellow"/>
              </w:rPr>
            </w:pPr>
            <w:r w:rsidRPr="00051948">
              <w:rPr>
                <w:color w:val="FFFFFF" w:themeColor="background1"/>
              </w:rPr>
              <w:t>Progress implementation of the National Strategy for Environmental-Economic Accounting and delivery of the legislative requirement to report on the national state of the environment. (Output)</w:t>
            </w:r>
          </w:p>
        </w:tc>
      </w:tr>
      <w:tr w:rsidR="00DD2950" w:rsidRPr="00455FDE" w14:paraId="2BCE52D4" w14:textId="77777777" w:rsidTr="001325BF">
        <w:trPr>
          <w:cantSplit/>
          <w:trHeight w:val="138"/>
        </w:trPr>
        <w:tc>
          <w:tcPr>
            <w:tcW w:w="988" w:type="dxa"/>
            <w:tcBorders>
              <w:top w:val="nil"/>
              <w:bottom w:val="nil"/>
            </w:tcBorders>
          </w:tcPr>
          <w:p w14:paraId="11627D22" w14:textId="77777777" w:rsidR="00DD2950" w:rsidRPr="00455FDE" w:rsidRDefault="00DD2950" w:rsidP="00B75934">
            <w:pPr>
              <w:pStyle w:val="TableHeading"/>
            </w:pPr>
            <w:r w:rsidRPr="00455FDE">
              <w:t>Target</w:t>
            </w:r>
          </w:p>
        </w:tc>
        <w:tc>
          <w:tcPr>
            <w:tcW w:w="8072" w:type="dxa"/>
            <w:tcBorders>
              <w:top w:val="nil"/>
            </w:tcBorders>
            <w:shd w:val="clear" w:color="auto" w:fill="auto"/>
          </w:tcPr>
          <w:p w14:paraId="61597F42" w14:textId="77777777" w:rsidR="00DD2950" w:rsidRDefault="00DD2950" w:rsidP="00DD2950">
            <w:pPr>
              <w:pStyle w:val="TableText"/>
            </w:pPr>
            <w:r w:rsidRPr="003F6B53">
              <w:rPr>
                <w:rStyle w:val="Strong"/>
              </w:rPr>
              <w:t>2021–22</w:t>
            </w:r>
            <w:r>
              <w:t>:</w:t>
            </w:r>
            <w:r w:rsidRPr="00455FDE">
              <w:t xml:space="preserve"> Continual improvement of the </w:t>
            </w:r>
            <w:r>
              <w:t>N</w:t>
            </w:r>
            <w:r w:rsidRPr="00455FDE">
              <w:t xml:space="preserve">ational </w:t>
            </w:r>
            <w:r>
              <w:t>L</w:t>
            </w:r>
            <w:r w:rsidRPr="00455FDE">
              <w:t xml:space="preserve">and </w:t>
            </w:r>
            <w:r>
              <w:t>A</w:t>
            </w:r>
            <w:r w:rsidRPr="00455FDE">
              <w:t>ccount.</w:t>
            </w:r>
          </w:p>
          <w:p w14:paraId="4173E876" w14:textId="53AF2CEE" w:rsidR="00DD2950" w:rsidRDefault="00DD2950" w:rsidP="00DD2950">
            <w:pPr>
              <w:pStyle w:val="TableText"/>
            </w:pPr>
            <w:r w:rsidRPr="003F6B53">
              <w:rPr>
                <w:rStyle w:val="Strong"/>
              </w:rPr>
              <w:t>2022–23</w:t>
            </w:r>
            <w:r>
              <w:t>:</w:t>
            </w:r>
            <w:r w:rsidRPr="003E2502">
              <w:t xml:space="preserve"> As for 2021–22</w:t>
            </w:r>
            <w:r w:rsidR="003F6B53">
              <w:t>.</w:t>
            </w:r>
          </w:p>
          <w:p w14:paraId="16A9CD6A" w14:textId="025B96DC" w:rsidR="00DD2950" w:rsidRDefault="00DD2950" w:rsidP="00DD2950">
            <w:pPr>
              <w:pStyle w:val="TableText"/>
            </w:pPr>
            <w:r w:rsidRPr="003F6B53">
              <w:rPr>
                <w:rStyle w:val="Strong"/>
              </w:rPr>
              <w:t>2023–24</w:t>
            </w:r>
            <w:r>
              <w:t>:</w:t>
            </w:r>
            <w:r w:rsidRPr="003E2502">
              <w:t xml:space="preserve"> As for 2021–22</w:t>
            </w:r>
            <w:r w:rsidR="003F6B53">
              <w:t>.</w:t>
            </w:r>
          </w:p>
          <w:p w14:paraId="748EF808" w14:textId="0EB714B9" w:rsidR="00DD2950" w:rsidRPr="00455FDE" w:rsidRDefault="00DD2950" w:rsidP="00DD2950">
            <w:pPr>
              <w:pStyle w:val="TableText"/>
            </w:pPr>
            <w:r w:rsidRPr="003F6B53">
              <w:rPr>
                <w:rStyle w:val="Strong"/>
              </w:rPr>
              <w:t>2024–25</w:t>
            </w:r>
            <w:r>
              <w:t>:</w:t>
            </w:r>
            <w:r w:rsidRPr="003E2502">
              <w:t xml:space="preserve"> As for 2021–22</w:t>
            </w:r>
            <w:r w:rsidR="003F6B53">
              <w:t>.</w:t>
            </w:r>
          </w:p>
        </w:tc>
      </w:tr>
      <w:tr w:rsidR="00577269" w:rsidRPr="00455FDE" w14:paraId="287C74B6" w14:textId="77777777" w:rsidTr="001325BF">
        <w:trPr>
          <w:cantSplit/>
          <w:trHeight w:val="150"/>
        </w:trPr>
        <w:tc>
          <w:tcPr>
            <w:tcW w:w="988" w:type="dxa"/>
            <w:tcBorders>
              <w:top w:val="nil"/>
              <w:bottom w:val="nil"/>
            </w:tcBorders>
          </w:tcPr>
          <w:p w14:paraId="7504476C" w14:textId="0FEEAEA7" w:rsidR="00577269" w:rsidRPr="00DD2950" w:rsidRDefault="00577269" w:rsidP="00577269">
            <w:pPr>
              <w:pStyle w:val="TableHeading"/>
              <w:rPr>
                <w:color w:val="FFFFFF" w:themeColor="background1"/>
              </w:rPr>
            </w:pPr>
            <w:r w:rsidRPr="00577269">
              <w:t>Target</w:t>
            </w:r>
          </w:p>
        </w:tc>
        <w:tc>
          <w:tcPr>
            <w:tcW w:w="8072" w:type="dxa"/>
            <w:shd w:val="clear" w:color="auto" w:fill="auto"/>
          </w:tcPr>
          <w:p w14:paraId="32EB2DFF" w14:textId="77777777" w:rsidR="00577269" w:rsidRDefault="00577269" w:rsidP="00577269">
            <w:pPr>
              <w:pStyle w:val="TableText"/>
            </w:pPr>
            <w:r w:rsidRPr="003F6B53">
              <w:rPr>
                <w:rStyle w:val="Strong"/>
              </w:rPr>
              <w:t>2021–22</w:t>
            </w:r>
            <w:r>
              <w:t>:</w:t>
            </w:r>
            <w:r w:rsidRPr="00455FDE">
              <w:t xml:space="preserve"> At least one regional pilot account is progressed by 30</w:t>
            </w:r>
            <w:r>
              <w:t> </w:t>
            </w:r>
            <w:r w:rsidRPr="00455FDE">
              <w:t>June</w:t>
            </w:r>
            <w:r>
              <w:t> </w:t>
            </w:r>
            <w:r w:rsidRPr="00455FDE">
              <w:t>2022.</w:t>
            </w:r>
          </w:p>
          <w:p w14:paraId="03504CDB" w14:textId="20A2A36D" w:rsidR="00577269" w:rsidRDefault="00577269" w:rsidP="00577269">
            <w:pPr>
              <w:pStyle w:val="TableText"/>
            </w:pPr>
            <w:r w:rsidRPr="003F6B53">
              <w:rPr>
                <w:rStyle w:val="Strong"/>
              </w:rPr>
              <w:t>2022–23</w:t>
            </w:r>
            <w:r>
              <w:t>:</w:t>
            </w:r>
            <w:r w:rsidRPr="003E2502">
              <w:t xml:space="preserve"> </w:t>
            </w:r>
            <w:r>
              <w:t>n/a.</w:t>
            </w:r>
          </w:p>
          <w:p w14:paraId="3AA13065" w14:textId="070D72D8" w:rsidR="00577269" w:rsidRDefault="00577269" w:rsidP="00577269">
            <w:pPr>
              <w:pStyle w:val="TableText"/>
            </w:pPr>
            <w:r w:rsidRPr="003F6B53">
              <w:rPr>
                <w:rStyle w:val="Strong"/>
              </w:rPr>
              <w:t>2023–24</w:t>
            </w:r>
            <w:r>
              <w:t>: n/a.</w:t>
            </w:r>
          </w:p>
          <w:p w14:paraId="7138BB75" w14:textId="1456BAEE" w:rsidR="00577269" w:rsidRPr="00455FDE" w:rsidRDefault="00577269" w:rsidP="00577269">
            <w:pPr>
              <w:pStyle w:val="TableText"/>
            </w:pPr>
            <w:r w:rsidRPr="003F6B53">
              <w:rPr>
                <w:rStyle w:val="Strong"/>
              </w:rPr>
              <w:t>2024–25</w:t>
            </w:r>
            <w:r>
              <w:t>:</w:t>
            </w:r>
            <w:r w:rsidRPr="003E2502">
              <w:t xml:space="preserve"> </w:t>
            </w:r>
            <w:r>
              <w:t>n/a.</w:t>
            </w:r>
          </w:p>
        </w:tc>
      </w:tr>
      <w:tr w:rsidR="00577269" w:rsidRPr="00455FDE" w14:paraId="3B6F05A6" w14:textId="77777777" w:rsidTr="001325BF">
        <w:trPr>
          <w:cantSplit/>
          <w:trHeight w:val="150"/>
        </w:trPr>
        <w:tc>
          <w:tcPr>
            <w:tcW w:w="988" w:type="dxa"/>
            <w:tcBorders>
              <w:top w:val="nil"/>
              <w:bottom w:val="nil"/>
            </w:tcBorders>
          </w:tcPr>
          <w:p w14:paraId="499631AC" w14:textId="7D772D4D" w:rsidR="00577269" w:rsidRPr="00DD2950" w:rsidRDefault="00577269" w:rsidP="00577269">
            <w:pPr>
              <w:pStyle w:val="TableHeading"/>
              <w:rPr>
                <w:color w:val="FFFFFF" w:themeColor="background1"/>
              </w:rPr>
            </w:pPr>
            <w:r w:rsidRPr="00577269">
              <w:t>Target</w:t>
            </w:r>
          </w:p>
        </w:tc>
        <w:tc>
          <w:tcPr>
            <w:tcW w:w="8072" w:type="dxa"/>
            <w:shd w:val="clear" w:color="auto" w:fill="auto"/>
          </w:tcPr>
          <w:p w14:paraId="2893B812" w14:textId="77777777" w:rsidR="00577269" w:rsidRDefault="00577269" w:rsidP="00577269">
            <w:pPr>
              <w:pStyle w:val="TableText"/>
            </w:pPr>
            <w:r w:rsidRPr="003F6B53">
              <w:rPr>
                <w:rStyle w:val="Strong"/>
              </w:rPr>
              <w:t>2021–22</w:t>
            </w:r>
            <w:r>
              <w:t>:</w:t>
            </w:r>
            <w:r w:rsidRPr="00455FDE">
              <w:t xml:space="preserve"> Deliver the National State of the Environment Report.</w:t>
            </w:r>
          </w:p>
          <w:p w14:paraId="46095FA8" w14:textId="5E4DEF8F" w:rsidR="00577269" w:rsidRDefault="00577269" w:rsidP="00577269">
            <w:pPr>
              <w:pStyle w:val="TableText"/>
            </w:pPr>
            <w:r w:rsidRPr="003F6B53">
              <w:rPr>
                <w:rStyle w:val="Strong"/>
              </w:rPr>
              <w:t>2022–23</w:t>
            </w:r>
            <w:r>
              <w:t>:</w:t>
            </w:r>
            <w:r w:rsidRPr="003E2502">
              <w:t xml:space="preserve"> </w:t>
            </w:r>
            <w:r>
              <w:t>n/a.</w:t>
            </w:r>
          </w:p>
          <w:p w14:paraId="70A7970E" w14:textId="380731C7" w:rsidR="00577269" w:rsidRDefault="00577269" w:rsidP="00577269">
            <w:pPr>
              <w:pStyle w:val="TableText"/>
            </w:pPr>
            <w:r w:rsidRPr="003F6B53">
              <w:rPr>
                <w:rStyle w:val="Strong"/>
              </w:rPr>
              <w:t>2023–24</w:t>
            </w:r>
            <w:r>
              <w:t>: n/a.</w:t>
            </w:r>
          </w:p>
          <w:p w14:paraId="492C16AF" w14:textId="77DA0EDB" w:rsidR="00577269" w:rsidRPr="00455FDE" w:rsidRDefault="00577269" w:rsidP="00577269">
            <w:pPr>
              <w:pStyle w:val="TableText"/>
            </w:pPr>
            <w:r w:rsidRPr="003F6B53">
              <w:rPr>
                <w:rStyle w:val="Strong"/>
              </w:rPr>
              <w:t>2024–25</w:t>
            </w:r>
            <w:r>
              <w:t>:</w:t>
            </w:r>
            <w:r w:rsidRPr="003E2502">
              <w:t xml:space="preserve"> </w:t>
            </w:r>
            <w:r>
              <w:t>n/a.</w:t>
            </w:r>
          </w:p>
        </w:tc>
      </w:tr>
      <w:tr w:rsidR="00455FDE" w:rsidRPr="00455FDE" w14:paraId="4D50C3B2" w14:textId="77777777" w:rsidTr="001325BF">
        <w:trPr>
          <w:cantSplit/>
        </w:trPr>
        <w:tc>
          <w:tcPr>
            <w:tcW w:w="988" w:type="dxa"/>
            <w:tcBorders>
              <w:top w:val="nil"/>
            </w:tcBorders>
          </w:tcPr>
          <w:p w14:paraId="2D38957C" w14:textId="77777777" w:rsidR="00455FDE" w:rsidRPr="00455FDE" w:rsidRDefault="00455FDE" w:rsidP="002B7A00">
            <w:pPr>
              <w:pStyle w:val="TableHeading"/>
              <w:keepNext w:val="0"/>
            </w:pPr>
            <w:r w:rsidRPr="00455FDE">
              <w:t>Context</w:t>
            </w:r>
          </w:p>
        </w:tc>
        <w:tc>
          <w:tcPr>
            <w:tcW w:w="8072" w:type="dxa"/>
          </w:tcPr>
          <w:p w14:paraId="6ECB8A44" w14:textId="28467C35" w:rsidR="00455FDE" w:rsidRPr="00455FDE" w:rsidRDefault="00455FDE" w:rsidP="00B75934">
            <w:pPr>
              <w:pStyle w:val="TableText"/>
            </w:pPr>
            <w:r w:rsidRPr="00455FDE">
              <w:t xml:space="preserve">We are responsible for leading the implementation of the </w:t>
            </w:r>
            <w:r w:rsidRPr="007012AC">
              <w:rPr>
                <w:i/>
                <w:iCs/>
              </w:rPr>
              <w:t>Environmental</w:t>
            </w:r>
            <w:r w:rsidR="0058656B" w:rsidRPr="007012AC">
              <w:rPr>
                <w:i/>
                <w:iCs/>
              </w:rPr>
              <w:t xml:space="preserve"> </w:t>
            </w:r>
            <w:r w:rsidRPr="007012AC">
              <w:rPr>
                <w:i/>
                <w:iCs/>
              </w:rPr>
              <w:t>Economic Accounting</w:t>
            </w:r>
            <w:r w:rsidR="0058656B" w:rsidRPr="007012AC">
              <w:rPr>
                <w:i/>
                <w:iCs/>
              </w:rPr>
              <w:t>: A common national approach strategy and action plan</w:t>
            </w:r>
            <w:r w:rsidRPr="00455FDE">
              <w:t>.</w:t>
            </w:r>
          </w:p>
          <w:p w14:paraId="118432D7" w14:textId="1B94B9FE" w:rsidR="00455FDE" w:rsidRPr="00455FDE" w:rsidRDefault="00455FDE" w:rsidP="00B75934">
            <w:pPr>
              <w:pStyle w:val="TableText"/>
            </w:pPr>
            <w:r w:rsidRPr="00455FDE">
              <w:t>Environmental</w:t>
            </w:r>
            <w:r w:rsidR="00A03F1A">
              <w:t xml:space="preserve"> </w:t>
            </w:r>
            <w:r w:rsidRPr="00455FDE">
              <w:t>economic accounting helps people understand the condition of their environment and its relationship to the economy. Australia’s environment contributes to the economy through the provision of clean water and air, fresh food, fibre, mineral resources, timber and a place for recreation.</w:t>
            </w:r>
          </w:p>
          <w:p w14:paraId="179F1762" w14:textId="5E45E659" w:rsidR="00455FDE" w:rsidRPr="00455FDE" w:rsidRDefault="00455FDE" w:rsidP="00B75934">
            <w:pPr>
              <w:pStyle w:val="TableText"/>
            </w:pPr>
            <w:r w:rsidRPr="00455FDE">
              <w:t xml:space="preserve">We are supporting the preparation of the next </w:t>
            </w:r>
            <w:r w:rsidR="00A03F1A">
              <w:t>n</w:t>
            </w:r>
            <w:r w:rsidR="00A03F1A" w:rsidRPr="00455FDE">
              <w:t xml:space="preserve">ational </w:t>
            </w:r>
            <w:r w:rsidRPr="00455FDE">
              <w:t xml:space="preserve">State of the Environment </w:t>
            </w:r>
            <w:r w:rsidR="00F140A3">
              <w:t>R</w:t>
            </w:r>
            <w:r w:rsidR="00A03F1A" w:rsidRPr="00455FDE">
              <w:t>eport</w:t>
            </w:r>
            <w:r w:rsidRPr="00455FDE">
              <w:t xml:space="preserve">. The Australian Government conducts a comprehensive review of the state of the Australian environment every </w:t>
            </w:r>
            <w:r w:rsidR="006D1741" w:rsidRPr="00455FDE">
              <w:t>5</w:t>
            </w:r>
            <w:r w:rsidR="006D1741">
              <w:t> </w:t>
            </w:r>
            <w:r w:rsidRPr="00455FDE">
              <w:t xml:space="preserve">years. The next report is due to be released in </w:t>
            </w:r>
            <w:r w:rsidR="006D1741" w:rsidRPr="00455FDE">
              <w:t>early</w:t>
            </w:r>
            <w:r w:rsidR="006D1741">
              <w:t> </w:t>
            </w:r>
            <w:r w:rsidRPr="00455FDE">
              <w:t xml:space="preserve">2022. </w:t>
            </w:r>
          </w:p>
        </w:tc>
      </w:tr>
    </w:tbl>
    <w:p w14:paraId="2A1B9461" w14:textId="14C346F0" w:rsidR="00455FDE" w:rsidRPr="00DB5B70" w:rsidRDefault="00837ADD" w:rsidP="00DB5B70">
      <w:pPr>
        <w:pStyle w:val="Heading5"/>
      </w:pPr>
      <w:bookmarkStart w:id="127" w:name="_Toc75856605"/>
      <w:bookmarkEnd w:id="126"/>
      <w:r>
        <w:t xml:space="preserve">Performance </w:t>
      </w:r>
      <w:r w:rsidR="003C7A1E" w:rsidRPr="003C7A1E">
        <w:t>criterion</w:t>
      </w:r>
      <w:r>
        <w:t xml:space="preserve">: </w:t>
      </w:r>
      <w:r w:rsidR="00455FDE" w:rsidRPr="00DB5B70">
        <w:t>Australia’s environment, people, governments and industries are adapting to the impacts of a changing climate.</w:t>
      </w:r>
      <w:bookmarkEnd w:id="127"/>
    </w:p>
    <w:tbl>
      <w:tblPr>
        <w:tblStyle w:val="TableGrid10"/>
        <w:tblW w:w="0" w:type="auto"/>
        <w:tblBorders>
          <w:left w:val="none" w:sz="0" w:space="0" w:color="auto"/>
          <w:right w:val="none" w:sz="0" w:space="0" w:color="auto"/>
          <w:insideV w:val="none" w:sz="0" w:space="0" w:color="auto"/>
        </w:tblBorders>
        <w:tblLook w:val="04A0" w:firstRow="1" w:lastRow="0" w:firstColumn="1" w:lastColumn="0" w:noHBand="0" w:noVBand="1"/>
      </w:tblPr>
      <w:tblGrid>
        <w:gridCol w:w="988"/>
        <w:gridCol w:w="8072"/>
      </w:tblGrid>
      <w:tr w:rsidR="00051948" w:rsidRPr="00051948" w14:paraId="384037A7" w14:textId="77777777" w:rsidTr="001325BF">
        <w:trPr>
          <w:cantSplit/>
          <w:trHeight w:val="226"/>
        </w:trPr>
        <w:tc>
          <w:tcPr>
            <w:tcW w:w="988" w:type="dxa"/>
            <w:tcBorders>
              <w:top w:val="nil"/>
              <w:bottom w:val="nil"/>
            </w:tcBorders>
            <w:shd w:val="clear" w:color="auto" w:fill="365F91" w:themeFill="accent1" w:themeFillShade="BF"/>
          </w:tcPr>
          <w:p w14:paraId="7F181132" w14:textId="77777777" w:rsidR="00455FDE" w:rsidRPr="00051948" w:rsidRDefault="00455FDE" w:rsidP="00B75934">
            <w:pPr>
              <w:pStyle w:val="TableHeading"/>
              <w:rPr>
                <w:color w:val="FFFFFF" w:themeColor="background1"/>
              </w:rPr>
            </w:pPr>
            <w:bookmarkStart w:id="128" w:name="RowTitle_10" w:colFirst="0" w:colLast="0"/>
            <w:r w:rsidRPr="00051948">
              <w:rPr>
                <w:color w:val="FFFFFF" w:themeColor="background1"/>
              </w:rPr>
              <w:t>Measure</w:t>
            </w:r>
          </w:p>
        </w:tc>
        <w:tc>
          <w:tcPr>
            <w:tcW w:w="8072" w:type="dxa"/>
            <w:tcBorders>
              <w:top w:val="nil"/>
              <w:bottom w:val="nil"/>
            </w:tcBorders>
            <w:shd w:val="clear" w:color="auto" w:fill="365F91" w:themeFill="accent1" w:themeFillShade="BF"/>
          </w:tcPr>
          <w:p w14:paraId="5958A1B3" w14:textId="77777777" w:rsidR="00455FDE" w:rsidRPr="00051948" w:rsidRDefault="00455FDE" w:rsidP="00B75934">
            <w:pPr>
              <w:pStyle w:val="TableText"/>
              <w:rPr>
                <w:color w:val="FFFFFF" w:themeColor="background1"/>
                <w:highlight w:val="yellow"/>
              </w:rPr>
            </w:pPr>
            <w:r w:rsidRPr="00051948">
              <w:rPr>
                <w:color w:val="FFFFFF" w:themeColor="background1"/>
              </w:rPr>
              <w:t>Delivery of the National Climate Resilience and Adaptation Strategy. (Output)</w:t>
            </w:r>
          </w:p>
        </w:tc>
      </w:tr>
      <w:tr w:rsidR="00DD2950" w:rsidRPr="00455FDE" w14:paraId="6B5B9B58" w14:textId="77777777" w:rsidTr="001325BF">
        <w:trPr>
          <w:cantSplit/>
          <w:trHeight w:val="138"/>
        </w:trPr>
        <w:tc>
          <w:tcPr>
            <w:tcW w:w="988" w:type="dxa"/>
            <w:tcBorders>
              <w:top w:val="nil"/>
              <w:bottom w:val="nil"/>
            </w:tcBorders>
          </w:tcPr>
          <w:p w14:paraId="12A3E387" w14:textId="77777777" w:rsidR="00DD2950" w:rsidRPr="00455FDE" w:rsidRDefault="00DD2950" w:rsidP="00B75934">
            <w:pPr>
              <w:pStyle w:val="TableHeading"/>
            </w:pPr>
            <w:r w:rsidRPr="00455FDE">
              <w:t>Target</w:t>
            </w:r>
          </w:p>
        </w:tc>
        <w:tc>
          <w:tcPr>
            <w:tcW w:w="8072" w:type="dxa"/>
            <w:tcBorders>
              <w:top w:val="nil"/>
            </w:tcBorders>
            <w:shd w:val="clear" w:color="auto" w:fill="auto"/>
          </w:tcPr>
          <w:p w14:paraId="547D7EF4" w14:textId="77777777" w:rsidR="00DD2950" w:rsidRDefault="00DD2950" w:rsidP="00DD2950">
            <w:pPr>
              <w:pStyle w:val="TableText"/>
            </w:pPr>
            <w:r w:rsidRPr="003F6B53">
              <w:rPr>
                <w:rStyle w:val="Strong"/>
              </w:rPr>
              <w:t>2021–22</w:t>
            </w:r>
            <w:r>
              <w:t>:</w:t>
            </w:r>
            <w:r w:rsidRPr="00455FDE">
              <w:t xml:space="preserve"> Delivery prior to the United Nations Climate Change Conference of Parties</w:t>
            </w:r>
            <w:r>
              <w:t> </w:t>
            </w:r>
            <w:r w:rsidRPr="00455FDE">
              <w:t>(COP26) in November</w:t>
            </w:r>
            <w:r>
              <w:t> </w:t>
            </w:r>
            <w:r w:rsidRPr="00455FDE">
              <w:t>2021.</w:t>
            </w:r>
          </w:p>
          <w:p w14:paraId="6D7C2803" w14:textId="0378DA47" w:rsidR="00DD2950" w:rsidRDefault="00DD2950" w:rsidP="00DD2950">
            <w:pPr>
              <w:pStyle w:val="TableText"/>
            </w:pPr>
            <w:r w:rsidRPr="003F6B53">
              <w:rPr>
                <w:rStyle w:val="Strong"/>
              </w:rPr>
              <w:t>2022–23</w:t>
            </w:r>
            <w:r>
              <w:t>: n/a</w:t>
            </w:r>
            <w:r w:rsidR="003F6B53">
              <w:t>.</w:t>
            </w:r>
          </w:p>
          <w:p w14:paraId="4F17DEF8" w14:textId="4E5A8CDD" w:rsidR="00DD2950" w:rsidRDefault="00DD2950" w:rsidP="00DD2950">
            <w:pPr>
              <w:pStyle w:val="TableText"/>
            </w:pPr>
            <w:r w:rsidRPr="003F6B53">
              <w:rPr>
                <w:rStyle w:val="Strong"/>
              </w:rPr>
              <w:t>2023–24</w:t>
            </w:r>
            <w:r>
              <w:t>: n/a</w:t>
            </w:r>
            <w:r w:rsidR="003F6B53">
              <w:t>.</w:t>
            </w:r>
          </w:p>
          <w:p w14:paraId="6BE5D650" w14:textId="02DAE789" w:rsidR="00DD2950" w:rsidRPr="00455FDE" w:rsidRDefault="00DD2950" w:rsidP="00DD2950">
            <w:pPr>
              <w:pStyle w:val="TableText"/>
            </w:pPr>
            <w:r w:rsidRPr="003F6B53">
              <w:rPr>
                <w:rStyle w:val="Strong"/>
              </w:rPr>
              <w:t>2024–25</w:t>
            </w:r>
            <w:r>
              <w:t>: n/a</w:t>
            </w:r>
            <w:r w:rsidR="003F6B53">
              <w:t>.</w:t>
            </w:r>
          </w:p>
        </w:tc>
      </w:tr>
      <w:tr w:rsidR="00455FDE" w:rsidRPr="00455FDE" w14:paraId="2A207183" w14:textId="77777777" w:rsidTr="001325BF">
        <w:trPr>
          <w:cantSplit/>
        </w:trPr>
        <w:tc>
          <w:tcPr>
            <w:tcW w:w="988" w:type="dxa"/>
            <w:tcBorders>
              <w:top w:val="nil"/>
            </w:tcBorders>
          </w:tcPr>
          <w:p w14:paraId="58A5DECE" w14:textId="77777777" w:rsidR="00455FDE" w:rsidRPr="00455FDE" w:rsidRDefault="00455FDE" w:rsidP="002B7A00">
            <w:pPr>
              <w:pStyle w:val="TableHeading"/>
              <w:keepNext w:val="0"/>
            </w:pPr>
            <w:r w:rsidRPr="00455FDE">
              <w:t>Context</w:t>
            </w:r>
          </w:p>
        </w:tc>
        <w:tc>
          <w:tcPr>
            <w:tcW w:w="8072" w:type="dxa"/>
          </w:tcPr>
          <w:p w14:paraId="6E6169B0" w14:textId="77777777" w:rsidR="00455FDE" w:rsidRPr="00455FDE" w:rsidRDefault="00455FDE" w:rsidP="00B75934">
            <w:pPr>
              <w:pStyle w:val="TableText"/>
            </w:pPr>
            <w:r w:rsidRPr="00455FDE">
              <w:t>The National Climate Resilience and Adaptation Strategy was first released in 2015 and is due for renewal in 2021–22.</w:t>
            </w:r>
          </w:p>
        </w:tc>
      </w:tr>
    </w:tbl>
    <w:p w14:paraId="19772AA9" w14:textId="6E481ACE" w:rsidR="00455FDE" w:rsidRPr="00DB5B70" w:rsidRDefault="00837ADD" w:rsidP="00DB5B70">
      <w:pPr>
        <w:pStyle w:val="Heading5"/>
      </w:pPr>
      <w:bookmarkStart w:id="129" w:name="_Toc75856606"/>
      <w:bookmarkEnd w:id="128"/>
      <w:r>
        <w:lastRenderedPageBreak/>
        <w:t xml:space="preserve">Performance </w:t>
      </w:r>
      <w:r w:rsidR="003C7A1E" w:rsidRPr="003C7A1E">
        <w:t>criterion</w:t>
      </w:r>
      <w:r>
        <w:t xml:space="preserve">: </w:t>
      </w:r>
      <w:r w:rsidR="00455FDE" w:rsidRPr="00DB5B70">
        <w:t>Reform of policy and regulation is efficient and effective in driving environmental outcomes.</w:t>
      </w:r>
      <w:bookmarkEnd w:id="129"/>
    </w:p>
    <w:tbl>
      <w:tblPr>
        <w:tblStyle w:val="TableGrid10"/>
        <w:tblW w:w="0" w:type="auto"/>
        <w:tblBorders>
          <w:left w:val="none" w:sz="0" w:space="0" w:color="auto"/>
          <w:right w:val="none" w:sz="0" w:space="0" w:color="auto"/>
          <w:insideV w:val="none" w:sz="0" w:space="0" w:color="auto"/>
        </w:tblBorders>
        <w:tblLook w:val="04A0" w:firstRow="1" w:lastRow="0" w:firstColumn="1" w:lastColumn="0" w:noHBand="0" w:noVBand="1"/>
      </w:tblPr>
      <w:tblGrid>
        <w:gridCol w:w="988"/>
        <w:gridCol w:w="8072"/>
      </w:tblGrid>
      <w:tr w:rsidR="00051948" w:rsidRPr="00051948" w14:paraId="4FAE0537" w14:textId="77777777" w:rsidTr="001325BF">
        <w:trPr>
          <w:cantSplit/>
          <w:trHeight w:val="226"/>
        </w:trPr>
        <w:tc>
          <w:tcPr>
            <w:tcW w:w="988" w:type="dxa"/>
            <w:tcBorders>
              <w:top w:val="nil"/>
              <w:bottom w:val="nil"/>
            </w:tcBorders>
            <w:shd w:val="clear" w:color="auto" w:fill="365F91" w:themeFill="accent1" w:themeFillShade="BF"/>
          </w:tcPr>
          <w:p w14:paraId="0BAC4A13" w14:textId="77777777" w:rsidR="00455FDE" w:rsidRPr="00051948" w:rsidRDefault="00455FDE" w:rsidP="00B75934">
            <w:pPr>
              <w:pStyle w:val="TableHeading"/>
              <w:rPr>
                <w:color w:val="FFFFFF" w:themeColor="background1"/>
              </w:rPr>
            </w:pPr>
            <w:bookmarkStart w:id="130" w:name="RowTitle_11" w:colFirst="0" w:colLast="0"/>
            <w:r w:rsidRPr="00051948">
              <w:rPr>
                <w:color w:val="FFFFFF" w:themeColor="background1"/>
              </w:rPr>
              <w:t>Measure</w:t>
            </w:r>
          </w:p>
        </w:tc>
        <w:tc>
          <w:tcPr>
            <w:tcW w:w="8072" w:type="dxa"/>
            <w:tcBorders>
              <w:top w:val="nil"/>
              <w:bottom w:val="nil"/>
            </w:tcBorders>
            <w:shd w:val="clear" w:color="auto" w:fill="365F91" w:themeFill="accent1" w:themeFillShade="BF"/>
          </w:tcPr>
          <w:p w14:paraId="6BA2629D" w14:textId="77777777" w:rsidR="00455FDE" w:rsidRPr="00051948" w:rsidRDefault="00455FDE" w:rsidP="00B75934">
            <w:pPr>
              <w:pStyle w:val="TableText"/>
              <w:rPr>
                <w:color w:val="FFFFFF" w:themeColor="background1"/>
                <w:highlight w:val="yellow"/>
              </w:rPr>
            </w:pPr>
            <w:r w:rsidRPr="00051948">
              <w:rPr>
                <w:color w:val="FFFFFF" w:themeColor="background1"/>
              </w:rPr>
              <w:t>Approval bilateral agreements are in place, underpinned by national environmental standards and supported by strong assurance. (Output)</w:t>
            </w:r>
          </w:p>
        </w:tc>
      </w:tr>
      <w:tr w:rsidR="00761899" w:rsidRPr="00455FDE" w14:paraId="479C6058" w14:textId="77777777" w:rsidTr="001325BF">
        <w:trPr>
          <w:cantSplit/>
          <w:trHeight w:val="138"/>
        </w:trPr>
        <w:tc>
          <w:tcPr>
            <w:tcW w:w="988" w:type="dxa"/>
            <w:tcBorders>
              <w:top w:val="nil"/>
              <w:bottom w:val="nil"/>
            </w:tcBorders>
          </w:tcPr>
          <w:p w14:paraId="620AE346" w14:textId="77777777" w:rsidR="00761899" w:rsidRPr="00455FDE" w:rsidRDefault="00761899" w:rsidP="00B75934">
            <w:pPr>
              <w:pStyle w:val="TableHeading"/>
            </w:pPr>
            <w:r w:rsidRPr="00455FDE">
              <w:t>Target</w:t>
            </w:r>
          </w:p>
        </w:tc>
        <w:tc>
          <w:tcPr>
            <w:tcW w:w="8072" w:type="dxa"/>
            <w:tcBorders>
              <w:top w:val="nil"/>
            </w:tcBorders>
            <w:shd w:val="clear" w:color="auto" w:fill="auto"/>
          </w:tcPr>
          <w:p w14:paraId="10442B0B" w14:textId="77777777" w:rsidR="00761899" w:rsidRDefault="00761899" w:rsidP="00DD2950">
            <w:pPr>
              <w:pStyle w:val="TableText"/>
            </w:pPr>
            <w:r w:rsidRPr="003F6B53">
              <w:rPr>
                <w:rStyle w:val="Strong"/>
              </w:rPr>
              <w:t>2021–22</w:t>
            </w:r>
            <w:r>
              <w:t>:</w:t>
            </w:r>
            <w:r w:rsidRPr="00455FDE">
              <w:t xml:space="preserve"> National </w:t>
            </w:r>
            <w:r>
              <w:t>e</w:t>
            </w:r>
            <w:r w:rsidRPr="00455FDE">
              <w:t xml:space="preserve">nvironmental </w:t>
            </w:r>
            <w:r>
              <w:t>s</w:t>
            </w:r>
            <w:r w:rsidRPr="00455FDE">
              <w:t xml:space="preserve">tandards for </w:t>
            </w:r>
            <w:r>
              <w:t>m</w:t>
            </w:r>
            <w:r w:rsidRPr="00455FDE">
              <w:t xml:space="preserve">atters of </w:t>
            </w:r>
            <w:r>
              <w:t>n</w:t>
            </w:r>
            <w:r w:rsidRPr="00455FDE">
              <w:t xml:space="preserve">ational </w:t>
            </w:r>
            <w:r>
              <w:t>e</w:t>
            </w:r>
            <w:r w:rsidRPr="00455FDE">
              <w:t xml:space="preserve">nvironmental </w:t>
            </w:r>
            <w:r>
              <w:t>s</w:t>
            </w:r>
            <w:r w:rsidRPr="00455FDE">
              <w:t>ignificance are in place by September</w:t>
            </w:r>
            <w:r>
              <w:t> </w:t>
            </w:r>
            <w:r w:rsidRPr="00455FDE">
              <w:t>2021.</w:t>
            </w:r>
          </w:p>
          <w:p w14:paraId="2233F75A" w14:textId="22F11FCE" w:rsidR="00761899" w:rsidRDefault="00761899" w:rsidP="00DD2950">
            <w:pPr>
              <w:pStyle w:val="TableText"/>
            </w:pPr>
            <w:r w:rsidRPr="003F6B53">
              <w:rPr>
                <w:rStyle w:val="Strong"/>
              </w:rPr>
              <w:t>2022–23</w:t>
            </w:r>
            <w:r>
              <w:t>: n/a</w:t>
            </w:r>
            <w:r w:rsidR="003F6B53">
              <w:t>.</w:t>
            </w:r>
          </w:p>
          <w:p w14:paraId="3EA4ED92" w14:textId="175DDBB0" w:rsidR="00761899" w:rsidRDefault="00761899" w:rsidP="00DD2950">
            <w:pPr>
              <w:pStyle w:val="TableText"/>
            </w:pPr>
            <w:r w:rsidRPr="003F6B53">
              <w:rPr>
                <w:rStyle w:val="Strong"/>
              </w:rPr>
              <w:t>2023–24</w:t>
            </w:r>
            <w:r>
              <w:t>: n/a</w:t>
            </w:r>
            <w:r w:rsidR="003F6B53">
              <w:t>.</w:t>
            </w:r>
          </w:p>
          <w:p w14:paraId="57AA9ED6" w14:textId="06C19BC0" w:rsidR="00761899" w:rsidRPr="00455FDE" w:rsidRDefault="00761899" w:rsidP="00DD2950">
            <w:pPr>
              <w:pStyle w:val="TableText"/>
            </w:pPr>
            <w:r w:rsidRPr="003F6B53">
              <w:rPr>
                <w:rStyle w:val="Strong"/>
              </w:rPr>
              <w:t>2024–25</w:t>
            </w:r>
            <w:r>
              <w:t>: n/a</w:t>
            </w:r>
            <w:r w:rsidR="003F6B53">
              <w:t>.</w:t>
            </w:r>
          </w:p>
        </w:tc>
      </w:tr>
      <w:tr w:rsidR="00577269" w:rsidRPr="00455FDE" w14:paraId="0BF7DD89" w14:textId="77777777" w:rsidTr="001325BF">
        <w:trPr>
          <w:cantSplit/>
          <w:trHeight w:val="150"/>
        </w:trPr>
        <w:tc>
          <w:tcPr>
            <w:tcW w:w="988" w:type="dxa"/>
            <w:tcBorders>
              <w:top w:val="nil"/>
              <w:bottom w:val="nil"/>
            </w:tcBorders>
          </w:tcPr>
          <w:p w14:paraId="617FEBA1" w14:textId="243E0C52" w:rsidR="00577269" w:rsidRPr="00164075" w:rsidRDefault="00577269" w:rsidP="00577269">
            <w:pPr>
              <w:pStyle w:val="TableHeading"/>
              <w:rPr>
                <w:color w:val="FFFFFF" w:themeColor="background1"/>
              </w:rPr>
            </w:pPr>
            <w:r w:rsidRPr="00577269">
              <w:t>Target</w:t>
            </w:r>
          </w:p>
        </w:tc>
        <w:tc>
          <w:tcPr>
            <w:tcW w:w="8072" w:type="dxa"/>
            <w:shd w:val="clear" w:color="auto" w:fill="auto"/>
          </w:tcPr>
          <w:p w14:paraId="4589C412" w14:textId="77777777" w:rsidR="00577269" w:rsidRDefault="00577269" w:rsidP="00577269">
            <w:pPr>
              <w:pStyle w:val="TableText"/>
            </w:pPr>
            <w:r w:rsidRPr="003F6B53">
              <w:rPr>
                <w:rStyle w:val="Strong"/>
              </w:rPr>
              <w:t>2021–22</w:t>
            </w:r>
            <w:r>
              <w:t>:</w:t>
            </w:r>
            <w:r w:rsidRPr="00455FDE">
              <w:t xml:space="preserve"> Environmental Assurance Commissioner is established by December</w:t>
            </w:r>
            <w:r>
              <w:t> </w:t>
            </w:r>
            <w:r w:rsidRPr="00455FDE">
              <w:t>2021</w:t>
            </w:r>
            <w:r>
              <w:t xml:space="preserve"> and</w:t>
            </w:r>
            <w:r w:rsidRPr="00455FDE">
              <w:t xml:space="preserve"> prior to approval </w:t>
            </w:r>
            <w:r>
              <w:t xml:space="preserve">of </w:t>
            </w:r>
            <w:r w:rsidRPr="00455FDE">
              <w:t>bilateral agreements.</w:t>
            </w:r>
          </w:p>
          <w:p w14:paraId="5133C52C" w14:textId="4C80B9B0" w:rsidR="00577269" w:rsidRDefault="00577269" w:rsidP="00577269">
            <w:pPr>
              <w:pStyle w:val="TableText"/>
            </w:pPr>
            <w:r w:rsidRPr="003F6B53">
              <w:rPr>
                <w:rStyle w:val="Strong"/>
              </w:rPr>
              <w:t>2022–23</w:t>
            </w:r>
            <w:r>
              <w:t>: n/a.</w:t>
            </w:r>
          </w:p>
          <w:p w14:paraId="4A2012A2" w14:textId="016083D6" w:rsidR="00577269" w:rsidRDefault="00577269" w:rsidP="00577269">
            <w:pPr>
              <w:pStyle w:val="TableText"/>
            </w:pPr>
            <w:r w:rsidRPr="003F6B53">
              <w:rPr>
                <w:rStyle w:val="Strong"/>
              </w:rPr>
              <w:t>2023–24</w:t>
            </w:r>
            <w:r>
              <w:t>: n/a.</w:t>
            </w:r>
          </w:p>
          <w:p w14:paraId="07D4DB90" w14:textId="6EAE559F" w:rsidR="00577269" w:rsidRPr="00455FDE" w:rsidRDefault="00577269" w:rsidP="00577269">
            <w:pPr>
              <w:pStyle w:val="TableText"/>
            </w:pPr>
            <w:r w:rsidRPr="003F6B53">
              <w:rPr>
                <w:rStyle w:val="Strong"/>
              </w:rPr>
              <w:t>2024–25</w:t>
            </w:r>
            <w:r>
              <w:t>: n/a.</w:t>
            </w:r>
          </w:p>
        </w:tc>
      </w:tr>
      <w:tr w:rsidR="00577269" w:rsidRPr="00455FDE" w14:paraId="09C8AFE0" w14:textId="77777777" w:rsidTr="001325BF">
        <w:trPr>
          <w:cantSplit/>
          <w:trHeight w:val="150"/>
        </w:trPr>
        <w:tc>
          <w:tcPr>
            <w:tcW w:w="988" w:type="dxa"/>
            <w:tcBorders>
              <w:top w:val="nil"/>
              <w:bottom w:val="nil"/>
            </w:tcBorders>
          </w:tcPr>
          <w:p w14:paraId="3EFA896A" w14:textId="229D3E03" w:rsidR="00577269" w:rsidRPr="00164075" w:rsidRDefault="00577269" w:rsidP="00577269">
            <w:pPr>
              <w:pStyle w:val="TableHeading"/>
              <w:rPr>
                <w:color w:val="FFFFFF" w:themeColor="background1"/>
              </w:rPr>
            </w:pPr>
            <w:r w:rsidRPr="00577269">
              <w:t>Target</w:t>
            </w:r>
          </w:p>
        </w:tc>
        <w:tc>
          <w:tcPr>
            <w:tcW w:w="8072" w:type="dxa"/>
            <w:shd w:val="clear" w:color="auto" w:fill="auto"/>
          </w:tcPr>
          <w:p w14:paraId="78F81F70" w14:textId="77777777" w:rsidR="00577269" w:rsidRDefault="00577269" w:rsidP="00577269">
            <w:pPr>
              <w:pStyle w:val="TableText"/>
            </w:pPr>
            <w:r w:rsidRPr="003F6B53">
              <w:rPr>
                <w:rStyle w:val="Strong"/>
              </w:rPr>
              <w:t>2021–22</w:t>
            </w:r>
            <w:r>
              <w:t>:</w:t>
            </w:r>
            <w:r w:rsidRPr="00455FDE">
              <w:t xml:space="preserve"> </w:t>
            </w:r>
            <w:r>
              <w:t>Minister signs 2 </w:t>
            </w:r>
            <w:r w:rsidRPr="00455FDE">
              <w:t>approval bilateral agreements by December</w:t>
            </w:r>
            <w:r>
              <w:t> </w:t>
            </w:r>
            <w:r w:rsidRPr="00455FDE">
              <w:t>2021.</w:t>
            </w:r>
          </w:p>
          <w:p w14:paraId="61DB0C7D" w14:textId="3117AD66" w:rsidR="00577269" w:rsidRDefault="00577269" w:rsidP="00577269">
            <w:pPr>
              <w:pStyle w:val="TableText"/>
            </w:pPr>
            <w:r w:rsidRPr="003F6B53">
              <w:rPr>
                <w:rStyle w:val="Strong"/>
              </w:rPr>
              <w:t>2022–23</w:t>
            </w:r>
            <w:r>
              <w:t>: n/a.</w:t>
            </w:r>
          </w:p>
          <w:p w14:paraId="2B7AFA8B" w14:textId="7463F200" w:rsidR="00577269" w:rsidRDefault="00577269" w:rsidP="00577269">
            <w:pPr>
              <w:pStyle w:val="TableText"/>
            </w:pPr>
            <w:r w:rsidRPr="003F6B53">
              <w:rPr>
                <w:rStyle w:val="Strong"/>
              </w:rPr>
              <w:t>2023–24</w:t>
            </w:r>
            <w:r>
              <w:t>: n/a.</w:t>
            </w:r>
          </w:p>
          <w:p w14:paraId="2EC9AB98" w14:textId="3947E2EF" w:rsidR="00577269" w:rsidRPr="00455FDE" w:rsidRDefault="00577269" w:rsidP="00577269">
            <w:pPr>
              <w:pStyle w:val="TableText"/>
            </w:pPr>
            <w:r w:rsidRPr="003F6B53">
              <w:rPr>
                <w:rStyle w:val="Strong"/>
              </w:rPr>
              <w:t>2024–25</w:t>
            </w:r>
            <w:r>
              <w:t>: n/a.</w:t>
            </w:r>
          </w:p>
        </w:tc>
      </w:tr>
      <w:tr w:rsidR="00455FDE" w:rsidRPr="00455FDE" w14:paraId="151E082C" w14:textId="77777777" w:rsidTr="001325BF">
        <w:trPr>
          <w:cantSplit/>
        </w:trPr>
        <w:tc>
          <w:tcPr>
            <w:tcW w:w="988" w:type="dxa"/>
            <w:tcBorders>
              <w:top w:val="nil"/>
            </w:tcBorders>
          </w:tcPr>
          <w:p w14:paraId="730FED0D" w14:textId="77777777" w:rsidR="00455FDE" w:rsidRPr="00455FDE" w:rsidRDefault="00455FDE" w:rsidP="002B7A00">
            <w:pPr>
              <w:pStyle w:val="TableHeading"/>
              <w:keepNext w:val="0"/>
            </w:pPr>
            <w:r w:rsidRPr="00455FDE">
              <w:t>Context</w:t>
            </w:r>
          </w:p>
        </w:tc>
        <w:tc>
          <w:tcPr>
            <w:tcW w:w="8072" w:type="dxa"/>
          </w:tcPr>
          <w:p w14:paraId="45061345" w14:textId="2DA46710" w:rsidR="00455FDE" w:rsidRPr="00455FDE" w:rsidRDefault="00357C5B" w:rsidP="00B75934">
            <w:pPr>
              <w:pStyle w:val="TableText"/>
            </w:pPr>
            <w:r>
              <w:t>The Environment Protection and Biodiversity Conservation Act 1999 is the central pi</w:t>
            </w:r>
            <w:r w:rsidR="00611B33">
              <w:t>e</w:t>
            </w:r>
            <w:r>
              <w:t xml:space="preserve">ce of legislation to protect and manage Australia’s </w:t>
            </w:r>
            <w:r w:rsidR="00611B33">
              <w:t xml:space="preserve">natural </w:t>
            </w:r>
            <w:r>
              <w:t xml:space="preserve">environment. </w:t>
            </w:r>
            <w:r w:rsidR="00455FDE" w:rsidRPr="00455FDE">
              <w:t xml:space="preserve">We are responsible for implementing government environmental reforms following the independent review of the </w:t>
            </w:r>
            <w:r w:rsidR="00611B33" w:rsidRPr="00123EF5">
              <w:t>EPBC Act</w:t>
            </w:r>
            <w:r w:rsidR="00455FDE" w:rsidRPr="00455FDE">
              <w:t>.</w:t>
            </w:r>
            <w:r w:rsidR="00611B33">
              <w:t xml:space="preserve"> Our targets for 2021–22 are outputs to be delivered subject to the passage of legislation by the Australian Parliament.</w:t>
            </w:r>
          </w:p>
        </w:tc>
      </w:tr>
    </w:tbl>
    <w:bookmarkEnd w:id="130"/>
    <w:p w14:paraId="0A70BCFF" w14:textId="13F6B6D7" w:rsidR="00455FDE" w:rsidRPr="00455FDE" w:rsidRDefault="00455FDE" w:rsidP="00DB5B70">
      <w:pPr>
        <w:pStyle w:val="Heading4"/>
      </w:pPr>
      <w:r w:rsidRPr="00455FDE">
        <w:lastRenderedPageBreak/>
        <w:t>Biosecurity</w:t>
      </w:r>
    </w:p>
    <w:p w14:paraId="220F288D" w14:textId="77777777" w:rsidR="00455FDE" w:rsidRPr="00455FDE" w:rsidRDefault="00455FDE" w:rsidP="00B75934">
      <w:pPr>
        <w:keepNext/>
      </w:pPr>
      <w:r w:rsidRPr="00455FDE">
        <w:t>Objective: Work with our partners to lower biosecurity risks to Australian agriculture, the environment and our way of life.</w:t>
      </w:r>
    </w:p>
    <w:p w14:paraId="3A937F9E" w14:textId="7C1DE692" w:rsidR="00455FDE" w:rsidRPr="00DB5B70" w:rsidRDefault="00837ADD" w:rsidP="00DB5B70">
      <w:pPr>
        <w:pStyle w:val="Heading5"/>
      </w:pPr>
      <w:bookmarkStart w:id="131" w:name="_Toc75856607"/>
      <w:r>
        <w:t xml:space="preserve">Performance </w:t>
      </w:r>
      <w:r w:rsidR="003C7A1E" w:rsidRPr="003C7A1E">
        <w:t>criterion</w:t>
      </w:r>
      <w:r>
        <w:t xml:space="preserve">: </w:t>
      </w:r>
      <w:r w:rsidR="00A03F1A">
        <w:t xml:space="preserve">Reduced </w:t>
      </w:r>
      <w:r w:rsidR="00455FDE" w:rsidRPr="00DB5B70">
        <w:t>likelihood of exotic pests and diseases entering and becoming established or spreading in Australia.</w:t>
      </w:r>
      <w:bookmarkEnd w:id="131"/>
    </w:p>
    <w:tbl>
      <w:tblPr>
        <w:tblStyle w:val="TableGrid10"/>
        <w:tblW w:w="0" w:type="auto"/>
        <w:tblBorders>
          <w:left w:val="none" w:sz="0" w:space="0" w:color="auto"/>
          <w:right w:val="none" w:sz="0" w:space="0" w:color="auto"/>
          <w:insideV w:val="none" w:sz="0" w:space="0" w:color="auto"/>
        </w:tblBorders>
        <w:tblLook w:val="04A0" w:firstRow="1" w:lastRow="0" w:firstColumn="1" w:lastColumn="0" w:noHBand="0" w:noVBand="1"/>
      </w:tblPr>
      <w:tblGrid>
        <w:gridCol w:w="988"/>
        <w:gridCol w:w="8072"/>
      </w:tblGrid>
      <w:tr w:rsidR="00051948" w:rsidRPr="00051948" w14:paraId="67ECE195" w14:textId="77777777" w:rsidTr="001325BF">
        <w:trPr>
          <w:cantSplit/>
          <w:trHeight w:val="226"/>
        </w:trPr>
        <w:tc>
          <w:tcPr>
            <w:tcW w:w="988" w:type="dxa"/>
            <w:tcBorders>
              <w:top w:val="nil"/>
              <w:bottom w:val="nil"/>
            </w:tcBorders>
            <w:shd w:val="clear" w:color="auto" w:fill="365F91" w:themeFill="accent1" w:themeFillShade="BF"/>
          </w:tcPr>
          <w:p w14:paraId="4793946F" w14:textId="77777777" w:rsidR="00455FDE" w:rsidRPr="00051948" w:rsidRDefault="00455FDE" w:rsidP="00B75934">
            <w:pPr>
              <w:pStyle w:val="TableHeading"/>
              <w:rPr>
                <w:color w:val="FFFFFF" w:themeColor="background1"/>
              </w:rPr>
            </w:pPr>
            <w:bookmarkStart w:id="132" w:name="RowTitle_12" w:colFirst="0" w:colLast="0"/>
            <w:r w:rsidRPr="00051948">
              <w:rPr>
                <w:color w:val="FFFFFF" w:themeColor="background1"/>
              </w:rPr>
              <w:t>Measure</w:t>
            </w:r>
          </w:p>
        </w:tc>
        <w:tc>
          <w:tcPr>
            <w:tcW w:w="8072" w:type="dxa"/>
            <w:tcBorders>
              <w:top w:val="nil"/>
              <w:bottom w:val="nil"/>
            </w:tcBorders>
            <w:shd w:val="clear" w:color="auto" w:fill="365F91" w:themeFill="accent1" w:themeFillShade="BF"/>
          </w:tcPr>
          <w:p w14:paraId="03B23D78" w14:textId="77777777" w:rsidR="00455FDE" w:rsidRPr="00051948" w:rsidRDefault="00455FDE" w:rsidP="00B75934">
            <w:pPr>
              <w:pStyle w:val="TableText"/>
              <w:rPr>
                <w:color w:val="FFFFFF" w:themeColor="background1"/>
                <w:highlight w:val="yellow"/>
              </w:rPr>
            </w:pPr>
            <w:r w:rsidRPr="00051948">
              <w:rPr>
                <w:color w:val="FFFFFF" w:themeColor="background1"/>
              </w:rPr>
              <w:t>Reduction in risk from targeted priority pests due to biosecurity measures implemented by the department. (Effectiveness)</w:t>
            </w:r>
          </w:p>
        </w:tc>
      </w:tr>
      <w:tr w:rsidR="00761899" w:rsidRPr="00455FDE" w14:paraId="6A2DD55C" w14:textId="77777777" w:rsidTr="001325BF">
        <w:trPr>
          <w:cantSplit/>
          <w:trHeight w:val="138"/>
        </w:trPr>
        <w:tc>
          <w:tcPr>
            <w:tcW w:w="988" w:type="dxa"/>
            <w:tcBorders>
              <w:top w:val="nil"/>
              <w:bottom w:val="nil"/>
            </w:tcBorders>
          </w:tcPr>
          <w:p w14:paraId="05970BCA" w14:textId="77777777" w:rsidR="00761899" w:rsidRPr="00455FDE" w:rsidRDefault="00761899" w:rsidP="00B75934">
            <w:pPr>
              <w:pStyle w:val="TableHeading"/>
            </w:pPr>
            <w:r w:rsidRPr="00455FDE">
              <w:t>Target</w:t>
            </w:r>
          </w:p>
        </w:tc>
        <w:tc>
          <w:tcPr>
            <w:tcW w:w="8072" w:type="dxa"/>
            <w:tcBorders>
              <w:top w:val="nil"/>
            </w:tcBorders>
            <w:shd w:val="clear" w:color="auto" w:fill="auto"/>
          </w:tcPr>
          <w:p w14:paraId="531E4831" w14:textId="77777777" w:rsidR="00761899" w:rsidRDefault="00761899" w:rsidP="00761899">
            <w:pPr>
              <w:pStyle w:val="TableText"/>
            </w:pPr>
            <w:r w:rsidRPr="003F6B53">
              <w:rPr>
                <w:rStyle w:val="Strong"/>
              </w:rPr>
              <w:t>2021–22</w:t>
            </w:r>
            <w:r>
              <w:t>:</w:t>
            </w:r>
            <w:r w:rsidRPr="00455FDE">
              <w:t xml:space="preserve"> African swine fever: Risk-based interventions in mail and traveller pathways including interception rates of pork products.</w:t>
            </w:r>
          </w:p>
          <w:p w14:paraId="4BC4543F" w14:textId="15D9CB43" w:rsidR="00761899" w:rsidRDefault="00761899" w:rsidP="00761899">
            <w:pPr>
              <w:pStyle w:val="TableText"/>
            </w:pPr>
            <w:r w:rsidRPr="003F6B53">
              <w:rPr>
                <w:rStyle w:val="Strong"/>
              </w:rPr>
              <w:t>2022–23</w:t>
            </w:r>
            <w:r>
              <w:t>: As for 2021–22</w:t>
            </w:r>
            <w:r w:rsidR="003F6B53">
              <w:t>.</w:t>
            </w:r>
          </w:p>
          <w:p w14:paraId="45E0C390" w14:textId="5F57740C" w:rsidR="00761899" w:rsidRDefault="00761899" w:rsidP="00761899">
            <w:pPr>
              <w:pStyle w:val="TableText"/>
            </w:pPr>
            <w:r w:rsidRPr="003F6B53">
              <w:rPr>
                <w:rStyle w:val="Strong"/>
              </w:rPr>
              <w:t>2023–24</w:t>
            </w:r>
            <w:r>
              <w:t>: As for 2021–22</w:t>
            </w:r>
            <w:r w:rsidR="003F6B53">
              <w:t>.</w:t>
            </w:r>
          </w:p>
          <w:p w14:paraId="5B4466EF" w14:textId="390BDEBB" w:rsidR="00761899" w:rsidRPr="00455FDE" w:rsidRDefault="00761899" w:rsidP="00761899">
            <w:pPr>
              <w:pStyle w:val="TableText"/>
            </w:pPr>
            <w:r w:rsidRPr="003F6B53">
              <w:rPr>
                <w:rStyle w:val="Strong"/>
              </w:rPr>
              <w:t>2024–25</w:t>
            </w:r>
            <w:r>
              <w:t>: As for 2021–22</w:t>
            </w:r>
            <w:r w:rsidR="003F6B53">
              <w:t>.</w:t>
            </w:r>
          </w:p>
        </w:tc>
      </w:tr>
      <w:tr w:rsidR="00577269" w:rsidRPr="00455FDE" w14:paraId="77001DB6" w14:textId="77777777" w:rsidTr="001325BF">
        <w:trPr>
          <w:cantSplit/>
          <w:trHeight w:val="150"/>
        </w:trPr>
        <w:tc>
          <w:tcPr>
            <w:tcW w:w="988" w:type="dxa"/>
            <w:tcBorders>
              <w:top w:val="nil"/>
              <w:bottom w:val="nil"/>
            </w:tcBorders>
          </w:tcPr>
          <w:p w14:paraId="07235EC6" w14:textId="3B5CED59" w:rsidR="00577269" w:rsidRPr="00761899" w:rsidRDefault="00577269" w:rsidP="00577269">
            <w:pPr>
              <w:pStyle w:val="TableHeading"/>
              <w:rPr>
                <w:color w:val="FFFFFF" w:themeColor="background1"/>
              </w:rPr>
            </w:pPr>
            <w:r w:rsidRPr="00577269">
              <w:t>Target</w:t>
            </w:r>
          </w:p>
        </w:tc>
        <w:tc>
          <w:tcPr>
            <w:tcW w:w="8072" w:type="dxa"/>
            <w:shd w:val="clear" w:color="auto" w:fill="auto"/>
          </w:tcPr>
          <w:p w14:paraId="075FBFAB" w14:textId="77777777" w:rsidR="00577269" w:rsidRDefault="00577269" w:rsidP="00577269">
            <w:pPr>
              <w:pStyle w:val="TableText"/>
            </w:pPr>
            <w:r w:rsidRPr="003F6B53">
              <w:rPr>
                <w:rStyle w:val="Strong"/>
              </w:rPr>
              <w:t>2021–22</w:t>
            </w:r>
            <w:r>
              <w:t>:</w:t>
            </w:r>
            <w:r w:rsidRPr="00455FDE">
              <w:t xml:space="preserve"> Brown marmorated stink bug: Reduced proportion of live insects intercepted due to departmental measures.</w:t>
            </w:r>
          </w:p>
          <w:p w14:paraId="7F48BD7D" w14:textId="176C74C4" w:rsidR="00577269" w:rsidRDefault="00577269" w:rsidP="00577269">
            <w:pPr>
              <w:pStyle w:val="TableText"/>
            </w:pPr>
            <w:r w:rsidRPr="003F6B53">
              <w:rPr>
                <w:rStyle w:val="Strong"/>
              </w:rPr>
              <w:t>2022–23</w:t>
            </w:r>
            <w:r>
              <w:t>: As for 2021–22.</w:t>
            </w:r>
          </w:p>
          <w:p w14:paraId="249A515C" w14:textId="36C84BF6" w:rsidR="00577269" w:rsidRDefault="00577269" w:rsidP="00577269">
            <w:pPr>
              <w:pStyle w:val="TableText"/>
            </w:pPr>
            <w:r w:rsidRPr="003F6B53">
              <w:rPr>
                <w:rStyle w:val="Strong"/>
              </w:rPr>
              <w:t>2023–24</w:t>
            </w:r>
            <w:r>
              <w:t>: As for 2021–22.</w:t>
            </w:r>
          </w:p>
          <w:p w14:paraId="3B5CED15" w14:textId="3D16DE28" w:rsidR="00577269" w:rsidRPr="00455FDE" w:rsidRDefault="00577269" w:rsidP="00577269">
            <w:pPr>
              <w:pStyle w:val="TableText"/>
            </w:pPr>
            <w:r w:rsidRPr="003F6B53">
              <w:rPr>
                <w:rStyle w:val="Strong"/>
              </w:rPr>
              <w:t>2024–25</w:t>
            </w:r>
            <w:r>
              <w:t>: As for 2021–22.</w:t>
            </w:r>
          </w:p>
        </w:tc>
      </w:tr>
      <w:tr w:rsidR="00577269" w:rsidRPr="00455FDE" w14:paraId="5CBE56A5" w14:textId="77777777" w:rsidTr="001325BF">
        <w:trPr>
          <w:cantSplit/>
          <w:trHeight w:val="150"/>
        </w:trPr>
        <w:tc>
          <w:tcPr>
            <w:tcW w:w="988" w:type="dxa"/>
            <w:tcBorders>
              <w:top w:val="nil"/>
              <w:bottom w:val="nil"/>
            </w:tcBorders>
          </w:tcPr>
          <w:p w14:paraId="5A80BC36" w14:textId="57B4E8E6" w:rsidR="00577269" w:rsidRPr="00761899" w:rsidRDefault="00577269" w:rsidP="00577269">
            <w:pPr>
              <w:pStyle w:val="TableHeading"/>
              <w:rPr>
                <w:color w:val="FFFFFF" w:themeColor="background1"/>
              </w:rPr>
            </w:pPr>
            <w:r w:rsidRPr="00577269">
              <w:t>Target</w:t>
            </w:r>
          </w:p>
        </w:tc>
        <w:tc>
          <w:tcPr>
            <w:tcW w:w="8072" w:type="dxa"/>
            <w:shd w:val="clear" w:color="auto" w:fill="auto"/>
          </w:tcPr>
          <w:p w14:paraId="01758A98" w14:textId="77777777" w:rsidR="00577269" w:rsidRDefault="00577269" w:rsidP="00577269">
            <w:pPr>
              <w:pStyle w:val="TableText"/>
            </w:pPr>
            <w:r w:rsidRPr="003F6B53">
              <w:rPr>
                <w:rStyle w:val="Strong"/>
              </w:rPr>
              <w:t>2021–22</w:t>
            </w:r>
            <w:r>
              <w:t>:</w:t>
            </w:r>
            <w:r w:rsidRPr="00455FDE">
              <w:t xml:space="preserve"> Hitchhiker pests including khapra beetle: A comprehensive risk-based intervention method including a reduced number of live insects intercepted at the border in high-risk commodities.</w:t>
            </w:r>
          </w:p>
          <w:p w14:paraId="155290DC" w14:textId="31556A71" w:rsidR="00577269" w:rsidRDefault="00577269" w:rsidP="00577269">
            <w:pPr>
              <w:pStyle w:val="TableText"/>
            </w:pPr>
            <w:r w:rsidRPr="003F6B53">
              <w:rPr>
                <w:rStyle w:val="Strong"/>
              </w:rPr>
              <w:t>2022–23</w:t>
            </w:r>
            <w:r>
              <w:t>: As for 2021–22.</w:t>
            </w:r>
          </w:p>
          <w:p w14:paraId="1B8BFEC6" w14:textId="34E13696" w:rsidR="00577269" w:rsidRDefault="00577269" w:rsidP="00577269">
            <w:pPr>
              <w:pStyle w:val="TableText"/>
            </w:pPr>
            <w:r w:rsidRPr="003F6B53">
              <w:rPr>
                <w:rStyle w:val="Strong"/>
              </w:rPr>
              <w:t>2023–24</w:t>
            </w:r>
            <w:r>
              <w:t>: As for 2021–22.</w:t>
            </w:r>
          </w:p>
          <w:p w14:paraId="7FF1079F" w14:textId="3EF7E18C" w:rsidR="00577269" w:rsidRPr="00455FDE" w:rsidRDefault="00577269" w:rsidP="00577269">
            <w:pPr>
              <w:pStyle w:val="TableText"/>
            </w:pPr>
            <w:r w:rsidRPr="003F6B53">
              <w:rPr>
                <w:rStyle w:val="Strong"/>
              </w:rPr>
              <w:t>2024–25</w:t>
            </w:r>
            <w:r>
              <w:t>: As for 2021–22.</w:t>
            </w:r>
          </w:p>
        </w:tc>
      </w:tr>
      <w:tr w:rsidR="00455FDE" w:rsidRPr="00455FDE" w14:paraId="33E6AD39" w14:textId="77777777" w:rsidTr="001325BF">
        <w:trPr>
          <w:cantSplit/>
        </w:trPr>
        <w:tc>
          <w:tcPr>
            <w:tcW w:w="988" w:type="dxa"/>
            <w:tcBorders>
              <w:top w:val="nil"/>
            </w:tcBorders>
          </w:tcPr>
          <w:p w14:paraId="0D0EE9C3" w14:textId="77777777" w:rsidR="00455FDE" w:rsidRPr="00455FDE" w:rsidRDefault="00455FDE" w:rsidP="00577269">
            <w:pPr>
              <w:pStyle w:val="TableHeading"/>
              <w:keepNext w:val="0"/>
              <w:keepLines/>
            </w:pPr>
            <w:r w:rsidRPr="00455FDE">
              <w:t>Context</w:t>
            </w:r>
          </w:p>
        </w:tc>
        <w:tc>
          <w:tcPr>
            <w:tcW w:w="8072" w:type="dxa"/>
          </w:tcPr>
          <w:p w14:paraId="102A8DF2" w14:textId="1E661842" w:rsidR="00455FDE" w:rsidRPr="00455FDE" w:rsidRDefault="00455FDE" w:rsidP="00577269">
            <w:pPr>
              <w:pStyle w:val="TableText"/>
              <w:keepLines/>
            </w:pPr>
            <w:r w:rsidRPr="00455FDE">
              <w:t xml:space="preserve">This is a proxy measure for the effectiveness of our offshore biosecurity interventions to reduce risks from target pests. </w:t>
            </w:r>
            <w:r w:rsidR="00E86CE6">
              <w:t>We have identified t</w:t>
            </w:r>
            <w:r w:rsidRPr="00455FDE">
              <w:t xml:space="preserve">hese 3 pests </w:t>
            </w:r>
            <w:r w:rsidR="00E86CE6">
              <w:t>as</w:t>
            </w:r>
            <w:r w:rsidRPr="00455FDE">
              <w:t xml:space="preserve"> priority pests.</w:t>
            </w:r>
          </w:p>
          <w:p w14:paraId="4B9447EB" w14:textId="32C1A046" w:rsidR="00455FDE" w:rsidRPr="00455FDE" w:rsidRDefault="00455FDE" w:rsidP="00577269">
            <w:pPr>
              <w:pStyle w:val="TableText"/>
              <w:keepLines/>
            </w:pPr>
            <w:r w:rsidRPr="00455FDE">
              <w:t>Treatments for biosecurity purposes are part of managing the risk of introduction of exotic pests and diseases. It is important that treatment providers in other countries (offshore) understand and follow our requirements to effectively treat consignments for import into Australia.</w:t>
            </w:r>
          </w:p>
          <w:p w14:paraId="1297D565" w14:textId="77777777" w:rsidR="00455FDE" w:rsidRPr="00455FDE" w:rsidRDefault="00455FDE" w:rsidP="00577269">
            <w:pPr>
              <w:pStyle w:val="TableText"/>
              <w:keepLines/>
            </w:pPr>
            <w:r w:rsidRPr="00455FDE">
              <w:t>Offshore fumigation requirements in high-risk countries should reduce the risk in risk commodities. A comprehensive risk-based approach to targeting containers for hitchhiker pests will significantly decrease the biosecurity risk.</w:t>
            </w:r>
          </w:p>
          <w:p w14:paraId="65E2410E" w14:textId="77777777" w:rsidR="00455FDE" w:rsidRPr="00455FDE" w:rsidRDefault="00455FDE" w:rsidP="00577269">
            <w:pPr>
              <w:pStyle w:val="TableText"/>
              <w:keepLines/>
            </w:pPr>
            <w:r w:rsidRPr="00455FDE">
              <w:t>It is likely that interceptions will increase before they are reduced over the longer term.</w:t>
            </w:r>
          </w:p>
        </w:tc>
      </w:tr>
    </w:tbl>
    <w:bookmarkEnd w:id="132"/>
    <w:p w14:paraId="3E7C4235" w14:textId="636DB820" w:rsidR="00455FDE" w:rsidRPr="00DB5B70" w:rsidRDefault="00837ADD" w:rsidP="00DB5B70">
      <w:pPr>
        <w:pStyle w:val="Heading5"/>
      </w:pPr>
      <w:r>
        <w:t xml:space="preserve">Performance </w:t>
      </w:r>
      <w:r w:rsidR="003C7A1E" w:rsidRPr="003C7A1E">
        <w:t>criterion</w:t>
      </w:r>
      <w:r>
        <w:t xml:space="preserve">: </w:t>
      </w:r>
      <w:r w:rsidR="00455FDE" w:rsidRPr="00DB5B70">
        <w:t>Greater shared responsibility across the Australian community and business sectors through improved awareness and understanding.</w:t>
      </w:r>
    </w:p>
    <w:tbl>
      <w:tblPr>
        <w:tblStyle w:val="TableGrid10"/>
        <w:tblW w:w="0" w:type="auto"/>
        <w:tblBorders>
          <w:left w:val="none" w:sz="0" w:space="0" w:color="auto"/>
          <w:right w:val="none" w:sz="0" w:space="0" w:color="auto"/>
          <w:insideV w:val="none" w:sz="0" w:space="0" w:color="auto"/>
        </w:tblBorders>
        <w:tblLook w:val="04A0" w:firstRow="1" w:lastRow="0" w:firstColumn="1" w:lastColumn="0" w:noHBand="0" w:noVBand="1"/>
      </w:tblPr>
      <w:tblGrid>
        <w:gridCol w:w="988"/>
        <w:gridCol w:w="8072"/>
      </w:tblGrid>
      <w:tr w:rsidR="00051948" w:rsidRPr="00051948" w14:paraId="4FC76FD5" w14:textId="77777777" w:rsidTr="001325BF">
        <w:trPr>
          <w:cantSplit/>
          <w:trHeight w:val="226"/>
        </w:trPr>
        <w:tc>
          <w:tcPr>
            <w:tcW w:w="988" w:type="dxa"/>
            <w:tcBorders>
              <w:top w:val="nil"/>
              <w:bottom w:val="nil"/>
            </w:tcBorders>
            <w:shd w:val="clear" w:color="auto" w:fill="365F91" w:themeFill="accent1" w:themeFillShade="BF"/>
          </w:tcPr>
          <w:p w14:paraId="4004B283" w14:textId="77777777" w:rsidR="00455FDE" w:rsidRPr="00051948" w:rsidRDefault="00455FDE" w:rsidP="00B75934">
            <w:pPr>
              <w:pStyle w:val="TableHeading"/>
              <w:rPr>
                <w:color w:val="FFFFFF" w:themeColor="background1"/>
              </w:rPr>
            </w:pPr>
            <w:bookmarkStart w:id="133" w:name="RowTitle_13" w:colFirst="0" w:colLast="0"/>
            <w:r w:rsidRPr="00051948">
              <w:rPr>
                <w:color w:val="FFFFFF" w:themeColor="background1"/>
              </w:rPr>
              <w:t>Measure</w:t>
            </w:r>
          </w:p>
        </w:tc>
        <w:tc>
          <w:tcPr>
            <w:tcW w:w="8072" w:type="dxa"/>
            <w:tcBorders>
              <w:top w:val="nil"/>
              <w:bottom w:val="nil"/>
            </w:tcBorders>
            <w:shd w:val="clear" w:color="auto" w:fill="365F91" w:themeFill="accent1" w:themeFillShade="BF"/>
          </w:tcPr>
          <w:p w14:paraId="0F411B77" w14:textId="77777777" w:rsidR="00455FDE" w:rsidRPr="00051948" w:rsidRDefault="00455FDE" w:rsidP="00B75934">
            <w:pPr>
              <w:pStyle w:val="TableText"/>
              <w:rPr>
                <w:color w:val="FFFFFF" w:themeColor="background1"/>
                <w:highlight w:val="yellow"/>
              </w:rPr>
            </w:pPr>
            <w:r w:rsidRPr="00051948">
              <w:rPr>
                <w:color w:val="FFFFFF" w:themeColor="background1"/>
              </w:rPr>
              <w:t>Increased public engagement with biosecurity information. (Output)</w:t>
            </w:r>
          </w:p>
        </w:tc>
      </w:tr>
      <w:tr w:rsidR="00761899" w:rsidRPr="00455FDE" w14:paraId="0AB05AA9" w14:textId="77777777" w:rsidTr="001325BF">
        <w:trPr>
          <w:cantSplit/>
          <w:trHeight w:val="138"/>
        </w:trPr>
        <w:tc>
          <w:tcPr>
            <w:tcW w:w="988" w:type="dxa"/>
            <w:tcBorders>
              <w:top w:val="nil"/>
              <w:bottom w:val="nil"/>
            </w:tcBorders>
          </w:tcPr>
          <w:p w14:paraId="311A22C9" w14:textId="77777777" w:rsidR="00761899" w:rsidRPr="00455FDE" w:rsidRDefault="00761899" w:rsidP="00B75934">
            <w:pPr>
              <w:pStyle w:val="TableHeading"/>
            </w:pPr>
            <w:r w:rsidRPr="00455FDE">
              <w:t>Target</w:t>
            </w:r>
          </w:p>
        </w:tc>
        <w:tc>
          <w:tcPr>
            <w:tcW w:w="8072" w:type="dxa"/>
            <w:tcBorders>
              <w:top w:val="nil"/>
            </w:tcBorders>
            <w:shd w:val="clear" w:color="auto" w:fill="auto"/>
          </w:tcPr>
          <w:p w14:paraId="6498E99F" w14:textId="77777777" w:rsidR="00761899" w:rsidRDefault="00761899" w:rsidP="00761899">
            <w:pPr>
              <w:pStyle w:val="TableText"/>
            </w:pPr>
            <w:r w:rsidRPr="003F6B53">
              <w:rPr>
                <w:rStyle w:val="Strong"/>
              </w:rPr>
              <w:t>2021–22</w:t>
            </w:r>
            <w:r>
              <w:t>:</w:t>
            </w:r>
            <w:r w:rsidRPr="00455FDE">
              <w:t xml:space="preserve"> Establish baseline.</w:t>
            </w:r>
          </w:p>
          <w:p w14:paraId="59475419" w14:textId="77777777" w:rsidR="00761899" w:rsidRDefault="00761899" w:rsidP="00761899">
            <w:pPr>
              <w:pStyle w:val="TableText"/>
            </w:pPr>
            <w:r w:rsidRPr="003F6B53">
              <w:rPr>
                <w:rStyle w:val="Strong"/>
              </w:rPr>
              <w:t>2022–23</w:t>
            </w:r>
            <w:r>
              <w:t>: To be developed.</w:t>
            </w:r>
          </w:p>
          <w:p w14:paraId="20722D08" w14:textId="77777777" w:rsidR="00761899" w:rsidRDefault="00761899" w:rsidP="00761899">
            <w:pPr>
              <w:pStyle w:val="TableText"/>
            </w:pPr>
            <w:r w:rsidRPr="003F6B53">
              <w:rPr>
                <w:rStyle w:val="Strong"/>
              </w:rPr>
              <w:t>2023–24</w:t>
            </w:r>
            <w:r>
              <w:t>: To be developed</w:t>
            </w:r>
          </w:p>
          <w:p w14:paraId="3FF73B72" w14:textId="57365F9A" w:rsidR="00761899" w:rsidRPr="00455FDE" w:rsidRDefault="00761899" w:rsidP="00761899">
            <w:pPr>
              <w:pStyle w:val="TableText"/>
            </w:pPr>
            <w:r w:rsidRPr="003F6B53">
              <w:rPr>
                <w:rStyle w:val="Strong"/>
              </w:rPr>
              <w:t>2024–25</w:t>
            </w:r>
            <w:r>
              <w:t>: To be developed.</w:t>
            </w:r>
          </w:p>
        </w:tc>
      </w:tr>
      <w:tr w:rsidR="00455FDE" w:rsidRPr="00455FDE" w14:paraId="04CF391D" w14:textId="77777777" w:rsidTr="001325BF">
        <w:trPr>
          <w:cantSplit/>
        </w:trPr>
        <w:tc>
          <w:tcPr>
            <w:tcW w:w="988" w:type="dxa"/>
            <w:tcBorders>
              <w:top w:val="nil"/>
            </w:tcBorders>
          </w:tcPr>
          <w:p w14:paraId="0C53F553" w14:textId="77777777" w:rsidR="00455FDE" w:rsidRPr="00455FDE" w:rsidRDefault="00455FDE" w:rsidP="002B7A00">
            <w:pPr>
              <w:pStyle w:val="TableHeading"/>
              <w:keepNext w:val="0"/>
            </w:pPr>
            <w:r w:rsidRPr="00455FDE">
              <w:t>Context</w:t>
            </w:r>
          </w:p>
        </w:tc>
        <w:tc>
          <w:tcPr>
            <w:tcW w:w="8072" w:type="dxa"/>
          </w:tcPr>
          <w:p w14:paraId="0BF71D37" w14:textId="302D55DF" w:rsidR="00455FDE" w:rsidRPr="00455FDE" w:rsidRDefault="00455FDE" w:rsidP="00B75934">
            <w:pPr>
              <w:pStyle w:val="TableText"/>
            </w:pPr>
            <w:r w:rsidRPr="00455FDE">
              <w:t xml:space="preserve">This measure is aligned to </w:t>
            </w:r>
            <w:r w:rsidRPr="00E86CE6">
              <w:rPr>
                <w:i/>
                <w:iCs/>
              </w:rPr>
              <w:t xml:space="preserve">Commonwealth </w:t>
            </w:r>
            <w:r w:rsidR="008E7822" w:rsidRPr="00E86CE6">
              <w:rPr>
                <w:i/>
                <w:iCs/>
              </w:rPr>
              <w:t>Biosecurity</w:t>
            </w:r>
            <w:r w:rsidR="008E7822">
              <w:rPr>
                <w:i/>
                <w:iCs/>
              </w:rPr>
              <w:t> </w:t>
            </w:r>
            <w:r w:rsidR="0009166C" w:rsidRPr="00B75934">
              <w:rPr>
                <w:i/>
                <w:iCs/>
              </w:rPr>
              <w:t>2030</w:t>
            </w:r>
            <w:r w:rsidR="0009166C">
              <w:t>, specifically the strategic action of ‘</w:t>
            </w:r>
            <w:r w:rsidRPr="00455FDE">
              <w:t>Generat</w:t>
            </w:r>
            <w:r w:rsidR="0009166C">
              <w:t>e</w:t>
            </w:r>
            <w:r w:rsidRPr="00455FDE">
              <w:t xml:space="preserve"> greater shared responsibility through improved awareness and understanding</w:t>
            </w:r>
            <w:r w:rsidR="0009166C">
              <w:t>’</w:t>
            </w:r>
            <w:r w:rsidRPr="00455FDE">
              <w:t>.</w:t>
            </w:r>
          </w:p>
          <w:p w14:paraId="222872F7" w14:textId="77777777" w:rsidR="00455FDE" w:rsidRPr="00455FDE" w:rsidRDefault="00455FDE" w:rsidP="00B75934">
            <w:pPr>
              <w:pStyle w:val="TableText"/>
            </w:pPr>
            <w:r w:rsidRPr="00455FDE">
              <w:t>We seek to enhance engagement, awareness and understanding of biosecurity risks across the Australian community and business sectors.</w:t>
            </w:r>
          </w:p>
        </w:tc>
      </w:tr>
    </w:tbl>
    <w:bookmarkEnd w:id="133"/>
    <w:p w14:paraId="4142B39C" w14:textId="4B7DFBB8" w:rsidR="00455FDE" w:rsidRPr="00DB5B70" w:rsidRDefault="0009166C" w:rsidP="00DB5B70">
      <w:pPr>
        <w:pStyle w:val="Heading5"/>
      </w:pPr>
      <w:r>
        <w:lastRenderedPageBreak/>
        <w:t xml:space="preserve">Performance </w:t>
      </w:r>
      <w:r w:rsidR="003C7A1E" w:rsidRPr="003C7A1E">
        <w:t>criterion</w:t>
      </w:r>
      <w:r>
        <w:t xml:space="preserve">: </w:t>
      </w:r>
      <w:r w:rsidR="00455FDE" w:rsidRPr="00DB5B70">
        <w:t>Regulation, incident management and service delivery management of biosecurity outcomes.</w:t>
      </w:r>
    </w:p>
    <w:tbl>
      <w:tblPr>
        <w:tblStyle w:val="TableGrid10"/>
        <w:tblW w:w="0" w:type="auto"/>
        <w:tblBorders>
          <w:left w:val="none" w:sz="0" w:space="0" w:color="auto"/>
          <w:right w:val="none" w:sz="0" w:space="0" w:color="auto"/>
          <w:insideV w:val="none" w:sz="0" w:space="0" w:color="auto"/>
        </w:tblBorders>
        <w:tblLook w:val="04A0" w:firstRow="1" w:lastRow="0" w:firstColumn="1" w:lastColumn="0" w:noHBand="0" w:noVBand="1"/>
      </w:tblPr>
      <w:tblGrid>
        <w:gridCol w:w="988"/>
        <w:gridCol w:w="8072"/>
      </w:tblGrid>
      <w:tr w:rsidR="00051948" w:rsidRPr="00051948" w14:paraId="2BF3FE3A" w14:textId="77777777" w:rsidTr="001325BF">
        <w:trPr>
          <w:cantSplit/>
          <w:trHeight w:val="226"/>
        </w:trPr>
        <w:tc>
          <w:tcPr>
            <w:tcW w:w="988" w:type="dxa"/>
            <w:tcBorders>
              <w:top w:val="nil"/>
              <w:bottom w:val="nil"/>
            </w:tcBorders>
            <w:shd w:val="clear" w:color="auto" w:fill="365F91" w:themeFill="accent1" w:themeFillShade="BF"/>
          </w:tcPr>
          <w:p w14:paraId="36F13A52" w14:textId="77777777" w:rsidR="00455FDE" w:rsidRPr="00051948" w:rsidRDefault="00455FDE" w:rsidP="00B75934">
            <w:pPr>
              <w:pStyle w:val="TableHeading"/>
              <w:rPr>
                <w:color w:val="FFFFFF" w:themeColor="background1"/>
              </w:rPr>
            </w:pPr>
            <w:bookmarkStart w:id="134" w:name="RowTitle_14" w:colFirst="0" w:colLast="0"/>
            <w:r w:rsidRPr="00051948">
              <w:rPr>
                <w:color w:val="FFFFFF" w:themeColor="background1"/>
              </w:rPr>
              <w:t>Measure</w:t>
            </w:r>
          </w:p>
        </w:tc>
        <w:tc>
          <w:tcPr>
            <w:tcW w:w="8072" w:type="dxa"/>
            <w:tcBorders>
              <w:top w:val="nil"/>
              <w:bottom w:val="nil"/>
            </w:tcBorders>
            <w:shd w:val="clear" w:color="auto" w:fill="365F91" w:themeFill="accent1" w:themeFillShade="BF"/>
          </w:tcPr>
          <w:p w14:paraId="5F571CAD" w14:textId="77777777" w:rsidR="00455FDE" w:rsidRPr="00051948" w:rsidRDefault="00455FDE" w:rsidP="00B75934">
            <w:pPr>
              <w:pStyle w:val="TableText"/>
              <w:rPr>
                <w:color w:val="FFFFFF" w:themeColor="background1"/>
                <w:highlight w:val="yellow"/>
              </w:rPr>
            </w:pPr>
            <w:r w:rsidRPr="00051948">
              <w:rPr>
                <w:color w:val="FFFFFF" w:themeColor="background1"/>
              </w:rPr>
              <w:t>Reduced levels of non-compliance with regulations administered by the department. (Effectiveness)</w:t>
            </w:r>
          </w:p>
        </w:tc>
      </w:tr>
      <w:tr w:rsidR="00761899" w:rsidRPr="00455FDE" w14:paraId="0BC05339" w14:textId="77777777" w:rsidTr="001325BF">
        <w:trPr>
          <w:cantSplit/>
          <w:trHeight w:val="138"/>
        </w:trPr>
        <w:tc>
          <w:tcPr>
            <w:tcW w:w="988" w:type="dxa"/>
            <w:tcBorders>
              <w:top w:val="nil"/>
              <w:bottom w:val="nil"/>
            </w:tcBorders>
          </w:tcPr>
          <w:p w14:paraId="4A6CC7B1" w14:textId="77777777" w:rsidR="00761899" w:rsidRPr="00455FDE" w:rsidRDefault="00761899" w:rsidP="00B75934">
            <w:pPr>
              <w:pStyle w:val="TableHeading"/>
            </w:pPr>
            <w:r w:rsidRPr="00455FDE">
              <w:t>Target</w:t>
            </w:r>
          </w:p>
        </w:tc>
        <w:tc>
          <w:tcPr>
            <w:tcW w:w="8072" w:type="dxa"/>
            <w:tcBorders>
              <w:top w:val="nil"/>
            </w:tcBorders>
            <w:shd w:val="clear" w:color="auto" w:fill="auto"/>
          </w:tcPr>
          <w:p w14:paraId="31E28E05" w14:textId="77777777" w:rsidR="00761899" w:rsidRDefault="00761899" w:rsidP="00761899">
            <w:pPr>
              <w:pStyle w:val="TableText"/>
            </w:pPr>
            <w:r w:rsidRPr="003F6B53">
              <w:rPr>
                <w:rStyle w:val="Strong"/>
              </w:rPr>
              <w:t>2021–22</w:t>
            </w:r>
            <w:r>
              <w:t>:</w:t>
            </w:r>
            <w:r w:rsidRPr="00455FDE">
              <w:t xml:space="preserve"> High</w:t>
            </w:r>
            <w:r>
              <w:t>-</w:t>
            </w:r>
            <w:r w:rsidRPr="00455FDE">
              <w:t>value cargo non</w:t>
            </w:r>
            <w:r w:rsidRPr="00455FDE">
              <w:noBreakHyphen/>
              <w:t>compliance rate.</w:t>
            </w:r>
          </w:p>
          <w:p w14:paraId="5B6F3307" w14:textId="46949585" w:rsidR="00761899" w:rsidRDefault="00761899" w:rsidP="00761899">
            <w:pPr>
              <w:pStyle w:val="TableText"/>
            </w:pPr>
            <w:r w:rsidRPr="003F6B53">
              <w:rPr>
                <w:rStyle w:val="Strong"/>
              </w:rPr>
              <w:t>2022–23</w:t>
            </w:r>
            <w:r>
              <w:t>:</w:t>
            </w:r>
            <w:r w:rsidRPr="000012A2">
              <w:t xml:space="preserve"> As for 2021–22</w:t>
            </w:r>
            <w:r w:rsidR="003F6B53">
              <w:t>.</w:t>
            </w:r>
          </w:p>
          <w:p w14:paraId="54056BE2" w14:textId="4D38EB1A" w:rsidR="00761899" w:rsidRDefault="00761899" w:rsidP="00761899">
            <w:pPr>
              <w:pStyle w:val="TableText"/>
            </w:pPr>
            <w:r w:rsidRPr="003F6B53">
              <w:rPr>
                <w:rStyle w:val="Strong"/>
              </w:rPr>
              <w:t>2023–24</w:t>
            </w:r>
            <w:r>
              <w:t>:</w:t>
            </w:r>
            <w:r w:rsidRPr="000012A2">
              <w:t xml:space="preserve"> As for 2021–22</w:t>
            </w:r>
            <w:r w:rsidR="003F6B53">
              <w:t>.</w:t>
            </w:r>
          </w:p>
          <w:p w14:paraId="65912188" w14:textId="1BA031D8" w:rsidR="00761899" w:rsidRPr="00455FDE" w:rsidRDefault="00761899" w:rsidP="00761899">
            <w:pPr>
              <w:pStyle w:val="TableText"/>
            </w:pPr>
            <w:r w:rsidRPr="003F6B53">
              <w:rPr>
                <w:rStyle w:val="Strong"/>
              </w:rPr>
              <w:t>2024–25</w:t>
            </w:r>
            <w:r>
              <w:t>:</w:t>
            </w:r>
            <w:r w:rsidRPr="000012A2">
              <w:t xml:space="preserve"> As for 2021–22</w:t>
            </w:r>
            <w:r w:rsidR="003F6B53">
              <w:t>.</w:t>
            </w:r>
          </w:p>
        </w:tc>
      </w:tr>
      <w:tr w:rsidR="00577269" w:rsidRPr="00455FDE" w14:paraId="2F5F84D9" w14:textId="77777777" w:rsidTr="001325BF">
        <w:trPr>
          <w:cantSplit/>
          <w:trHeight w:val="150"/>
        </w:trPr>
        <w:tc>
          <w:tcPr>
            <w:tcW w:w="988" w:type="dxa"/>
            <w:tcBorders>
              <w:top w:val="nil"/>
              <w:bottom w:val="nil"/>
            </w:tcBorders>
          </w:tcPr>
          <w:p w14:paraId="6D3F1F21" w14:textId="599D7CD4" w:rsidR="00577269" w:rsidRPr="00761899" w:rsidRDefault="00577269" w:rsidP="00577269">
            <w:pPr>
              <w:pStyle w:val="TableHeading"/>
              <w:rPr>
                <w:color w:val="FFFFFF" w:themeColor="background1"/>
              </w:rPr>
            </w:pPr>
            <w:r w:rsidRPr="00577269">
              <w:t>Target</w:t>
            </w:r>
          </w:p>
        </w:tc>
        <w:tc>
          <w:tcPr>
            <w:tcW w:w="8072" w:type="dxa"/>
            <w:shd w:val="clear" w:color="auto" w:fill="auto"/>
          </w:tcPr>
          <w:p w14:paraId="5C8833B2" w14:textId="77777777" w:rsidR="00577269" w:rsidRDefault="00577269" w:rsidP="00577269">
            <w:pPr>
              <w:pStyle w:val="TableText"/>
            </w:pPr>
            <w:r w:rsidRPr="003F6B53">
              <w:rPr>
                <w:rStyle w:val="Strong"/>
              </w:rPr>
              <w:t>2021–22</w:t>
            </w:r>
            <w:r>
              <w:t>:</w:t>
            </w:r>
            <w:r w:rsidRPr="00455FDE">
              <w:t xml:space="preserve"> Approved Arrangements non</w:t>
            </w:r>
            <w:r w:rsidRPr="00455FDE">
              <w:noBreakHyphen/>
              <w:t>compliance rate.</w:t>
            </w:r>
          </w:p>
          <w:p w14:paraId="70342720" w14:textId="6BA4E66F" w:rsidR="00577269" w:rsidRDefault="00577269" w:rsidP="00577269">
            <w:pPr>
              <w:pStyle w:val="TableText"/>
            </w:pPr>
            <w:r w:rsidRPr="003F6B53">
              <w:rPr>
                <w:rStyle w:val="Strong"/>
              </w:rPr>
              <w:t>2022–23</w:t>
            </w:r>
            <w:r>
              <w:t>:</w:t>
            </w:r>
            <w:r w:rsidRPr="000012A2">
              <w:t xml:space="preserve"> As for 2021–22</w:t>
            </w:r>
            <w:r>
              <w:t>.</w:t>
            </w:r>
          </w:p>
          <w:p w14:paraId="1BCDF34F" w14:textId="30292EA8" w:rsidR="00577269" w:rsidRDefault="00577269" w:rsidP="00577269">
            <w:pPr>
              <w:pStyle w:val="TableText"/>
            </w:pPr>
            <w:r w:rsidRPr="003F6B53">
              <w:rPr>
                <w:rStyle w:val="Strong"/>
              </w:rPr>
              <w:t>2023–24</w:t>
            </w:r>
            <w:r>
              <w:t>:</w:t>
            </w:r>
            <w:r w:rsidRPr="000012A2">
              <w:t xml:space="preserve"> As for 2021–22</w:t>
            </w:r>
            <w:r>
              <w:t>.</w:t>
            </w:r>
          </w:p>
          <w:p w14:paraId="0F579E45" w14:textId="36EFA019" w:rsidR="00577269" w:rsidRPr="00455FDE" w:rsidRDefault="00577269" w:rsidP="00577269">
            <w:pPr>
              <w:pStyle w:val="TableText"/>
            </w:pPr>
            <w:r w:rsidRPr="003F6B53">
              <w:rPr>
                <w:rStyle w:val="Strong"/>
              </w:rPr>
              <w:t>2024–25</w:t>
            </w:r>
            <w:r>
              <w:t>:</w:t>
            </w:r>
            <w:r w:rsidRPr="000012A2">
              <w:t xml:space="preserve"> As for 2021–22</w:t>
            </w:r>
            <w:r>
              <w:t>.</w:t>
            </w:r>
          </w:p>
        </w:tc>
      </w:tr>
      <w:tr w:rsidR="00577269" w:rsidRPr="00455FDE" w14:paraId="5EC45FAD" w14:textId="77777777" w:rsidTr="001325BF">
        <w:trPr>
          <w:cantSplit/>
          <w:trHeight w:val="150"/>
        </w:trPr>
        <w:tc>
          <w:tcPr>
            <w:tcW w:w="988" w:type="dxa"/>
            <w:tcBorders>
              <w:top w:val="nil"/>
              <w:bottom w:val="nil"/>
            </w:tcBorders>
          </w:tcPr>
          <w:p w14:paraId="7E78531E" w14:textId="59B1C151" w:rsidR="00577269" w:rsidRPr="00761899" w:rsidRDefault="00577269" w:rsidP="00577269">
            <w:pPr>
              <w:pStyle w:val="TableHeading"/>
              <w:rPr>
                <w:color w:val="FFFFFF" w:themeColor="background1"/>
              </w:rPr>
            </w:pPr>
            <w:r w:rsidRPr="00577269">
              <w:t>Target</w:t>
            </w:r>
          </w:p>
        </w:tc>
        <w:tc>
          <w:tcPr>
            <w:tcW w:w="8072" w:type="dxa"/>
            <w:shd w:val="clear" w:color="auto" w:fill="auto"/>
          </w:tcPr>
          <w:p w14:paraId="4ED11BB0" w14:textId="77777777" w:rsidR="00577269" w:rsidRDefault="00577269" w:rsidP="00577269">
            <w:pPr>
              <w:pStyle w:val="TableText"/>
            </w:pPr>
            <w:r w:rsidRPr="003F6B53">
              <w:rPr>
                <w:rStyle w:val="Strong"/>
              </w:rPr>
              <w:t>2021–22</w:t>
            </w:r>
            <w:r>
              <w:t>:</w:t>
            </w:r>
            <w:r w:rsidRPr="00455FDE">
              <w:t xml:space="preserve"> Post-intervention non-compliance rate for international travellers.</w:t>
            </w:r>
          </w:p>
          <w:p w14:paraId="47201969" w14:textId="21DDBA59" w:rsidR="00577269" w:rsidRDefault="00577269" w:rsidP="00577269">
            <w:pPr>
              <w:pStyle w:val="TableText"/>
            </w:pPr>
            <w:r w:rsidRPr="003F6B53">
              <w:rPr>
                <w:rStyle w:val="Strong"/>
              </w:rPr>
              <w:t>2022–23</w:t>
            </w:r>
            <w:r>
              <w:t>:</w:t>
            </w:r>
            <w:r w:rsidRPr="000012A2">
              <w:t xml:space="preserve"> As for 2021–22</w:t>
            </w:r>
            <w:r>
              <w:t>.</w:t>
            </w:r>
          </w:p>
          <w:p w14:paraId="357BAF41" w14:textId="5242A4F3" w:rsidR="00577269" w:rsidRDefault="00577269" w:rsidP="00577269">
            <w:pPr>
              <w:pStyle w:val="TableText"/>
            </w:pPr>
            <w:r w:rsidRPr="003F6B53">
              <w:rPr>
                <w:rStyle w:val="Strong"/>
              </w:rPr>
              <w:t>2023–24</w:t>
            </w:r>
            <w:r>
              <w:t>:</w:t>
            </w:r>
            <w:r w:rsidRPr="000012A2">
              <w:t xml:space="preserve"> As for 2021–22</w:t>
            </w:r>
            <w:r>
              <w:t>.</w:t>
            </w:r>
          </w:p>
          <w:p w14:paraId="3D180D56" w14:textId="61BED617" w:rsidR="00577269" w:rsidRPr="00455FDE" w:rsidRDefault="00577269" w:rsidP="00577269">
            <w:pPr>
              <w:pStyle w:val="TableText"/>
            </w:pPr>
            <w:r w:rsidRPr="003F6B53">
              <w:rPr>
                <w:rStyle w:val="Strong"/>
              </w:rPr>
              <w:t>2024–25</w:t>
            </w:r>
            <w:r>
              <w:t>:</w:t>
            </w:r>
            <w:r w:rsidRPr="000012A2">
              <w:t xml:space="preserve"> As for 2021–22</w:t>
            </w:r>
            <w:r>
              <w:t>.</w:t>
            </w:r>
          </w:p>
        </w:tc>
      </w:tr>
      <w:tr w:rsidR="00455FDE" w:rsidRPr="00455FDE" w14:paraId="21714563" w14:textId="77777777" w:rsidTr="001325BF">
        <w:trPr>
          <w:cantSplit/>
        </w:trPr>
        <w:tc>
          <w:tcPr>
            <w:tcW w:w="988" w:type="dxa"/>
            <w:tcBorders>
              <w:top w:val="nil"/>
              <w:bottom w:val="nil"/>
            </w:tcBorders>
          </w:tcPr>
          <w:p w14:paraId="2E975BF8" w14:textId="77777777" w:rsidR="00455FDE" w:rsidRPr="00455FDE" w:rsidRDefault="00455FDE" w:rsidP="002B7A00">
            <w:pPr>
              <w:pStyle w:val="TableHeading"/>
              <w:keepNext w:val="0"/>
            </w:pPr>
            <w:r w:rsidRPr="00455FDE">
              <w:t>Context</w:t>
            </w:r>
          </w:p>
        </w:tc>
        <w:tc>
          <w:tcPr>
            <w:tcW w:w="8072" w:type="dxa"/>
            <w:tcBorders>
              <w:bottom w:val="nil"/>
            </w:tcBorders>
          </w:tcPr>
          <w:p w14:paraId="6608F2A9" w14:textId="3CEB1913" w:rsidR="00E34AAE" w:rsidRDefault="00455FDE" w:rsidP="00E34AAE">
            <w:pPr>
              <w:pStyle w:val="TableText"/>
            </w:pPr>
            <w:r w:rsidRPr="00455FDE">
              <w:t>We work to advise and raise awareness of the requirements of regulations. We conduct activities</w:t>
            </w:r>
            <w:r w:rsidR="00E34AAE">
              <w:t>, such as</w:t>
            </w:r>
            <w:r w:rsidRPr="00455FDE">
              <w:t xml:space="preserve"> inspections, application checks and audits</w:t>
            </w:r>
            <w:r w:rsidR="00E34AAE">
              <w:t>,</w:t>
            </w:r>
            <w:r w:rsidRPr="00455FDE">
              <w:t xml:space="preserve"> to ensure </w:t>
            </w:r>
            <w:r w:rsidR="00E34AAE">
              <w:t xml:space="preserve">compliance with </w:t>
            </w:r>
            <w:r w:rsidRPr="00455FDE">
              <w:t>requirements. Reducing rates of non-compliance will reflect improved regulatory functions.</w:t>
            </w:r>
          </w:p>
          <w:p w14:paraId="7FB0170D" w14:textId="22AEFA8B" w:rsidR="00E34AAE" w:rsidRPr="00455FDE" w:rsidRDefault="00E34AAE" w:rsidP="00761899">
            <w:pPr>
              <w:pStyle w:val="TableText"/>
            </w:pPr>
            <w:r>
              <w:t>W</w:t>
            </w:r>
            <w:r w:rsidRPr="00455FDE">
              <w:t xml:space="preserve">e maintain high-quality non-compliance data </w:t>
            </w:r>
            <w:r>
              <w:t>on 3</w:t>
            </w:r>
            <w:r w:rsidR="008E7822">
              <w:t> </w:t>
            </w:r>
            <w:r w:rsidR="00455FDE" w:rsidRPr="00455FDE">
              <w:t xml:space="preserve">areas. The </w:t>
            </w:r>
            <w:r>
              <w:t xml:space="preserve">targets are </w:t>
            </w:r>
            <w:r w:rsidR="00455FDE" w:rsidRPr="00455FDE">
              <w:t>structured around reducing non-compliance in these areas.</w:t>
            </w:r>
          </w:p>
        </w:tc>
      </w:tr>
      <w:tr w:rsidR="00051948" w:rsidRPr="00051948" w14:paraId="7FFBB052" w14:textId="77777777" w:rsidTr="001325BF">
        <w:trPr>
          <w:cantSplit/>
          <w:trHeight w:val="226"/>
        </w:trPr>
        <w:tc>
          <w:tcPr>
            <w:tcW w:w="988" w:type="dxa"/>
            <w:tcBorders>
              <w:top w:val="nil"/>
              <w:bottom w:val="nil"/>
            </w:tcBorders>
            <w:shd w:val="clear" w:color="auto" w:fill="365F91" w:themeFill="accent1" w:themeFillShade="BF"/>
          </w:tcPr>
          <w:p w14:paraId="67CD6D4A" w14:textId="77777777" w:rsidR="00455FDE" w:rsidRPr="00051948" w:rsidRDefault="00455FDE" w:rsidP="00B75934">
            <w:pPr>
              <w:pStyle w:val="TableHeading"/>
              <w:rPr>
                <w:color w:val="FFFFFF" w:themeColor="background1"/>
              </w:rPr>
            </w:pPr>
            <w:r w:rsidRPr="00051948">
              <w:rPr>
                <w:color w:val="FFFFFF" w:themeColor="background1"/>
              </w:rPr>
              <w:t>Measure</w:t>
            </w:r>
          </w:p>
        </w:tc>
        <w:tc>
          <w:tcPr>
            <w:tcW w:w="8072" w:type="dxa"/>
            <w:tcBorders>
              <w:top w:val="nil"/>
              <w:bottom w:val="nil"/>
            </w:tcBorders>
            <w:shd w:val="clear" w:color="auto" w:fill="365F91" w:themeFill="accent1" w:themeFillShade="BF"/>
          </w:tcPr>
          <w:p w14:paraId="4EE69C01" w14:textId="77777777" w:rsidR="00455FDE" w:rsidRPr="00051948" w:rsidRDefault="00455FDE" w:rsidP="00B75934">
            <w:pPr>
              <w:pStyle w:val="TableText"/>
              <w:rPr>
                <w:color w:val="FFFFFF" w:themeColor="background1"/>
                <w:highlight w:val="yellow"/>
              </w:rPr>
            </w:pPr>
            <w:r w:rsidRPr="00051948">
              <w:rPr>
                <w:color w:val="FFFFFF" w:themeColor="background1"/>
              </w:rPr>
              <w:t>Increased responsiveness to post border-detections. (Effectiveness)</w:t>
            </w:r>
          </w:p>
        </w:tc>
      </w:tr>
      <w:tr w:rsidR="00761899" w:rsidRPr="00455FDE" w14:paraId="09B78965" w14:textId="77777777" w:rsidTr="001325BF">
        <w:trPr>
          <w:cantSplit/>
          <w:trHeight w:val="138"/>
        </w:trPr>
        <w:tc>
          <w:tcPr>
            <w:tcW w:w="988" w:type="dxa"/>
            <w:tcBorders>
              <w:top w:val="nil"/>
              <w:bottom w:val="nil"/>
            </w:tcBorders>
          </w:tcPr>
          <w:p w14:paraId="75A83172" w14:textId="77777777" w:rsidR="00761899" w:rsidRPr="00455FDE" w:rsidRDefault="00761899" w:rsidP="00B75934">
            <w:pPr>
              <w:pStyle w:val="TableHeading"/>
            </w:pPr>
            <w:r w:rsidRPr="00455FDE">
              <w:t>Target</w:t>
            </w:r>
          </w:p>
        </w:tc>
        <w:tc>
          <w:tcPr>
            <w:tcW w:w="8072" w:type="dxa"/>
            <w:tcBorders>
              <w:top w:val="nil"/>
            </w:tcBorders>
            <w:shd w:val="clear" w:color="auto" w:fill="auto"/>
          </w:tcPr>
          <w:p w14:paraId="52093AFC" w14:textId="77777777" w:rsidR="00761899" w:rsidRDefault="00761899" w:rsidP="00761899">
            <w:pPr>
              <w:pStyle w:val="TableText"/>
            </w:pPr>
            <w:r w:rsidRPr="003F6B53">
              <w:rPr>
                <w:rStyle w:val="Strong"/>
              </w:rPr>
              <w:t>2021–22</w:t>
            </w:r>
            <w:r>
              <w:t>:</w:t>
            </w:r>
            <w:r w:rsidRPr="00455FDE">
              <w:t xml:space="preserve"> Incidents</w:t>
            </w:r>
            <w:r>
              <w:t xml:space="preserve"> are</w:t>
            </w:r>
            <w:r w:rsidRPr="00455FDE">
              <w:t xml:space="preserve"> managed in a timely way to decrease the risk to the environment.</w:t>
            </w:r>
          </w:p>
          <w:p w14:paraId="4728B754" w14:textId="71282C0F" w:rsidR="00761899" w:rsidRDefault="00761899" w:rsidP="00761899">
            <w:pPr>
              <w:pStyle w:val="TableText"/>
            </w:pPr>
            <w:r w:rsidRPr="003F6B53">
              <w:rPr>
                <w:rStyle w:val="Strong"/>
              </w:rPr>
              <w:t>2022–23</w:t>
            </w:r>
            <w:r>
              <w:t>:</w:t>
            </w:r>
            <w:r w:rsidRPr="000012A2">
              <w:t xml:space="preserve"> As for 2021–22</w:t>
            </w:r>
            <w:r w:rsidR="003F6B53">
              <w:t>.</w:t>
            </w:r>
          </w:p>
          <w:p w14:paraId="000DECEF" w14:textId="2D2F3762" w:rsidR="00761899" w:rsidRDefault="00761899" w:rsidP="00761899">
            <w:pPr>
              <w:pStyle w:val="TableText"/>
            </w:pPr>
            <w:r w:rsidRPr="003F6B53">
              <w:rPr>
                <w:rStyle w:val="Strong"/>
              </w:rPr>
              <w:t>2023–24</w:t>
            </w:r>
            <w:r>
              <w:t>:</w:t>
            </w:r>
            <w:r w:rsidRPr="000012A2">
              <w:t xml:space="preserve"> As for 2021–22</w:t>
            </w:r>
            <w:r w:rsidR="003F6B53">
              <w:t>.</w:t>
            </w:r>
          </w:p>
          <w:p w14:paraId="6AB3AB17" w14:textId="076C6EDD" w:rsidR="00761899" w:rsidRPr="00455FDE" w:rsidRDefault="00761899" w:rsidP="00761899">
            <w:pPr>
              <w:pStyle w:val="TableText"/>
            </w:pPr>
            <w:r w:rsidRPr="003F6B53">
              <w:rPr>
                <w:rStyle w:val="Strong"/>
              </w:rPr>
              <w:t>2024–25</w:t>
            </w:r>
            <w:r>
              <w:t>:</w:t>
            </w:r>
            <w:r w:rsidRPr="000012A2">
              <w:t xml:space="preserve"> As for 2021–22</w:t>
            </w:r>
            <w:r w:rsidR="003F6B53">
              <w:t>.</w:t>
            </w:r>
          </w:p>
        </w:tc>
      </w:tr>
      <w:tr w:rsidR="00455FDE" w:rsidRPr="00455FDE" w14:paraId="38FB22FE" w14:textId="77777777" w:rsidTr="001325BF">
        <w:trPr>
          <w:cantSplit/>
        </w:trPr>
        <w:tc>
          <w:tcPr>
            <w:tcW w:w="988" w:type="dxa"/>
            <w:tcBorders>
              <w:top w:val="nil"/>
              <w:bottom w:val="nil"/>
            </w:tcBorders>
          </w:tcPr>
          <w:p w14:paraId="080FAE77" w14:textId="77777777" w:rsidR="00455FDE" w:rsidRPr="00455FDE" w:rsidRDefault="00455FDE" w:rsidP="002B7A00">
            <w:pPr>
              <w:pStyle w:val="TableHeading"/>
              <w:keepNext w:val="0"/>
            </w:pPr>
            <w:r w:rsidRPr="00455FDE">
              <w:t>Context</w:t>
            </w:r>
          </w:p>
        </w:tc>
        <w:tc>
          <w:tcPr>
            <w:tcW w:w="8072" w:type="dxa"/>
            <w:tcBorders>
              <w:bottom w:val="nil"/>
            </w:tcBorders>
          </w:tcPr>
          <w:p w14:paraId="5CA4CA8B" w14:textId="13303608" w:rsidR="00F867D6" w:rsidRPr="00455FDE" w:rsidRDefault="00455FDE" w:rsidP="00761899">
            <w:pPr>
              <w:pStyle w:val="TableText"/>
            </w:pPr>
            <w:r w:rsidRPr="00455FDE">
              <w:t>We collaborate with state and territory governments to coordinate national resources, operational and technical support and information for the public during pest and disease outbreaks. This is a measure of our responsiveness to biosecurity detections.</w:t>
            </w:r>
          </w:p>
        </w:tc>
      </w:tr>
      <w:tr w:rsidR="00051948" w:rsidRPr="00051948" w14:paraId="6110B9C9" w14:textId="77777777" w:rsidTr="001325BF">
        <w:trPr>
          <w:cantSplit/>
          <w:trHeight w:val="226"/>
        </w:trPr>
        <w:tc>
          <w:tcPr>
            <w:tcW w:w="988" w:type="dxa"/>
            <w:tcBorders>
              <w:top w:val="nil"/>
              <w:bottom w:val="nil"/>
            </w:tcBorders>
            <w:shd w:val="clear" w:color="auto" w:fill="365F91" w:themeFill="accent1" w:themeFillShade="BF"/>
          </w:tcPr>
          <w:p w14:paraId="0EAADD2D" w14:textId="77777777" w:rsidR="00455FDE" w:rsidRPr="00051948" w:rsidRDefault="00455FDE" w:rsidP="00B75934">
            <w:pPr>
              <w:pStyle w:val="TableHeading"/>
              <w:rPr>
                <w:color w:val="FFFFFF" w:themeColor="background1"/>
              </w:rPr>
            </w:pPr>
            <w:r w:rsidRPr="00051948">
              <w:rPr>
                <w:color w:val="FFFFFF" w:themeColor="background1"/>
              </w:rPr>
              <w:t>Measure</w:t>
            </w:r>
          </w:p>
        </w:tc>
        <w:tc>
          <w:tcPr>
            <w:tcW w:w="8072" w:type="dxa"/>
            <w:tcBorders>
              <w:top w:val="nil"/>
              <w:bottom w:val="nil"/>
            </w:tcBorders>
            <w:shd w:val="clear" w:color="auto" w:fill="365F91" w:themeFill="accent1" w:themeFillShade="BF"/>
          </w:tcPr>
          <w:p w14:paraId="4BF3BFC5" w14:textId="77777777" w:rsidR="00455FDE" w:rsidRPr="00051948" w:rsidRDefault="00455FDE" w:rsidP="00B75934">
            <w:pPr>
              <w:pStyle w:val="TableText"/>
              <w:rPr>
                <w:color w:val="FFFFFF" w:themeColor="background1"/>
                <w:highlight w:val="yellow"/>
              </w:rPr>
            </w:pPr>
            <w:r w:rsidRPr="00051948">
              <w:rPr>
                <w:color w:val="FFFFFF" w:themeColor="background1"/>
              </w:rPr>
              <w:t>Biosecurity service standards are delivered. (Effectiveness)</w:t>
            </w:r>
          </w:p>
        </w:tc>
      </w:tr>
      <w:tr w:rsidR="00761899" w:rsidRPr="00455FDE" w14:paraId="48697C67" w14:textId="77777777" w:rsidTr="001325BF">
        <w:trPr>
          <w:cantSplit/>
          <w:trHeight w:val="138"/>
        </w:trPr>
        <w:tc>
          <w:tcPr>
            <w:tcW w:w="988" w:type="dxa"/>
            <w:tcBorders>
              <w:top w:val="nil"/>
              <w:bottom w:val="nil"/>
            </w:tcBorders>
          </w:tcPr>
          <w:p w14:paraId="59B45053" w14:textId="77777777" w:rsidR="00761899" w:rsidRPr="00455FDE" w:rsidRDefault="00761899" w:rsidP="00B75934">
            <w:pPr>
              <w:pStyle w:val="TableHeading"/>
            </w:pPr>
            <w:r w:rsidRPr="00455FDE">
              <w:t>Target</w:t>
            </w:r>
          </w:p>
        </w:tc>
        <w:tc>
          <w:tcPr>
            <w:tcW w:w="8072" w:type="dxa"/>
            <w:tcBorders>
              <w:top w:val="nil"/>
            </w:tcBorders>
            <w:shd w:val="clear" w:color="auto" w:fill="auto"/>
          </w:tcPr>
          <w:p w14:paraId="18E48C1B" w14:textId="77777777" w:rsidR="00761899" w:rsidRDefault="00761899" w:rsidP="00761899">
            <w:pPr>
              <w:pStyle w:val="TableText"/>
            </w:pPr>
            <w:r w:rsidRPr="003F6B53">
              <w:rPr>
                <w:rStyle w:val="Strong"/>
              </w:rPr>
              <w:t>2021–22</w:t>
            </w:r>
            <w:r>
              <w:t>:</w:t>
            </w:r>
            <w:r w:rsidRPr="00455FDE">
              <w:t xml:space="preserve"> Service standards are met or exceeded.</w:t>
            </w:r>
          </w:p>
          <w:p w14:paraId="12DFB8A9" w14:textId="65E5D9F7" w:rsidR="00761899" w:rsidRDefault="00761899" w:rsidP="00761899">
            <w:pPr>
              <w:pStyle w:val="TableText"/>
            </w:pPr>
            <w:r w:rsidRPr="003F6B53">
              <w:rPr>
                <w:rStyle w:val="Strong"/>
              </w:rPr>
              <w:t>2022–23</w:t>
            </w:r>
            <w:r>
              <w:t>:</w:t>
            </w:r>
            <w:r w:rsidRPr="000012A2">
              <w:t xml:space="preserve"> As for 2021–22</w:t>
            </w:r>
            <w:r w:rsidR="003F6B53">
              <w:t>.</w:t>
            </w:r>
          </w:p>
          <w:p w14:paraId="2BBBDE7F" w14:textId="3DE7D616" w:rsidR="00761899" w:rsidRDefault="00761899" w:rsidP="00761899">
            <w:pPr>
              <w:pStyle w:val="TableText"/>
            </w:pPr>
            <w:r w:rsidRPr="003F6B53">
              <w:rPr>
                <w:rStyle w:val="Strong"/>
              </w:rPr>
              <w:t>2023–24</w:t>
            </w:r>
            <w:r>
              <w:t>:</w:t>
            </w:r>
            <w:r w:rsidRPr="000012A2">
              <w:t xml:space="preserve"> As for 2021–22</w:t>
            </w:r>
            <w:r w:rsidR="003F6B53">
              <w:t>.</w:t>
            </w:r>
          </w:p>
          <w:p w14:paraId="0D6720FF" w14:textId="020CDF6A" w:rsidR="00761899" w:rsidRPr="00455FDE" w:rsidRDefault="00761899" w:rsidP="00761899">
            <w:pPr>
              <w:pStyle w:val="TableText"/>
            </w:pPr>
            <w:r w:rsidRPr="003F6B53">
              <w:rPr>
                <w:rStyle w:val="Strong"/>
              </w:rPr>
              <w:t>2024–25</w:t>
            </w:r>
            <w:r>
              <w:t>:</w:t>
            </w:r>
            <w:r w:rsidRPr="000012A2">
              <w:t xml:space="preserve"> As for 2021–22</w:t>
            </w:r>
            <w:r w:rsidR="003F6B53">
              <w:t>.</w:t>
            </w:r>
          </w:p>
        </w:tc>
      </w:tr>
      <w:tr w:rsidR="00455FDE" w:rsidRPr="00455FDE" w14:paraId="49F8CE45" w14:textId="77777777" w:rsidTr="001325BF">
        <w:trPr>
          <w:cantSplit/>
        </w:trPr>
        <w:tc>
          <w:tcPr>
            <w:tcW w:w="988" w:type="dxa"/>
            <w:tcBorders>
              <w:top w:val="nil"/>
            </w:tcBorders>
          </w:tcPr>
          <w:p w14:paraId="6782EEDC" w14:textId="77777777" w:rsidR="00455FDE" w:rsidRPr="00455FDE" w:rsidRDefault="00455FDE" w:rsidP="002B7A00">
            <w:pPr>
              <w:pStyle w:val="TableHeading"/>
              <w:keepNext w:val="0"/>
            </w:pPr>
            <w:r w:rsidRPr="00455FDE">
              <w:t>Context</w:t>
            </w:r>
          </w:p>
        </w:tc>
        <w:tc>
          <w:tcPr>
            <w:tcW w:w="8072" w:type="dxa"/>
          </w:tcPr>
          <w:p w14:paraId="25124BF5" w14:textId="77777777" w:rsidR="00455FDE" w:rsidRPr="00455FDE" w:rsidRDefault="00455FDE" w:rsidP="00B75934">
            <w:pPr>
              <w:pStyle w:val="TableText"/>
            </w:pPr>
            <w:r w:rsidRPr="00455FDE">
              <w:t>We use internally tracked service standards for a range of our regulatory functions. This measure is an aggregate for meeting all service standards. It will be further broken down by individual service standard upon reporting.</w:t>
            </w:r>
          </w:p>
        </w:tc>
      </w:tr>
    </w:tbl>
    <w:bookmarkEnd w:id="134"/>
    <w:p w14:paraId="690E05DB" w14:textId="30DEFE2D" w:rsidR="00455FDE" w:rsidRPr="00DB5B70" w:rsidRDefault="00837ADD" w:rsidP="00DB5B70">
      <w:pPr>
        <w:pStyle w:val="Heading5"/>
      </w:pPr>
      <w:r>
        <w:lastRenderedPageBreak/>
        <w:t xml:space="preserve">Performance </w:t>
      </w:r>
      <w:r w:rsidR="003C7A1E" w:rsidRPr="003C7A1E">
        <w:t>criterion</w:t>
      </w:r>
      <w:r>
        <w:t xml:space="preserve">: </w:t>
      </w:r>
      <w:r w:rsidR="00455FDE" w:rsidRPr="00DB5B70">
        <w:t>The national biosecurity system is strong, future-oriented and efficient through advancement of partnerships, technology and innovation.</w:t>
      </w:r>
    </w:p>
    <w:tbl>
      <w:tblPr>
        <w:tblStyle w:val="TableGrid10"/>
        <w:tblW w:w="0" w:type="auto"/>
        <w:tblBorders>
          <w:left w:val="none" w:sz="0" w:space="0" w:color="auto"/>
          <w:right w:val="none" w:sz="0" w:space="0" w:color="auto"/>
          <w:insideV w:val="none" w:sz="0" w:space="0" w:color="auto"/>
        </w:tblBorders>
        <w:tblLook w:val="04A0" w:firstRow="1" w:lastRow="0" w:firstColumn="1" w:lastColumn="0" w:noHBand="0" w:noVBand="1"/>
      </w:tblPr>
      <w:tblGrid>
        <w:gridCol w:w="988"/>
        <w:gridCol w:w="8072"/>
      </w:tblGrid>
      <w:tr w:rsidR="00051948" w:rsidRPr="00051948" w14:paraId="3BE43B4B" w14:textId="77777777" w:rsidTr="001325BF">
        <w:trPr>
          <w:cantSplit/>
          <w:trHeight w:val="226"/>
        </w:trPr>
        <w:tc>
          <w:tcPr>
            <w:tcW w:w="988" w:type="dxa"/>
            <w:tcBorders>
              <w:top w:val="nil"/>
              <w:bottom w:val="nil"/>
            </w:tcBorders>
            <w:shd w:val="clear" w:color="auto" w:fill="365F91" w:themeFill="accent1" w:themeFillShade="BF"/>
          </w:tcPr>
          <w:p w14:paraId="5A0385C3" w14:textId="77777777" w:rsidR="00455FDE" w:rsidRPr="00051948" w:rsidRDefault="00455FDE" w:rsidP="00B75934">
            <w:pPr>
              <w:pStyle w:val="TableHeading"/>
              <w:rPr>
                <w:color w:val="FFFFFF" w:themeColor="background1"/>
              </w:rPr>
            </w:pPr>
            <w:bookmarkStart w:id="135" w:name="RowTitle_15" w:colFirst="0" w:colLast="0"/>
            <w:r w:rsidRPr="00051948">
              <w:rPr>
                <w:color w:val="FFFFFF" w:themeColor="background1"/>
              </w:rPr>
              <w:t>Measure</w:t>
            </w:r>
          </w:p>
        </w:tc>
        <w:tc>
          <w:tcPr>
            <w:tcW w:w="8072" w:type="dxa"/>
            <w:tcBorders>
              <w:top w:val="nil"/>
              <w:bottom w:val="nil"/>
            </w:tcBorders>
            <w:shd w:val="clear" w:color="auto" w:fill="365F91" w:themeFill="accent1" w:themeFillShade="BF"/>
          </w:tcPr>
          <w:p w14:paraId="542F768F" w14:textId="77777777" w:rsidR="00455FDE" w:rsidRPr="00051948" w:rsidRDefault="00455FDE" w:rsidP="00B75934">
            <w:pPr>
              <w:pStyle w:val="TableText"/>
              <w:rPr>
                <w:color w:val="FFFFFF" w:themeColor="background1"/>
                <w:highlight w:val="yellow"/>
              </w:rPr>
            </w:pPr>
            <w:r w:rsidRPr="00051948">
              <w:rPr>
                <w:color w:val="FFFFFF" w:themeColor="background1"/>
              </w:rPr>
              <w:t>Number of formal arrangements in place with near neighbours in the Indo-Pacific region. (Output)</w:t>
            </w:r>
          </w:p>
        </w:tc>
      </w:tr>
      <w:tr w:rsidR="00761899" w:rsidRPr="00455FDE" w14:paraId="7A04454C" w14:textId="77777777" w:rsidTr="001325BF">
        <w:trPr>
          <w:cantSplit/>
          <w:trHeight w:val="138"/>
        </w:trPr>
        <w:tc>
          <w:tcPr>
            <w:tcW w:w="988" w:type="dxa"/>
            <w:tcBorders>
              <w:top w:val="nil"/>
              <w:bottom w:val="nil"/>
            </w:tcBorders>
          </w:tcPr>
          <w:p w14:paraId="3DC382F0" w14:textId="77777777" w:rsidR="00761899" w:rsidRPr="00455FDE" w:rsidRDefault="00761899" w:rsidP="00B75934">
            <w:pPr>
              <w:pStyle w:val="TableHeading"/>
            </w:pPr>
            <w:r w:rsidRPr="00455FDE">
              <w:t>Target</w:t>
            </w:r>
          </w:p>
        </w:tc>
        <w:tc>
          <w:tcPr>
            <w:tcW w:w="8072" w:type="dxa"/>
            <w:tcBorders>
              <w:top w:val="nil"/>
            </w:tcBorders>
            <w:shd w:val="clear" w:color="auto" w:fill="auto"/>
          </w:tcPr>
          <w:p w14:paraId="761E42E6" w14:textId="77777777" w:rsidR="00761899" w:rsidRDefault="00761899" w:rsidP="00761899">
            <w:pPr>
              <w:pStyle w:val="TableText"/>
            </w:pPr>
            <w:r w:rsidRPr="003F6B53">
              <w:rPr>
                <w:rStyle w:val="Strong"/>
              </w:rPr>
              <w:t>2021–22</w:t>
            </w:r>
            <w:r>
              <w:t>:</w:t>
            </w:r>
            <w:r w:rsidRPr="00455FDE">
              <w:t xml:space="preserve"> Establish baseline.</w:t>
            </w:r>
          </w:p>
          <w:p w14:paraId="01F9611E" w14:textId="77777777" w:rsidR="00761899" w:rsidRDefault="00761899" w:rsidP="00761899">
            <w:pPr>
              <w:pStyle w:val="TableText"/>
            </w:pPr>
            <w:r w:rsidRPr="003F6B53">
              <w:rPr>
                <w:rStyle w:val="Strong"/>
              </w:rPr>
              <w:t>2022–23</w:t>
            </w:r>
            <w:r>
              <w:t>: To be developed.</w:t>
            </w:r>
          </w:p>
          <w:p w14:paraId="570F71EC" w14:textId="77777777" w:rsidR="00761899" w:rsidRDefault="00761899" w:rsidP="00761899">
            <w:pPr>
              <w:pStyle w:val="TableText"/>
            </w:pPr>
            <w:r w:rsidRPr="003F6B53">
              <w:rPr>
                <w:rStyle w:val="Strong"/>
              </w:rPr>
              <w:t>2023–24</w:t>
            </w:r>
            <w:r>
              <w:t>: To be developed.</w:t>
            </w:r>
          </w:p>
          <w:p w14:paraId="7F444B28" w14:textId="06924328" w:rsidR="00761899" w:rsidRPr="00455FDE" w:rsidRDefault="00761899" w:rsidP="00761899">
            <w:pPr>
              <w:pStyle w:val="TableText"/>
            </w:pPr>
            <w:r w:rsidRPr="003F6B53">
              <w:rPr>
                <w:rStyle w:val="Strong"/>
              </w:rPr>
              <w:t>2024–25</w:t>
            </w:r>
            <w:r>
              <w:t>: To be developed.</w:t>
            </w:r>
          </w:p>
        </w:tc>
      </w:tr>
      <w:tr w:rsidR="00455FDE" w:rsidRPr="00455FDE" w14:paraId="5648CB4D" w14:textId="77777777" w:rsidTr="001325BF">
        <w:trPr>
          <w:cantSplit/>
        </w:trPr>
        <w:tc>
          <w:tcPr>
            <w:tcW w:w="988" w:type="dxa"/>
            <w:tcBorders>
              <w:top w:val="nil"/>
              <w:bottom w:val="nil"/>
            </w:tcBorders>
          </w:tcPr>
          <w:p w14:paraId="3B944930" w14:textId="77777777" w:rsidR="00455FDE" w:rsidRPr="00455FDE" w:rsidRDefault="00455FDE" w:rsidP="002B7A00">
            <w:pPr>
              <w:pStyle w:val="TableHeading"/>
              <w:keepNext w:val="0"/>
            </w:pPr>
            <w:r w:rsidRPr="00455FDE">
              <w:t>Context</w:t>
            </w:r>
          </w:p>
        </w:tc>
        <w:tc>
          <w:tcPr>
            <w:tcW w:w="8072" w:type="dxa"/>
            <w:tcBorders>
              <w:bottom w:val="nil"/>
            </w:tcBorders>
          </w:tcPr>
          <w:p w14:paraId="42C882CA" w14:textId="4051C431" w:rsidR="00455FDE" w:rsidRPr="00455FDE" w:rsidRDefault="00E34AAE" w:rsidP="00B75934">
            <w:pPr>
              <w:pStyle w:val="TableText"/>
            </w:pPr>
            <w:r w:rsidRPr="00455FDE">
              <w:t xml:space="preserve">This measure is aligned to </w:t>
            </w:r>
            <w:r w:rsidRPr="005132EC">
              <w:rPr>
                <w:i/>
                <w:iCs/>
              </w:rPr>
              <w:t>Commonwealth Biosecurity</w:t>
            </w:r>
            <w:r w:rsidR="008E7822">
              <w:rPr>
                <w:i/>
                <w:iCs/>
              </w:rPr>
              <w:t> </w:t>
            </w:r>
            <w:r w:rsidRPr="005132EC">
              <w:rPr>
                <w:i/>
                <w:iCs/>
              </w:rPr>
              <w:t>2030</w:t>
            </w:r>
            <w:r>
              <w:t>, specifically the strategic action of ‘</w:t>
            </w:r>
            <w:r w:rsidR="00455FDE" w:rsidRPr="00455FDE">
              <w:t xml:space="preserve">Increase partnership activities with our </w:t>
            </w:r>
            <w:proofErr w:type="gramStart"/>
            <w:r w:rsidR="00455FDE" w:rsidRPr="00455FDE">
              <w:t>near-neighbours</w:t>
            </w:r>
            <w:proofErr w:type="gramEnd"/>
            <w:r w:rsidR="00455FDE" w:rsidRPr="00455FDE">
              <w:t xml:space="preserve"> to build their risk management capability and continue our engagement with key international bodies</w:t>
            </w:r>
            <w:r>
              <w:t>’</w:t>
            </w:r>
            <w:r w:rsidR="00455FDE" w:rsidRPr="00455FDE">
              <w:t>.</w:t>
            </w:r>
          </w:p>
          <w:p w14:paraId="214E5CBF" w14:textId="77777777" w:rsidR="00455FDE" w:rsidRPr="00455FDE" w:rsidRDefault="00455FDE" w:rsidP="00B75934">
            <w:pPr>
              <w:pStyle w:val="TableText"/>
            </w:pPr>
            <w:r w:rsidRPr="00455FDE">
              <w:t>We will collaborate with the Department of Foreign Affairs and Trade to work with Pacific Island countries on bilateral biosecurity partnerships.</w:t>
            </w:r>
          </w:p>
        </w:tc>
      </w:tr>
      <w:tr w:rsidR="00051948" w:rsidRPr="00051948" w14:paraId="24EEB361" w14:textId="77777777" w:rsidTr="001325BF">
        <w:trPr>
          <w:cantSplit/>
          <w:trHeight w:val="226"/>
        </w:trPr>
        <w:tc>
          <w:tcPr>
            <w:tcW w:w="988" w:type="dxa"/>
            <w:tcBorders>
              <w:top w:val="nil"/>
              <w:bottom w:val="nil"/>
            </w:tcBorders>
            <w:shd w:val="clear" w:color="auto" w:fill="365F91" w:themeFill="accent1" w:themeFillShade="BF"/>
          </w:tcPr>
          <w:p w14:paraId="03673B3F" w14:textId="77777777" w:rsidR="00455FDE" w:rsidRPr="00051948" w:rsidRDefault="00455FDE" w:rsidP="00B75934">
            <w:pPr>
              <w:pStyle w:val="TableHeading"/>
              <w:rPr>
                <w:color w:val="FFFFFF" w:themeColor="background1"/>
              </w:rPr>
            </w:pPr>
            <w:r w:rsidRPr="00051948">
              <w:rPr>
                <w:color w:val="FFFFFF" w:themeColor="background1"/>
              </w:rPr>
              <w:t>Measure</w:t>
            </w:r>
          </w:p>
        </w:tc>
        <w:tc>
          <w:tcPr>
            <w:tcW w:w="8072" w:type="dxa"/>
            <w:tcBorders>
              <w:top w:val="nil"/>
              <w:bottom w:val="nil"/>
            </w:tcBorders>
            <w:shd w:val="clear" w:color="auto" w:fill="365F91" w:themeFill="accent1" w:themeFillShade="BF"/>
          </w:tcPr>
          <w:p w14:paraId="2A589F94" w14:textId="77777777" w:rsidR="00455FDE" w:rsidRPr="00051948" w:rsidRDefault="00455FDE" w:rsidP="00B75934">
            <w:pPr>
              <w:pStyle w:val="TableText"/>
              <w:rPr>
                <w:color w:val="FFFFFF" w:themeColor="background1"/>
                <w:highlight w:val="yellow"/>
              </w:rPr>
            </w:pPr>
            <w:r w:rsidRPr="00051948">
              <w:rPr>
                <w:color w:val="FFFFFF" w:themeColor="background1"/>
              </w:rPr>
              <w:t>Number and extent of biosecurity preparedness exercises completed. (Output)</w:t>
            </w:r>
          </w:p>
        </w:tc>
      </w:tr>
      <w:tr w:rsidR="00FC5EF5" w:rsidRPr="00455FDE" w14:paraId="0A7561C8" w14:textId="77777777" w:rsidTr="001325BF">
        <w:trPr>
          <w:cantSplit/>
          <w:trHeight w:val="138"/>
        </w:trPr>
        <w:tc>
          <w:tcPr>
            <w:tcW w:w="988" w:type="dxa"/>
            <w:tcBorders>
              <w:top w:val="nil"/>
              <w:bottom w:val="nil"/>
            </w:tcBorders>
          </w:tcPr>
          <w:p w14:paraId="74645612" w14:textId="77777777" w:rsidR="00FC5EF5" w:rsidRPr="00455FDE" w:rsidRDefault="00FC5EF5" w:rsidP="00B75934">
            <w:pPr>
              <w:pStyle w:val="TableHeading"/>
            </w:pPr>
            <w:r w:rsidRPr="00455FDE">
              <w:t>Target</w:t>
            </w:r>
          </w:p>
        </w:tc>
        <w:tc>
          <w:tcPr>
            <w:tcW w:w="8072" w:type="dxa"/>
            <w:tcBorders>
              <w:top w:val="nil"/>
            </w:tcBorders>
            <w:shd w:val="clear" w:color="auto" w:fill="auto"/>
          </w:tcPr>
          <w:p w14:paraId="38DA7B6A" w14:textId="77777777" w:rsidR="00FC5EF5" w:rsidRDefault="00FC5EF5" w:rsidP="00761899">
            <w:pPr>
              <w:pStyle w:val="TableText"/>
            </w:pPr>
            <w:r w:rsidRPr="003F6B53">
              <w:rPr>
                <w:rStyle w:val="Strong"/>
              </w:rPr>
              <w:t>2021–22</w:t>
            </w:r>
            <w:r>
              <w:t>:</w:t>
            </w:r>
            <w:r w:rsidRPr="00440BC0">
              <w:t xml:space="preserve"> Establish baseline.</w:t>
            </w:r>
          </w:p>
          <w:p w14:paraId="30BD6521" w14:textId="77777777" w:rsidR="00FC5EF5" w:rsidRDefault="00FC5EF5" w:rsidP="00761899">
            <w:pPr>
              <w:pStyle w:val="TableText"/>
            </w:pPr>
            <w:r w:rsidRPr="003F6B53">
              <w:rPr>
                <w:rStyle w:val="Strong"/>
              </w:rPr>
              <w:t>2022–23</w:t>
            </w:r>
            <w:r>
              <w:t>:</w:t>
            </w:r>
            <w:r w:rsidRPr="00455FDE">
              <w:t xml:space="preserve"> Increased number or scope of exercises conducted year on year.</w:t>
            </w:r>
          </w:p>
          <w:p w14:paraId="6CDD71BC" w14:textId="30D84891" w:rsidR="00FC5EF5" w:rsidRDefault="00FC5EF5" w:rsidP="00761899">
            <w:pPr>
              <w:pStyle w:val="TableText"/>
            </w:pPr>
            <w:r w:rsidRPr="003F6B53">
              <w:rPr>
                <w:rStyle w:val="Strong"/>
              </w:rPr>
              <w:t>2023–24</w:t>
            </w:r>
            <w:r>
              <w:t>:</w:t>
            </w:r>
            <w:r w:rsidRPr="000012A2">
              <w:t xml:space="preserve"> As for 202</w:t>
            </w:r>
            <w:r>
              <w:t>2</w:t>
            </w:r>
            <w:r w:rsidRPr="000012A2">
              <w:t>–2</w:t>
            </w:r>
            <w:r>
              <w:t>3</w:t>
            </w:r>
            <w:r w:rsidR="003F6B53">
              <w:t>.</w:t>
            </w:r>
          </w:p>
          <w:p w14:paraId="3E02BF65" w14:textId="42E39BAE" w:rsidR="00FC5EF5" w:rsidRPr="00455FDE" w:rsidRDefault="00FC5EF5" w:rsidP="00761899">
            <w:pPr>
              <w:pStyle w:val="TableText"/>
            </w:pPr>
            <w:r w:rsidRPr="003F6B53">
              <w:rPr>
                <w:rStyle w:val="Strong"/>
              </w:rPr>
              <w:t>2024–25</w:t>
            </w:r>
            <w:r>
              <w:t>:</w:t>
            </w:r>
            <w:r w:rsidRPr="000012A2">
              <w:t xml:space="preserve"> As for 202</w:t>
            </w:r>
            <w:r>
              <w:t>2</w:t>
            </w:r>
            <w:r w:rsidRPr="000012A2">
              <w:t>–2</w:t>
            </w:r>
            <w:r>
              <w:t>3</w:t>
            </w:r>
            <w:r w:rsidR="003F6B53">
              <w:t>.</w:t>
            </w:r>
          </w:p>
        </w:tc>
      </w:tr>
      <w:tr w:rsidR="00E34AAE" w:rsidRPr="00455FDE" w14:paraId="75C6D395" w14:textId="77777777" w:rsidTr="001325BF">
        <w:trPr>
          <w:cantSplit/>
        </w:trPr>
        <w:tc>
          <w:tcPr>
            <w:tcW w:w="988" w:type="dxa"/>
            <w:tcBorders>
              <w:top w:val="nil"/>
            </w:tcBorders>
          </w:tcPr>
          <w:p w14:paraId="45E23F41" w14:textId="77777777" w:rsidR="00E34AAE" w:rsidRPr="00455FDE" w:rsidRDefault="00E34AAE" w:rsidP="002B7A00">
            <w:pPr>
              <w:pStyle w:val="TableHeading"/>
              <w:keepNext w:val="0"/>
            </w:pPr>
            <w:r w:rsidRPr="00455FDE">
              <w:t>Context</w:t>
            </w:r>
          </w:p>
        </w:tc>
        <w:tc>
          <w:tcPr>
            <w:tcW w:w="8072" w:type="dxa"/>
          </w:tcPr>
          <w:p w14:paraId="13A1870B" w14:textId="57DE2B13" w:rsidR="00E34AAE" w:rsidRPr="00455FDE" w:rsidRDefault="00E34AAE" w:rsidP="00B75934">
            <w:pPr>
              <w:pStyle w:val="TableText"/>
            </w:pPr>
            <w:r w:rsidRPr="00455FDE">
              <w:t xml:space="preserve">This measure is aligned to </w:t>
            </w:r>
            <w:r w:rsidRPr="005132EC">
              <w:rPr>
                <w:i/>
                <w:iCs/>
              </w:rPr>
              <w:t>Commonwealth Biosecurity</w:t>
            </w:r>
            <w:r w:rsidR="008E7822">
              <w:rPr>
                <w:i/>
                <w:iCs/>
              </w:rPr>
              <w:t> </w:t>
            </w:r>
            <w:r w:rsidRPr="005132EC">
              <w:rPr>
                <w:i/>
                <w:iCs/>
              </w:rPr>
              <w:t>2030</w:t>
            </w:r>
            <w:r>
              <w:t>, specifically the strategic action of ‘</w:t>
            </w:r>
            <w:r w:rsidRPr="00455FDE">
              <w:t xml:space="preserve">Lift our national preparedness, response and resilience to exotic </w:t>
            </w:r>
            <w:proofErr w:type="spellStart"/>
            <w:r w:rsidRPr="00455FDE">
              <w:t>pest</w:t>
            </w:r>
            <w:proofErr w:type="spellEnd"/>
            <w:r w:rsidRPr="00455FDE">
              <w:t xml:space="preserve"> and disease incursions</w:t>
            </w:r>
            <w:r>
              <w:t>’</w:t>
            </w:r>
            <w:r w:rsidRPr="00455FDE">
              <w:t>.</w:t>
            </w:r>
          </w:p>
          <w:p w14:paraId="36C67016" w14:textId="77777777" w:rsidR="00E34AAE" w:rsidRPr="00455FDE" w:rsidRDefault="00E34AAE" w:rsidP="00B75934">
            <w:pPr>
              <w:pStyle w:val="TableText"/>
            </w:pPr>
            <w:r w:rsidRPr="00455FDE">
              <w:t>We work with state and territory governments and other stakeholders to develop and test emergency response plans and arrangements. Preparedness exercises aim to test the readiness of the national biosecurity system to respond to a significant incursion.</w:t>
            </w:r>
          </w:p>
        </w:tc>
      </w:tr>
    </w:tbl>
    <w:bookmarkEnd w:id="135"/>
    <w:p w14:paraId="617B4964" w14:textId="6CFB364E" w:rsidR="00455FDE" w:rsidRPr="00DB5B70" w:rsidRDefault="00455FDE" w:rsidP="00DB5B70">
      <w:pPr>
        <w:pStyle w:val="Heading4"/>
      </w:pPr>
      <w:r w:rsidRPr="00DB5B70">
        <w:t>Water resources</w:t>
      </w:r>
    </w:p>
    <w:p w14:paraId="51BB6AAD" w14:textId="77777777" w:rsidR="00455FDE" w:rsidRPr="00455FDE" w:rsidRDefault="00455FDE" w:rsidP="00455FDE">
      <w:r w:rsidRPr="00455FDE">
        <w:t>Objective: Improve the sustainable management of Australia’s water resources for agriculture, the environment and communities.</w:t>
      </w:r>
    </w:p>
    <w:p w14:paraId="1DF85786" w14:textId="05DB3AF6" w:rsidR="00455FDE" w:rsidRPr="00DB5B70" w:rsidRDefault="00837ADD" w:rsidP="00DB5B70">
      <w:pPr>
        <w:pStyle w:val="Heading5"/>
      </w:pPr>
      <w:bookmarkStart w:id="136" w:name="_Toc75856611"/>
      <w:r>
        <w:t xml:space="preserve">Performance </w:t>
      </w:r>
      <w:r w:rsidR="003C7A1E" w:rsidRPr="003C7A1E">
        <w:t>criterion</w:t>
      </w:r>
      <w:r>
        <w:t xml:space="preserve">: </w:t>
      </w:r>
      <w:r w:rsidR="00455FDE" w:rsidRPr="00DB5B70">
        <w:t>Sector stewardship drives improved water development outcomes.</w:t>
      </w:r>
      <w:bookmarkEnd w:id="136"/>
    </w:p>
    <w:tbl>
      <w:tblPr>
        <w:tblStyle w:val="TableGrid10"/>
        <w:tblW w:w="0" w:type="auto"/>
        <w:tblBorders>
          <w:left w:val="none" w:sz="0" w:space="0" w:color="auto"/>
          <w:right w:val="none" w:sz="0" w:space="0" w:color="auto"/>
          <w:insideV w:val="none" w:sz="0" w:space="0" w:color="auto"/>
        </w:tblBorders>
        <w:tblLook w:val="04A0" w:firstRow="1" w:lastRow="0" w:firstColumn="1" w:lastColumn="0" w:noHBand="0" w:noVBand="1"/>
      </w:tblPr>
      <w:tblGrid>
        <w:gridCol w:w="988"/>
        <w:gridCol w:w="8072"/>
      </w:tblGrid>
      <w:tr w:rsidR="00051948" w:rsidRPr="00051948" w14:paraId="1AE62F30" w14:textId="77777777" w:rsidTr="001325BF">
        <w:trPr>
          <w:cantSplit/>
          <w:trHeight w:val="226"/>
        </w:trPr>
        <w:tc>
          <w:tcPr>
            <w:tcW w:w="988" w:type="dxa"/>
            <w:tcBorders>
              <w:top w:val="nil"/>
              <w:bottom w:val="nil"/>
            </w:tcBorders>
            <w:shd w:val="clear" w:color="auto" w:fill="365F91" w:themeFill="accent1" w:themeFillShade="BF"/>
          </w:tcPr>
          <w:p w14:paraId="5B428000" w14:textId="77777777" w:rsidR="00455FDE" w:rsidRPr="00051948" w:rsidRDefault="00455FDE" w:rsidP="00B75934">
            <w:pPr>
              <w:pStyle w:val="TableHeading"/>
              <w:rPr>
                <w:color w:val="FFFFFF" w:themeColor="background1"/>
              </w:rPr>
            </w:pPr>
            <w:bookmarkStart w:id="137" w:name="RowTitle_16" w:colFirst="0" w:colLast="0"/>
            <w:r w:rsidRPr="00051948">
              <w:rPr>
                <w:color w:val="FFFFFF" w:themeColor="background1"/>
              </w:rPr>
              <w:t>Measure</w:t>
            </w:r>
          </w:p>
        </w:tc>
        <w:tc>
          <w:tcPr>
            <w:tcW w:w="8072" w:type="dxa"/>
            <w:tcBorders>
              <w:top w:val="nil"/>
              <w:bottom w:val="nil"/>
            </w:tcBorders>
            <w:shd w:val="clear" w:color="auto" w:fill="365F91" w:themeFill="accent1" w:themeFillShade="BF"/>
          </w:tcPr>
          <w:p w14:paraId="2135756A" w14:textId="0B4367D3" w:rsidR="00455FDE" w:rsidRPr="00051948" w:rsidRDefault="00455FDE" w:rsidP="00B75934">
            <w:pPr>
              <w:pStyle w:val="TableText"/>
              <w:rPr>
                <w:color w:val="FFFFFF" w:themeColor="background1"/>
                <w:highlight w:val="yellow"/>
              </w:rPr>
            </w:pPr>
            <w:r w:rsidRPr="00051948">
              <w:rPr>
                <w:color w:val="FFFFFF" w:themeColor="background1"/>
              </w:rPr>
              <w:t xml:space="preserve">The Water Efficiency Labelling and </w:t>
            </w:r>
            <w:r w:rsidR="008E7822" w:rsidRPr="00051948">
              <w:rPr>
                <w:color w:val="FFFFFF" w:themeColor="background1"/>
              </w:rPr>
              <w:t>Standards </w:t>
            </w:r>
            <w:r w:rsidRPr="00051948">
              <w:rPr>
                <w:color w:val="FFFFFF" w:themeColor="background1"/>
              </w:rPr>
              <w:t>(WELS) scheme is improved. (Effectiveness)</w:t>
            </w:r>
          </w:p>
        </w:tc>
      </w:tr>
      <w:tr w:rsidR="00FC5EF5" w:rsidRPr="00455FDE" w14:paraId="4B1278BF" w14:textId="77777777" w:rsidTr="001325BF">
        <w:trPr>
          <w:cantSplit/>
          <w:trHeight w:val="138"/>
        </w:trPr>
        <w:tc>
          <w:tcPr>
            <w:tcW w:w="988" w:type="dxa"/>
            <w:tcBorders>
              <w:top w:val="nil"/>
              <w:bottom w:val="nil"/>
            </w:tcBorders>
          </w:tcPr>
          <w:p w14:paraId="0BAD0973" w14:textId="77777777" w:rsidR="00FC5EF5" w:rsidRPr="00455FDE" w:rsidRDefault="00FC5EF5" w:rsidP="00B75934">
            <w:pPr>
              <w:pStyle w:val="TableHeading"/>
            </w:pPr>
            <w:r w:rsidRPr="00455FDE">
              <w:t>Target</w:t>
            </w:r>
          </w:p>
        </w:tc>
        <w:tc>
          <w:tcPr>
            <w:tcW w:w="8072" w:type="dxa"/>
            <w:tcBorders>
              <w:top w:val="nil"/>
            </w:tcBorders>
            <w:shd w:val="clear" w:color="auto" w:fill="auto"/>
          </w:tcPr>
          <w:p w14:paraId="12A6801D" w14:textId="77777777" w:rsidR="00FC5EF5" w:rsidRDefault="00FC5EF5" w:rsidP="00FC5EF5">
            <w:pPr>
              <w:pStyle w:val="TableText"/>
            </w:pPr>
            <w:r w:rsidRPr="003F6B53">
              <w:rPr>
                <w:rStyle w:val="Strong"/>
              </w:rPr>
              <w:t>2021–22</w:t>
            </w:r>
            <w:r>
              <w:t>:</w:t>
            </w:r>
            <w:r w:rsidRPr="00455FDE">
              <w:t xml:space="preserve"> Joint government response to WELS independent review agreed by July</w:t>
            </w:r>
            <w:r>
              <w:t> </w:t>
            </w:r>
            <w:r w:rsidRPr="00455FDE">
              <w:t>2022.</w:t>
            </w:r>
          </w:p>
          <w:p w14:paraId="188DA2A4" w14:textId="7464B1CC" w:rsidR="00FC5EF5" w:rsidRDefault="00FC5EF5" w:rsidP="00FC5EF5">
            <w:pPr>
              <w:pStyle w:val="TableText"/>
            </w:pPr>
            <w:r w:rsidRPr="003F6B53">
              <w:rPr>
                <w:rStyle w:val="Strong"/>
              </w:rPr>
              <w:t>2022–23</w:t>
            </w:r>
            <w:r>
              <w:t>: n/a</w:t>
            </w:r>
            <w:r w:rsidR="003F6B53">
              <w:t>.</w:t>
            </w:r>
          </w:p>
          <w:p w14:paraId="0CA539B5" w14:textId="5605D81E" w:rsidR="00FC5EF5" w:rsidRDefault="00FC5EF5" w:rsidP="00FC5EF5">
            <w:pPr>
              <w:pStyle w:val="TableText"/>
            </w:pPr>
            <w:r w:rsidRPr="003F6B53">
              <w:rPr>
                <w:rStyle w:val="Strong"/>
              </w:rPr>
              <w:t>2023–24</w:t>
            </w:r>
            <w:r>
              <w:t>: n/a</w:t>
            </w:r>
            <w:r w:rsidR="003F6B53">
              <w:t>.</w:t>
            </w:r>
          </w:p>
          <w:p w14:paraId="318EB715" w14:textId="3940DE3A" w:rsidR="00FC5EF5" w:rsidRPr="00455FDE" w:rsidRDefault="00FC5EF5" w:rsidP="00FC5EF5">
            <w:pPr>
              <w:pStyle w:val="TableText"/>
            </w:pPr>
            <w:r w:rsidRPr="003F6B53">
              <w:rPr>
                <w:rStyle w:val="Strong"/>
              </w:rPr>
              <w:t>2024–25</w:t>
            </w:r>
            <w:r>
              <w:t>: n/a</w:t>
            </w:r>
            <w:r w:rsidR="003F6B53">
              <w:t>.</w:t>
            </w:r>
          </w:p>
        </w:tc>
      </w:tr>
      <w:tr w:rsidR="00455FDE" w:rsidRPr="00455FDE" w14:paraId="44BB18FD" w14:textId="77777777" w:rsidTr="001325BF">
        <w:trPr>
          <w:cantSplit/>
        </w:trPr>
        <w:tc>
          <w:tcPr>
            <w:tcW w:w="988" w:type="dxa"/>
            <w:tcBorders>
              <w:top w:val="nil"/>
              <w:bottom w:val="single" w:sz="4" w:space="0" w:color="auto"/>
            </w:tcBorders>
          </w:tcPr>
          <w:p w14:paraId="6F48D457" w14:textId="77777777" w:rsidR="00455FDE" w:rsidRPr="00455FDE" w:rsidRDefault="00455FDE" w:rsidP="002B7A00">
            <w:pPr>
              <w:pStyle w:val="TableHeading"/>
              <w:keepNext w:val="0"/>
            </w:pPr>
            <w:r w:rsidRPr="00455FDE">
              <w:t>Context</w:t>
            </w:r>
          </w:p>
        </w:tc>
        <w:tc>
          <w:tcPr>
            <w:tcW w:w="8072" w:type="dxa"/>
            <w:tcBorders>
              <w:bottom w:val="single" w:sz="4" w:space="0" w:color="auto"/>
            </w:tcBorders>
          </w:tcPr>
          <w:p w14:paraId="5806EFC3" w14:textId="275C9295" w:rsidR="00455FDE" w:rsidRPr="00455FDE" w:rsidRDefault="00455FDE" w:rsidP="00455FDE">
            <w:pPr>
              <w:spacing w:after="60" w:line="240" w:lineRule="auto"/>
              <w:rPr>
                <w:sz w:val="18"/>
              </w:rPr>
            </w:pPr>
            <w:r w:rsidRPr="00455FDE">
              <w:rPr>
                <w:sz w:val="18"/>
              </w:rPr>
              <w:t xml:space="preserve">The national </w:t>
            </w:r>
            <w:r w:rsidR="008E7822" w:rsidRPr="00455FDE">
              <w:rPr>
                <w:sz w:val="18"/>
              </w:rPr>
              <w:t>WELS</w:t>
            </w:r>
            <w:r w:rsidR="008E7822">
              <w:rPr>
                <w:sz w:val="18"/>
              </w:rPr>
              <w:t> </w:t>
            </w:r>
            <w:r w:rsidRPr="00455FDE">
              <w:rPr>
                <w:sz w:val="18"/>
              </w:rPr>
              <w:t xml:space="preserve">scheme helps Australians to save water by promoting more water efficient household products such as taps, toilets, urinals, flow controllers, showers, dishwashers and washing machines. We administer the </w:t>
            </w:r>
            <w:r w:rsidR="008E7822" w:rsidRPr="00455FDE">
              <w:rPr>
                <w:sz w:val="18"/>
              </w:rPr>
              <w:t>WELS</w:t>
            </w:r>
            <w:r w:rsidR="008E7822">
              <w:rPr>
                <w:sz w:val="18"/>
              </w:rPr>
              <w:t> </w:t>
            </w:r>
            <w:r w:rsidRPr="00455FDE">
              <w:rPr>
                <w:sz w:val="18"/>
              </w:rPr>
              <w:t>scheme on behalf of the Australian, state and territory governments.</w:t>
            </w:r>
          </w:p>
          <w:p w14:paraId="1D28E3E2" w14:textId="77777777" w:rsidR="00455FDE" w:rsidRPr="00455FDE" w:rsidRDefault="00455FDE" w:rsidP="00455FDE">
            <w:pPr>
              <w:spacing w:after="60" w:line="240" w:lineRule="auto"/>
              <w:rPr>
                <w:sz w:val="18"/>
              </w:rPr>
            </w:pPr>
            <w:r w:rsidRPr="00455FDE">
              <w:rPr>
                <w:sz w:val="18"/>
              </w:rPr>
              <w:t>Although this target is an output, future development of this measure will focus on outcomes.</w:t>
            </w:r>
          </w:p>
        </w:tc>
      </w:tr>
      <w:tr w:rsidR="00051948" w:rsidRPr="00051948" w14:paraId="65921956" w14:textId="77777777" w:rsidTr="001325BF">
        <w:trPr>
          <w:cantSplit/>
          <w:trHeight w:val="226"/>
        </w:trPr>
        <w:tc>
          <w:tcPr>
            <w:tcW w:w="988" w:type="dxa"/>
            <w:tcBorders>
              <w:top w:val="single" w:sz="4" w:space="0" w:color="auto"/>
              <w:bottom w:val="nil"/>
            </w:tcBorders>
            <w:shd w:val="clear" w:color="auto" w:fill="365F91" w:themeFill="accent1" w:themeFillShade="BF"/>
          </w:tcPr>
          <w:p w14:paraId="02AC2323" w14:textId="77777777" w:rsidR="00455FDE" w:rsidRPr="00051948" w:rsidRDefault="00455FDE" w:rsidP="00B75934">
            <w:pPr>
              <w:pStyle w:val="TableHeading"/>
              <w:rPr>
                <w:color w:val="FFFFFF" w:themeColor="background1"/>
              </w:rPr>
            </w:pPr>
            <w:r w:rsidRPr="00051948">
              <w:rPr>
                <w:color w:val="FFFFFF" w:themeColor="background1"/>
              </w:rPr>
              <w:t>Measure</w:t>
            </w:r>
          </w:p>
        </w:tc>
        <w:tc>
          <w:tcPr>
            <w:tcW w:w="8072" w:type="dxa"/>
            <w:tcBorders>
              <w:top w:val="single" w:sz="4" w:space="0" w:color="auto"/>
              <w:bottom w:val="nil"/>
            </w:tcBorders>
            <w:shd w:val="clear" w:color="auto" w:fill="365F91" w:themeFill="accent1" w:themeFillShade="BF"/>
          </w:tcPr>
          <w:p w14:paraId="20CCA2E6" w14:textId="77777777" w:rsidR="00455FDE" w:rsidRPr="00051948" w:rsidRDefault="00455FDE" w:rsidP="00B75934">
            <w:pPr>
              <w:pStyle w:val="TableText"/>
              <w:rPr>
                <w:color w:val="FFFFFF" w:themeColor="background1"/>
                <w:highlight w:val="yellow"/>
              </w:rPr>
            </w:pPr>
            <w:r w:rsidRPr="00051948">
              <w:rPr>
                <w:color w:val="FFFFFF" w:themeColor="background1"/>
              </w:rPr>
              <w:t>Improve national leadership of the Great Artesian Basin. (Output)</w:t>
            </w:r>
          </w:p>
        </w:tc>
      </w:tr>
      <w:tr w:rsidR="00FC5EF5" w:rsidRPr="00455FDE" w14:paraId="55EDAC29" w14:textId="77777777" w:rsidTr="001325BF">
        <w:trPr>
          <w:cantSplit/>
          <w:trHeight w:val="138"/>
        </w:trPr>
        <w:tc>
          <w:tcPr>
            <w:tcW w:w="988" w:type="dxa"/>
            <w:tcBorders>
              <w:top w:val="nil"/>
              <w:bottom w:val="nil"/>
            </w:tcBorders>
          </w:tcPr>
          <w:p w14:paraId="30E2E989" w14:textId="77777777" w:rsidR="00FC5EF5" w:rsidRPr="00455FDE" w:rsidRDefault="00FC5EF5" w:rsidP="00B75934">
            <w:pPr>
              <w:pStyle w:val="TableHeading"/>
            </w:pPr>
            <w:r w:rsidRPr="00455FDE">
              <w:t>Target</w:t>
            </w:r>
          </w:p>
        </w:tc>
        <w:tc>
          <w:tcPr>
            <w:tcW w:w="8072" w:type="dxa"/>
            <w:tcBorders>
              <w:top w:val="nil"/>
              <w:bottom w:val="nil"/>
            </w:tcBorders>
            <w:shd w:val="clear" w:color="auto" w:fill="auto"/>
          </w:tcPr>
          <w:p w14:paraId="4028C1B7" w14:textId="77777777" w:rsidR="00FC5EF5" w:rsidRDefault="00FC5EF5" w:rsidP="00FC5EF5">
            <w:pPr>
              <w:pStyle w:val="TableText"/>
            </w:pPr>
            <w:r w:rsidRPr="003F6B53">
              <w:rPr>
                <w:rStyle w:val="Strong"/>
              </w:rPr>
              <w:t>2021–22</w:t>
            </w:r>
            <w:r>
              <w:t>:</w:t>
            </w:r>
            <w:r w:rsidRPr="00455FDE">
              <w:t xml:space="preserve"> Great Artesian Basin Stakeholder Advisory Committee formed by December</w:t>
            </w:r>
            <w:r>
              <w:t> </w:t>
            </w:r>
            <w:r w:rsidRPr="00455FDE">
              <w:t>2021.</w:t>
            </w:r>
          </w:p>
          <w:p w14:paraId="769C71C8" w14:textId="089A1D0F" w:rsidR="00FC5EF5" w:rsidRDefault="00FC5EF5" w:rsidP="00FC5EF5">
            <w:pPr>
              <w:pStyle w:val="TableText"/>
            </w:pPr>
            <w:r w:rsidRPr="003F6B53">
              <w:rPr>
                <w:rStyle w:val="Strong"/>
              </w:rPr>
              <w:t>2022–23</w:t>
            </w:r>
            <w:r>
              <w:t>: n/a</w:t>
            </w:r>
            <w:r w:rsidR="003F6B53">
              <w:t>.</w:t>
            </w:r>
          </w:p>
          <w:p w14:paraId="6AC5F080" w14:textId="1B596E97" w:rsidR="00FC5EF5" w:rsidRDefault="00FC5EF5" w:rsidP="00FC5EF5">
            <w:pPr>
              <w:pStyle w:val="TableText"/>
            </w:pPr>
            <w:r w:rsidRPr="003F6B53">
              <w:rPr>
                <w:rStyle w:val="Strong"/>
              </w:rPr>
              <w:t>2023–24</w:t>
            </w:r>
            <w:r>
              <w:t>: n/a</w:t>
            </w:r>
            <w:r w:rsidR="003F6B53">
              <w:t>.</w:t>
            </w:r>
          </w:p>
          <w:p w14:paraId="2BCF9757" w14:textId="50F45BCA" w:rsidR="00FC5EF5" w:rsidRPr="00455FDE" w:rsidRDefault="00FC5EF5" w:rsidP="00FC5EF5">
            <w:pPr>
              <w:pStyle w:val="TableText"/>
            </w:pPr>
            <w:r w:rsidRPr="003F6B53">
              <w:rPr>
                <w:rStyle w:val="Strong"/>
              </w:rPr>
              <w:t>2024–25</w:t>
            </w:r>
            <w:r>
              <w:t>: n/a</w:t>
            </w:r>
            <w:r w:rsidR="003F6B53">
              <w:t>.</w:t>
            </w:r>
          </w:p>
        </w:tc>
      </w:tr>
      <w:tr w:rsidR="00455FDE" w:rsidRPr="00455FDE" w14:paraId="44120B01" w14:textId="77777777" w:rsidTr="001325BF">
        <w:trPr>
          <w:cantSplit/>
        </w:trPr>
        <w:tc>
          <w:tcPr>
            <w:tcW w:w="988" w:type="dxa"/>
            <w:tcBorders>
              <w:top w:val="nil"/>
              <w:bottom w:val="single" w:sz="4" w:space="0" w:color="auto"/>
            </w:tcBorders>
          </w:tcPr>
          <w:p w14:paraId="228B936A" w14:textId="77777777" w:rsidR="00455FDE" w:rsidRPr="00455FDE" w:rsidRDefault="00455FDE" w:rsidP="002B7A00">
            <w:pPr>
              <w:pStyle w:val="TableHeading"/>
              <w:keepNext w:val="0"/>
            </w:pPr>
            <w:r w:rsidRPr="00455FDE">
              <w:t>Context</w:t>
            </w:r>
          </w:p>
        </w:tc>
        <w:tc>
          <w:tcPr>
            <w:tcW w:w="8072" w:type="dxa"/>
            <w:tcBorders>
              <w:top w:val="nil"/>
              <w:bottom w:val="single" w:sz="4" w:space="0" w:color="auto"/>
            </w:tcBorders>
          </w:tcPr>
          <w:p w14:paraId="5FA303A7" w14:textId="7F099D1E" w:rsidR="00455FDE" w:rsidRPr="00455FDE" w:rsidRDefault="00455FDE" w:rsidP="00B75934">
            <w:pPr>
              <w:pStyle w:val="TableText"/>
            </w:pPr>
            <w:r w:rsidRPr="00455FDE">
              <w:t xml:space="preserve">The Great Artesian Basin Strategic Management Plan provides a national framework for the effective management of the underground aquifer </w:t>
            </w:r>
            <w:r w:rsidR="00F140A3">
              <w:t>that</w:t>
            </w:r>
            <w:r w:rsidRPr="00455FDE">
              <w:t xml:space="preserve"> supports parts of New South Wales, Queensland, South Australia and part of the Northern Territory.</w:t>
            </w:r>
          </w:p>
          <w:p w14:paraId="0BCFF5B6" w14:textId="488F1B5E" w:rsidR="00455FDE" w:rsidRPr="00455FDE" w:rsidRDefault="00116C2A" w:rsidP="00B75934">
            <w:pPr>
              <w:pStyle w:val="TableText"/>
            </w:pPr>
            <w:r>
              <w:t>K</w:t>
            </w:r>
            <w:r w:rsidR="00455FDE" w:rsidRPr="00455FDE">
              <w:t>ey outcomes include reduction of unregistered and unrestricted bores to protect the integrity of the aquifer.</w:t>
            </w:r>
          </w:p>
        </w:tc>
      </w:tr>
      <w:tr w:rsidR="00051948" w:rsidRPr="00051948" w14:paraId="796D619A" w14:textId="77777777" w:rsidTr="001325BF">
        <w:trPr>
          <w:cantSplit/>
          <w:trHeight w:val="226"/>
        </w:trPr>
        <w:tc>
          <w:tcPr>
            <w:tcW w:w="988" w:type="dxa"/>
            <w:tcBorders>
              <w:top w:val="single" w:sz="4" w:space="0" w:color="auto"/>
              <w:bottom w:val="nil"/>
            </w:tcBorders>
            <w:shd w:val="clear" w:color="auto" w:fill="365F91" w:themeFill="accent1" w:themeFillShade="BF"/>
          </w:tcPr>
          <w:p w14:paraId="53991C46" w14:textId="77777777" w:rsidR="00455FDE" w:rsidRPr="00051948" w:rsidRDefault="00455FDE" w:rsidP="00B75934">
            <w:pPr>
              <w:pStyle w:val="TableHeading"/>
              <w:rPr>
                <w:color w:val="FFFFFF" w:themeColor="background1"/>
              </w:rPr>
            </w:pPr>
            <w:r w:rsidRPr="00051948">
              <w:rPr>
                <w:color w:val="FFFFFF" w:themeColor="background1"/>
              </w:rPr>
              <w:lastRenderedPageBreak/>
              <w:t>Measure</w:t>
            </w:r>
          </w:p>
        </w:tc>
        <w:tc>
          <w:tcPr>
            <w:tcW w:w="8072" w:type="dxa"/>
            <w:tcBorders>
              <w:top w:val="single" w:sz="4" w:space="0" w:color="auto"/>
              <w:bottom w:val="nil"/>
            </w:tcBorders>
            <w:shd w:val="clear" w:color="auto" w:fill="365F91" w:themeFill="accent1" w:themeFillShade="BF"/>
          </w:tcPr>
          <w:p w14:paraId="33DE7CFA" w14:textId="77777777" w:rsidR="00455FDE" w:rsidRPr="00051948" w:rsidRDefault="00455FDE" w:rsidP="00B75934">
            <w:pPr>
              <w:pStyle w:val="TableText"/>
              <w:rPr>
                <w:color w:val="FFFFFF" w:themeColor="background1"/>
                <w:highlight w:val="yellow"/>
              </w:rPr>
            </w:pPr>
            <w:r w:rsidRPr="00051948">
              <w:rPr>
                <w:color w:val="FFFFFF" w:themeColor="background1"/>
              </w:rPr>
              <w:t>Improve national leadership of the Lake Eyre Basin. (Output)</w:t>
            </w:r>
          </w:p>
        </w:tc>
      </w:tr>
      <w:tr w:rsidR="00FC5EF5" w:rsidRPr="008E7822" w14:paraId="713D3F25" w14:textId="77777777" w:rsidTr="001325BF">
        <w:trPr>
          <w:cantSplit/>
          <w:trHeight w:val="138"/>
        </w:trPr>
        <w:tc>
          <w:tcPr>
            <w:tcW w:w="988" w:type="dxa"/>
            <w:tcBorders>
              <w:top w:val="nil"/>
              <w:bottom w:val="nil"/>
            </w:tcBorders>
          </w:tcPr>
          <w:p w14:paraId="74464887" w14:textId="77777777" w:rsidR="00FC5EF5" w:rsidRPr="00E81938" w:rsidRDefault="00FC5EF5" w:rsidP="00B75934">
            <w:pPr>
              <w:pStyle w:val="TableHeading"/>
            </w:pPr>
            <w:r w:rsidRPr="00E81938">
              <w:t>Target</w:t>
            </w:r>
          </w:p>
        </w:tc>
        <w:tc>
          <w:tcPr>
            <w:tcW w:w="8072" w:type="dxa"/>
            <w:tcBorders>
              <w:top w:val="nil"/>
            </w:tcBorders>
            <w:shd w:val="clear" w:color="auto" w:fill="auto"/>
          </w:tcPr>
          <w:p w14:paraId="30EA82D3" w14:textId="77777777" w:rsidR="00FC5EF5" w:rsidRPr="008E7822" w:rsidRDefault="00FC5EF5" w:rsidP="00FC5EF5">
            <w:pPr>
              <w:pStyle w:val="TableText"/>
            </w:pPr>
            <w:r w:rsidRPr="003F6B53">
              <w:rPr>
                <w:rStyle w:val="Strong"/>
              </w:rPr>
              <w:t>2021–22</w:t>
            </w:r>
            <w:r>
              <w:t>:</w:t>
            </w:r>
            <w:r w:rsidRPr="008E7822">
              <w:t xml:space="preserve"> By December 2021, develop:</w:t>
            </w:r>
          </w:p>
          <w:p w14:paraId="2FA99904" w14:textId="77777777" w:rsidR="00FC5EF5" w:rsidRPr="008E7822" w:rsidRDefault="00FC5EF5" w:rsidP="00FC5EF5">
            <w:pPr>
              <w:pStyle w:val="TableBullet1"/>
            </w:pPr>
            <w:r w:rsidRPr="008E7822">
              <w:t>Lake Eyre Basin Vision Statement Strategic Plan</w:t>
            </w:r>
          </w:p>
          <w:p w14:paraId="1860096B" w14:textId="77777777" w:rsidR="00FC5EF5" w:rsidRPr="008E7822" w:rsidRDefault="00FC5EF5" w:rsidP="00FC5EF5">
            <w:pPr>
              <w:pStyle w:val="TableBullet1"/>
            </w:pPr>
            <w:r w:rsidRPr="008E7822">
              <w:t>Monitoring and evaluation framework</w:t>
            </w:r>
          </w:p>
          <w:p w14:paraId="375614FB" w14:textId="77777777" w:rsidR="00FC5EF5" w:rsidRDefault="00FC5EF5" w:rsidP="00FC5EF5">
            <w:pPr>
              <w:pStyle w:val="TableBullet1"/>
            </w:pPr>
            <w:r w:rsidRPr="00634174">
              <w:t xml:space="preserve">Revised </w:t>
            </w:r>
            <w:r w:rsidRPr="00500A9C">
              <w:t>governance model.</w:t>
            </w:r>
          </w:p>
          <w:p w14:paraId="7C6FA31E" w14:textId="4972326B" w:rsidR="00FC5EF5" w:rsidRDefault="00FC5EF5" w:rsidP="00FC5EF5">
            <w:pPr>
              <w:pStyle w:val="TableText"/>
            </w:pPr>
            <w:r w:rsidRPr="003F6B53">
              <w:rPr>
                <w:rStyle w:val="Strong"/>
              </w:rPr>
              <w:t>2022–23</w:t>
            </w:r>
            <w:r>
              <w:t>: n/a</w:t>
            </w:r>
            <w:r w:rsidR="003F6B53">
              <w:t>.</w:t>
            </w:r>
          </w:p>
          <w:p w14:paraId="61D1B01B" w14:textId="3D050B23" w:rsidR="00FC5EF5" w:rsidRDefault="00FC5EF5" w:rsidP="00FC5EF5">
            <w:pPr>
              <w:pStyle w:val="TableText"/>
            </w:pPr>
            <w:r w:rsidRPr="003F6B53">
              <w:rPr>
                <w:rStyle w:val="Strong"/>
              </w:rPr>
              <w:t>2023–24</w:t>
            </w:r>
            <w:r>
              <w:t>: n/a</w:t>
            </w:r>
            <w:r w:rsidR="003F6B53">
              <w:t>.</w:t>
            </w:r>
          </w:p>
          <w:p w14:paraId="1428832E" w14:textId="05891682" w:rsidR="00FC5EF5" w:rsidRPr="00B75934" w:rsidRDefault="00FC5EF5" w:rsidP="00FC5EF5">
            <w:pPr>
              <w:pStyle w:val="TableText"/>
              <w:rPr>
                <w:b/>
              </w:rPr>
            </w:pPr>
            <w:r w:rsidRPr="003F6B53">
              <w:rPr>
                <w:rStyle w:val="Strong"/>
              </w:rPr>
              <w:t>2024–25</w:t>
            </w:r>
            <w:r>
              <w:t>: n/a</w:t>
            </w:r>
            <w:r w:rsidR="003F6B53">
              <w:t>.</w:t>
            </w:r>
          </w:p>
        </w:tc>
      </w:tr>
      <w:tr w:rsidR="00455FDE" w:rsidRPr="00455FDE" w14:paraId="682035AB" w14:textId="77777777" w:rsidTr="001325BF">
        <w:trPr>
          <w:cantSplit/>
        </w:trPr>
        <w:tc>
          <w:tcPr>
            <w:tcW w:w="988" w:type="dxa"/>
            <w:tcBorders>
              <w:top w:val="nil"/>
            </w:tcBorders>
          </w:tcPr>
          <w:p w14:paraId="61BDC6A5" w14:textId="77777777" w:rsidR="00455FDE" w:rsidRPr="00455FDE" w:rsidRDefault="00455FDE" w:rsidP="002B7A00">
            <w:pPr>
              <w:pStyle w:val="TableHeading"/>
              <w:keepNext w:val="0"/>
            </w:pPr>
            <w:r w:rsidRPr="00455FDE">
              <w:t>Context</w:t>
            </w:r>
          </w:p>
        </w:tc>
        <w:tc>
          <w:tcPr>
            <w:tcW w:w="8072" w:type="dxa"/>
          </w:tcPr>
          <w:p w14:paraId="774C68D3" w14:textId="77777777" w:rsidR="001325BF" w:rsidRDefault="00455FDE" w:rsidP="00455FDE">
            <w:pPr>
              <w:spacing w:after="60" w:line="240" w:lineRule="auto"/>
              <w:rPr>
                <w:sz w:val="18"/>
              </w:rPr>
            </w:pPr>
            <w:r w:rsidRPr="00455FDE">
              <w:rPr>
                <w:sz w:val="18"/>
              </w:rPr>
              <w:t>The Lake Eyre Basin is in good health but must be protected against threats from mining infrastructure and works, vegetation clearing, over-grazing, erosion, pests and weeds and other human damage.</w:t>
            </w:r>
            <w:r w:rsidR="001325BF" w:rsidRPr="00455FDE">
              <w:rPr>
                <w:sz w:val="18"/>
              </w:rPr>
              <w:t xml:space="preserve"> </w:t>
            </w:r>
          </w:p>
          <w:p w14:paraId="1EBD883C" w14:textId="495E705F" w:rsidR="00455FDE" w:rsidRPr="00455FDE" w:rsidRDefault="001325BF" w:rsidP="001325BF">
            <w:pPr>
              <w:spacing w:after="60" w:line="240" w:lineRule="auto"/>
              <w:rPr>
                <w:sz w:val="18"/>
              </w:rPr>
            </w:pPr>
            <w:r w:rsidRPr="00455FDE">
              <w:rPr>
                <w:sz w:val="18"/>
              </w:rPr>
              <w:t>Monitoring impacts and the health of the Lake Eyre Basin</w:t>
            </w:r>
            <w:r w:rsidRPr="00455FDE" w:rsidDel="00116C2A">
              <w:rPr>
                <w:sz w:val="18"/>
              </w:rPr>
              <w:t xml:space="preserve"> </w:t>
            </w:r>
            <w:r w:rsidRPr="00455FDE">
              <w:rPr>
                <w:sz w:val="18"/>
              </w:rPr>
              <w:t>and creating clarity around jurisdictional roles and responsibilities will help ensure the health of the Lake Eyre Basin.</w:t>
            </w:r>
          </w:p>
        </w:tc>
      </w:tr>
    </w:tbl>
    <w:bookmarkEnd w:id="137"/>
    <w:p w14:paraId="4529D765" w14:textId="5885FDFA" w:rsidR="00455FDE" w:rsidRPr="00DB5B70" w:rsidRDefault="00837ADD" w:rsidP="00DB5B70">
      <w:pPr>
        <w:pStyle w:val="Heading5"/>
      </w:pPr>
      <w:r>
        <w:t xml:space="preserve">Performance </w:t>
      </w:r>
      <w:r w:rsidR="003C7A1E" w:rsidRPr="003C7A1E">
        <w:t>criterion</w:t>
      </w:r>
      <w:r>
        <w:t xml:space="preserve">: </w:t>
      </w:r>
      <w:r w:rsidR="00455FDE" w:rsidRPr="00DB5B70">
        <w:t>Water-dependent ecosystems in the Murray–Darling Basin are protected and restored.</w:t>
      </w:r>
    </w:p>
    <w:tbl>
      <w:tblPr>
        <w:tblStyle w:val="TableGrid10"/>
        <w:tblW w:w="0" w:type="auto"/>
        <w:tblBorders>
          <w:left w:val="none" w:sz="0" w:space="0" w:color="auto"/>
          <w:right w:val="none" w:sz="0" w:space="0" w:color="auto"/>
          <w:insideV w:val="none" w:sz="0" w:space="0" w:color="auto"/>
        </w:tblBorders>
        <w:tblLook w:val="04A0" w:firstRow="1" w:lastRow="0" w:firstColumn="1" w:lastColumn="0" w:noHBand="0" w:noVBand="1"/>
      </w:tblPr>
      <w:tblGrid>
        <w:gridCol w:w="988"/>
        <w:gridCol w:w="8072"/>
      </w:tblGrid>
      <w:tr w:rsidR="00051948" w:rsidRPr="00051948" w14:paraId="789BD07F" w14:textId="77777777" w:rsidTr="001325BF">
        <w:trPr>
          <w:cantSplit/>
          <w:trHeight w:val="226"/>
        </w:trPr>
        <w:tc>
          <w:tcPr>
            <w:tcW w:w="988" w:type="dxa"/>
            <w:tcBorders>
              <w:top w:val="nil"/>
              <w:bottom w:val="nil"/>
            </w:tcBorders>
            <w:shd w:val="clear" w:color="auto" w:fill="365F91" w:themeFill="accent1" w:themeFillShade="BF"/>
          </w:tcPr>
          <w:p w14:paraId="713926D0" w14:textId="77777777" w:rsidR="00455FDE" w:rsidRPr="00051948" w:rsidRDefault="00455FDE" w:rsidP="00B75934">
            <w:pPr>
              <w:pStyle w:val="TableHeading"/>
              <w:rPr>
                <w:color w:val="FFFFFF" w:themeColor="background1"/>
              </w:rPr>
            </w:pPr>
            <w:bookmarkStart w:id="138" w:name="RowTitle_17" w:colFirst="0" w:colLast="0"/>
            <w:r w:rsidRPr="00051948">
              <w:rPr>
                <w:color w:val="FFFFFF" w:themeColor="background1"/>
              </w:rPr>
              <w:t>Measure</w:t>
            </w:r>
          </w:p>
        </w:tc>
        <w:tc>
          <w:tcPr>
            <w:tcW w:w="8072" w:type="dxa"/>
            <w:tcBorders>
              <w:top w:val="nil"/>
              <w:bottom w:val="nil"/>
            </w:tcBorders>
            <w:shd w:val="clear" w:color="auto" w:fill="365F91" w:themeFill="accent1" w:themeFillShade="BF"/>
          </w:tcPr>
          <w:p w14:paraId="3892F3B2" w14:textId="77777777" w:rsidR="00455FDE" w:rsidRPr="00051948" w:rsidRDefault="00455FDE" w:rsidP="00B75934">
            <w:pPr>
              <w:pStyle w:val="TableText"/>
              <w:rPr>
                <w:color w:val="FFFFFF" w:themeColor="background1"/>
                <w:highlight w:val="yellow"/>
              </w:rPr>
            </w:pPr>
            <w:r w:rsidRPr="00051948">
              <w:rPr>
                <w:color w:val="FFFFFF" w:themeColor="background1"/>
              </w:rPr>
              <w:t>Increase in the volume of water recovered to for environmental purposes in the Murray–Darling Basin to meet Basin Plan targets. (Effectiveness)</w:t>
            </w:r>
          </w:p>
        </w:tc>
      </w:tr>
      <w:tr w:rsidR="00FC5EF5" w:rsidRPr="00455FDE" w14:paraId="62879EC2" w14:textId="77777777" w:rsidTr="001325BF">
        <w:trPr>
          <w:cantSplit/>
          <w:trHeight w:val="138"/>
        </w:trPr>
        <w:tc>
          <w:tcPr>
            <w:tcW w:w="988" w:type="dxa"/>
            <w:tcBorders>
              <w:top w:val="nil"/>
              <w:bottom w:val="nil"/>
            </w:tcBorders>
          </w:tcPr>
          <w:p w14:paraId="0C9A9A5E" w14:textId="77777777" w:rsidR="00FC5EF5" w:rsidRPr="00455FDE" w:rsidRDefault="00FC5EF5" w:rsidP="00B75934">
            <w:pPr>
              <w:pStyle w:val="TableHeading"/>
            </w:pPr>
            <w:r w:rsidRPr="00455FDE">
              <w:t>Target</w:t>
            </w:r>
          </w:p>
        </w:tc>
        <w:tc>
          <w:tcPr>
            <w:tcW w:w="8072" w:type="dxa"/>
            <w:tcBorders>
              <w:top w:val="nil"/>
            </w:tcBorders>
            <w:shd w:val="clear" w:color="auto" w:fill="auto"/>
          </w:tcPr>
          <w:p w14:paraId="7DD3EA90" w14:textId="5393755B" w:rsidR="00FC5EF5" w:rsidRDefault="00FC5EF5" w:rsidP="00FC5EF5">
            <w:pPr>
              <w:pStyle w:val="TableText"/>
            </w:pPr>
            <w:r w:rsidRPr="003F6B53">
              <w:rPr>
                <w:rStyle w:val="Strong"/>
              </w:rPr>
              <w:t>2021–22</w:t>
            </w:r>
            <w:r>
              <w:t>:</w:t>
            </w:r>
            <w:r w:rsidRPr="00455FDE">
              <w:t xml:space="preserve"> Bridging the Gap water recovery: +20</w:t>
            </w:r>
            <w:r>
              <w:t> </w:t>
            </w:r>
            <w:r w:rsidRPr="00455FDE">
              <w:t>GL recovered</w:t>
            </w:r>
            <w:r w:rsidR="0013411A">
              <w:t>.</w:t>
            </w:r>
          </w:p>
          <w:p w14:paraId="45DA8F3F" w14:textId="5B09F32E" w:rsidR="00FC5EF5" w:rsidRDefault="00FC5EF5" w:rsidP="00FC5EF5">
            <w:pPr>
              <w:pStyle w:val="TableText"/>
            </w:pPr>
            <w:r w:rsidRPr="003F6B53">
              <w:rPr>
                <w:rStyle w:val="Strong"/>
              </w:rPr>
              <w:t>2022–23</w:t>
            </w:r>
            <w:r>
              <w:t xml:space="preserve">: </w:t>
            </w:r>
            <w:r w:rsidRPr="00455FDE">
              <w:t>Bridging the Gap water recovery: +26</w:t>
            </w:r>
            <w:r>
              <w:t> </w:t>
            </w:r>
            <w:r w:rsidRPr="00455FDE">
              <w:t>GL recovered</w:t>
            </w:r>
            <w:r w:rsidR="0013411A">
              <w:t>.</w:t>
            </w:r>
          </w:p>
          <w:p w14:paraId="6CB64451" w14:textId="20AC1419" w:rsidR="00FC5EF5" w:rsidRDefault="00FC5EF5" w:rsidP="00FC5EF5">
            <w:pPr>
              <w:pStyle w:val="TableText"/>
            </w:pPr>
            <w:r w:rsidRPr="003F6B53">
              <w:rPr>
                <w:rStyle w:val="Strong"/>
              </w:rPr>
              <w:t>2023–24</w:t>
            </w:r>
            <w:r>
              <w:t>:</w:t>
            </w:r>
            <w:r w:rsidRPr="00455FDE">
              <w:t xml:space="preserve"> Bridging the Gap water recovery complete</w:t>
            </w:r>
            <w:r w:rsidR="0013411A">
              <w:t>.</w:t>
            </w:r>
          </w:p>
          <w:p w14:paraId="35C50618" w14:textId="2767CEDD" w:rsidR="00FC5EF5" w:rsidRPr="00455FDE" w:rsidRDefault="00FC5EF5" w:rsidP="00FC5EF5">
            <w:pPr>
              <w:pStyle w:val="TableText"/>
            </w:pPr>
            <w:r w:rsidRPr="003F6B53">
              <w:rPr>
                <w:rStyle w:val="Strong"/>
              </w:rPr>
              <w:t>2024–25</w:t>
            </w:r>
            <w:r>
              <w:t>: n/a</w:t>
            </w:r>
          </w:p>
        </w:tc>
      </w:tr>
      <w:tr w:rsidR="00577269" w:rsidRPr="00455FDE" w14:paraId="78B5FDE3" w14:textId="77777777" w:rsidTr="001325BF">
        <w:trPr>
          <w:cantSplit/>
          <w:trHeight w:val="267"/>
        </w:trPr>
        <w:tc>
          <w:tcPr>
            <w:tcW w:w="988" w:type="dxa"/>
            <w:tcBorders>
              <w:top w:val="nil"/>
              <w:bottom w:val="nil"/>
            </w:tcBorders>
          </w:tcPr>
          <w:p w14:paraId="5CEAADDF" w14:textId="446D12FD" w:rsidR="00577269" w:rsidRPr="00455FDE" w:rsidRDefault="00577269" w:rsidP="00577269">
            <w:pPr>
              <w:pStyle w:val="TableHeading"/>
            </w:pPr>
            <w:r w:rsidRPr="00577269">
              <w:t>Target</w:t>
            </w:r>
          </w:p>
        </w:tc>
        <w:tc>
          <w:tcPr>
            <w:tcW w:w="8072" w:type="dxa"/>
            <w:shd w:val="clear" w:color="auto" w:fill="auto"/>
          </w:tcPr>
          <w:p w14:paraId="22D6FE09" w14:textId="77777777" w:rsidR="00577269" w:rsidRDefault="00577269" w:rsidP="00577269">
            <w:pPr>
              <w:pStyle w:val="TableText"/>
            </w:pPr>
            <w:r w:rsidRPr="003F6B53">
              <w:rPr>
                <w:rStyle w:val="Strong"/>
              </w:rPr>
              <w:t>2021–22</w:t>
            </w:r>
            <w:r>
              <w:t>:</w:t>
            </w:r>
            <w:r w:rsidRPr="00455FDE">
              <w:t xml:space="preserve"> Progress towards the recovery of 450</w:t>
            </w:r>
            <w:r>
              <w:t> </w:t>
            </w:r>
            <w:r w:rsidRPr="00455FDE">
              <w:t>GL of additional water.</w:t>
            </w:r>
          </w:p>
          <w:p w14:paraId="2CDC737E" w14:textId="77777777" w:rsidR="00577269" w:rsidRDefault="00577269" w:rsidP="00577269">
            <w:pPr>
              <w:pStyle w:val="TableText"/>
            </w:pPr>
            <w:r w:rsidRPr="003F6B53">
              <w:rPr>
                <w:rStyle w:val="Strong"/>
              </w:rPr>
              <w:t>2022–23</w:t>
            </w:r>
            <w:r>
              <w:t xml:space="preserve">: </w:t>
            </w:r>
            <w:r w:rsidRPr="00455FDE">
              <w:t>Progress towards the recovery of 450</w:t>
            </w:r>
            <w:r>
              <w:t> </w:t>
            </w:r>
            <w:r w:rsidRPr="00455FDE">
              <w:t>GL of additional water.</w:t>
            </w:r>
          </w:p>
          <w:p w14:paraId="2047628C" w14:textId="77777777" w:rsidR="00577269" w:rsidRDefault="00577269" w:rsidP="00577269">
            <w:pPr>
              <w:pStyle w:val="TableText"/>
            </w:pPr>
            <w:r w:rsidRPr="003F6B53">
              <w:rPr>
                <w:rStyle w:val="Strong"/>
              </w:rPr>
              <w:t>2023–24</w:t>
            </w:r>
            <w:r>
              <w:t>:</w:t>
            </w:r>
            <w:r w:rsidRPr="00455FDE">
              <w:t xml:space="preserve"> 450 GL of additional water to enhance the environmental outcomes achieved by the Basin Plan recovered by 30 June 2024.</w:t>
            </w:r>
          </w:p>
          <w:p w14:paraId="0914A977" w14:textId="77313611" w:rsidR="00577269" w:rsidRPr="00455FDE" w:rsidRDefault="00577269" w:rsidP="00577269">
            <w:pPr>
              <w:pStyle w:val="TableText"/>
            </w:pPr>
            <w:r w:rsidRPr="003F6B53">
              <w:rPr>
                <w:rStyle w:val="Strong"/>
              </w:rPr>
              <w:t>2024–25</w:t>
            </w:r>
            <w:r>
              <w:t>: n/a.</w:t>
            </w:r>
          </w:p>
        </w:tc>
      </w:tr>
      <w:tr w:rsidR="00455FDE" w:rsidRPr="00455FDE" w14:paraId="295ECCD4" w14:textId="77777777" w:rsidTr="001325BF">
        <w:trPr>
          <w:cantSplit/>
        </w:trPr>
        <w:tc>
          <w:tcPr>
            <w:tcW w:w="988" w:type="dxa"/>
            <w:tcBorders>
              <w:top w:val="nil"/>
              <w:bottom w:val="single" w:sz="4" w:space="0" w:color="365F91" w:themeColor="accent1" w:themeShade="BF"/>
            </w:tcBorders>
          </w:tcPr>
          <w:p w14:paraId="78D9EE7D" w14:textId="77777777" w:rsidR="00455FDE" w:rsidRPr="00455FDE" w:rsidRDefault="00455FDE" w:rsidP="002B7A00">
            <w:pPr>
              <w:pStyle w:val="TableHeading"/>
              <w:keepNext w:val="0"/>
            </w:pPr>
            <w:r w:rsidRPr="00455FDE">
              <w:t>Context</w:t>
            </w:r>
          </w:p>
        </w:tc>
        <w:tc>
          <w:tcPr>
            <w:tcW w:w="8072" w:type="dxa"/>
            <w:tcBorders>
              <w:bottom w:val="single" w:sz="4" w:space="0" w:color="365F91" w:themeColor="accent1" w:themeShade="BF"/>
            </w:tcBorders>
          </w:tcPr>
          <w:p w14:paraId="5B9F2985" w14:textId="77777777" w:rsidR="00455FDE" w:rsidRPr="00455FDE" w:rsidRDefault="00455FDE" w:rsidP="00B75934">
            <w:pPr>
              <w:pStyle w:val="TableText"/>
            </w:pPr>
            <w:r w:rsidRPr="00455FDE">
              <w:t>Much of our work under the Murray–Darling Basin Plan relates to supporting the recovery of water. This maintains river health and associated impacts such as biodiversity and water quality.</w:t>
            </w:r>
          </w:p>
          <w:p w14:paraId="5CE49DD2" w14:textId="0D4673B5" w:rsidR="00455FDE" w:rsidRPr="00455FDE" w:rsidRDefault="00455FDE" w:rsidP="00B75934">
            <w:pPr>
              <w:pStyle w:val="TableBullet1"/>
            </w:pPr>
            <w:r w:rsidRPr="00455FDE">
              <w:t>Bridging the Gap</w:t>
            </w:r>
            <w:r w:rsidR="00116C2A">
              <w:t xml:space="preserve">. </w:t>
            </w:r>
            <w:r w:rsidRPr="00455FDE">
              <w:t xml:space="preserve">Almost </w:t>
            </w:r>
            <w:proofErr w:type="gramStart"/>
            <w:r w:rsidRPr="00455FDE">
              <w:t>all of</w:t>
            </w:r>
            <w:proofErr w:type="gramEnd"/>
            <w:r w:rsidRPr="00455FDE">
              <w:t xml:space="preserve"> the 2,075 GL Bridging the Gap target has been recovered, with only 46 GL remaining as of </w:t>
            </w:r>
            <w:r w:rsidR="008E7822" w:rsidRPr="00440BC0">
              <w:t>31</w:t>
            </w:r>
            <w:r w:rsidR="008E7822">
              <w:t> </w:t>
            </w:r>
            <w:r w:rsidR="008E7822" w:rsidRPr="00440BC0">
              <w:t>March</w:t>
            </w:r>
            <w:r w:rsidR="008E7822">
              <w:t> </w:t>
            </w:r>
            <w:r w:rsidRPr="00440BC0">
              <w:t>2021.</w:t>
            </w:r>
          </w:p>
          <w:p w14:paraId="6BD36F39" w14:textId="1C121182" w:rsidR="00455FDE" w:rsidRPr="00455FDE" w:rsidRDefault="00455FDE" w:rsidP="00B75934">
            <w:pPr>
              <w:pStyle w:val="TableBullet1"/>
            </w:pPr>
            <w:r w:rsidRPr="00455FDE">
              <w:t xml:space="preserve">Additional </w:t>
            </w:r>
            <w:r w:rsidR="008E7822" w:rsidRPr="00455FDE">
              <w:t>450</w:t>
            </w:r>
            <w:r w:rsidR="008E7822">
              <w:t> </w:t>
            </w:r>
            <w:r w:rsidRPr="00455FDE">
              <w:t>GL</w:t>
            </w:r>
            <w:r w:rsidR="00116C2A">
              <w:t xml:space="preserve">. </w:t>
            </w:r>
            <w:r w:rsidRPr="00455FDE">
              <w:t xml:space="preserve">Under the Basin Plan, the Sustainable Diversion Limit Adjustment Mechanism requires the development of efficiency measures to recovery an additional </w:t>
            </w:r>
            <w:r w:rsidR="008E7822" w:rsidRPr="00455FDE">
              <w:t>450</w:t>
            </w:r>
            <w:r w:rsidR="008E7822">
              <w:t> </w:t>
            </w:r>
            <w:r w:rsidRPr="00455FDE">
              <w:t xml:space="preserve">GL a year by </w:t>
            </w:r>
            <w:r w:rsidR="008E7822" w:rsidRPr="00455FDE">
              <w:t>30</w:t>
            </w:r>
            <w:r w:rsidR="008E7822">
              <w:t> </w:t>
            </w:r>
            <w:r w:rsidR="008E7822" w:rsidRPr="00455FDE">
              <w:t>June</w:t>
            </w:r>
            <w:r w:rsidR="008E7822">
              <w:t> </w:t>
            </w:r>
            <w:r w:rsidRPr="00455FDE">
              <w:t xml:space="preserve">2024. </w:t>
            </w:r>
            <w:proofErr w:type="gramStart"/>
            <w:r w:rsidRPr="00455FDE">
              <w:t>A number of</w:t>
            </w:r>
            <w:proofErr w:type="gramEnd"/>
            <w:r w:rsidRPr="00455FDE">
              <w:t xml:space="preserve"> pressures on community and the environment, particularly drought, has slowed progress against the additional 450 GL target.</w:t>
            </w:r>
          </w:p>
        </w:tc>
      </w:tr>
      <w:tr w:rsidR="00051948" w:rsidRPr="00051948" w14:paraId="37BCB8FE" w14:textId="77777777" w:rsidTr="001325BF">
        <w:trPr>
          <w:cantSplit/>
          <w:trHeight w:val="226"/>
        </w:trPr>
        <w:tc>
          <w:tcPr>
            <w:tcW w:w="988" w:type="dxa"/>
            <w:tcBorders>
              <w:top w:val="single" w:sz="4" w:space="0" w:color="365F91" w:themeColor="accent1" w:themeShade="BF"/>
              <w:bottom w:val="nil"/>
            </w:tcBorders>
            <w:shd w:val="clear" w:color="auto" w:fill="365F91" w:themeFill="accent1" w:themeFillShade="BF"/>
          </w:tcPr>
          <w:p w14:paraId="42495E9D" w14:textId="77777777" w:rsidR="00455FDE" w:rsidRPr="00051948" w:rsidRDefault="00455FDE" w:rsidP="00B75934">
            <w:pPr>
              <w:pStyle w:val="TableHeading"/>
              <w:rPr>
                <w:color w:val="FFFFFF" w:themeColor="background1"/>
              </w:rPr>
            </w:pPr>
            <w:r w:rsidRPr="00051948">
              <w:rPr>
                <w:color w:val="FFFFFF" w:themeColor="background1"/>
              </w:rPr>
              <w:t>Measure</w:t>
            </w:r>
          </w:p>
        </w:tc>
        <w:tc>
          <w:tcPr>
            <w:tcW w:w="8072" w:type="dxa"/>
            <w:tcBorders>
              <w:top w:val="single" w:sz="4" w:space="0" w:color="365F91" w:themeColor="accent1" w:themeShade="BF"/>
              <w:bottom w:val="nil"/>
            </w:tcBorders>
            <w:shd w:val="clear" w:color="auto" w:fill="365F91" w:themeFill="accent1" w:themeFillShade="BF"/>
          </w:tcPr>
          <w:p w14:paraId="13BF94D0" w14:textId="77777777" w:rsidR="00455FDE" w:rsidRPr="00051948" w:rsidRDefault="00455FDE" w:rsidP="00B75934">
            <w:pPr>
              <w:pStyle w:val="TableText"/>
              <w:rPr>
                <w:color w:val="FFFFFF" w:themeColor="background1"/>
                <w:highlight w:val="yellow"/>
              </w:rPr>
            </w:pPr>
            <w:r w:rsidRPr="00051948">
              <w:rPr>
                <w:color w:val="FFFFFF" w:themeColor="background1"/>
              </w:rPr>
              <w:t>The application of environmental water delivers ecological benefit in accordance with the Murray–Darling Basin Plan. (Effectiveness)</w:t>
            </w:r>
          </w:p>
        </w:tc>
      </w:tr>
      <w:tr w:rsidR="00FC5EF5" w:rsidRPr="00455FDE" w14:paraId="6CA9018D" w14:textId="77777777" w:rsidTr="001325BF">
        <w:trPr>
          <w:cantSplit/>
          <w:trHeight w:val="138"/>
        </w:trPr>
        <w:tc>
          <w:tcPr>
            <w:tcW w:w="988" w:type="dxa"/>
            <w:tcBorders>
              <w:top w:val="nil"/>
              <w:bottom w:val="nil"/>
            </w:tcBorders>
          </w:tcPr>
          <w:p w14:paraId="5E11C269" w14:textId="77777777" w:rsidR="00FC5EF5" w:rsidRPr="00455FDE" w:rsidRDefault="00FC5EF5" w:rsidP="00B75934">
            <w:pPr>
              <w:pStyle w:val="TableHeading"/>
            </w:pPr>
            <w:r w:rsidRPr="00455FDE">
              <w:t>Target</w:t>
            </w:r>
          </w:p>
        </w:tc>
        <w:tc>
          <w:tcPr>
            <w:tcW w:w="8072" w:type="dxa"/>
            <w:tcBorders>
              <w:top w:val="nil"/>
            </w:tcBorders>
            <w:shd w:val="clear" w:color="auto" w:fill="auto"/>
          </w:tcPr>
          <w:p w14:paraId="2BBFA1DC" w14:textId="77777777" w:rsidR="00FC5EF5" w:rsidRDefault="00FC5EF5" w:rsidP="00FC5EF5">
            <w:pPr>
              <w:pStyle w:val="TableText"/>
            </w:pPr>
            <w:r w:rsidRPr="003F6B53">
              <w:rPr>
                <w:rStyle w:val="Strong"/>
              </w:rPr>
              <w:t>2021–22</w:t>
            </w:r>
            <w:r>
              <w:t>:</w:t>
            </w:r>
            <w:r w:rsidRPr="00455FDE">
              <w:t xml:space="preserve"> The Commonwealth Environmental Water Office is assessed as delivering positive benefits.</w:t>
            </w:r>
          </w:p>
          <w:p w14:paraId="71B14EC2" w14:textId="35F416E6" w:rsidR="00FC5EF5" w:rsidRDefault="00FC5EF5" w:rsidP="00FC5EF5">
            <w:pPr>
              <w:pStyle w:val="TableText"/>
            </w:pPr>
            <w:r w:rsidRPr="003F6B53">
              <w:rPr>
                <w:rStyle w:val="Strong"/>
              </w:rPr>
              <w:t>2022–23</w:t>
            </w:r>
            <w:r>
              <w:t>:</w:t>
            </w:r>
            <w:r w:rsidRPr="000012A2">
              <w:t xml:space="preserve"> As for 2021–22</w:t>
            </w:r>
            <w:r w:rsidR="003F6B53">
              <w:t>.</w:t>
            </w:r>
          </w:p>
          <w:p w14:paraId="3A276083" w14:textId="701F3E9B" w:rsidR="00FC5EF5" w:rsidRDefault="00FC5EF5" w:rsidP="00FC5EF5">
            <w:pPr>
              <w:pStyle w:val="TableText"/>
            </w:pPr>
            <w:r w:rsidRPr="003F6B53">
              <w:rPr>
                <w:rStyle w:val="Strong"/>
              </w:rPr>
              <w:t>2023–24</w:t>
            </w:r>
            <w:r>
              <w:t>:</w:t>
            </w:r>
            <w:r w:rsidRPr="000012A2">
              <w:t xml:space="preserve"> As for 2021–22</w:t>
            </w:r>
            <w:r w:rsidR="003F6B53">
              <w:t>.</w:t>
            </w:r>
          </w:p>
          <w:p w14:paraId="3690D0DA" w14:textId="79B1C454" w:rsidR="00FC5EF5" w:rsidRPr="00455FDE" w:rsidRDefault="00FC5EF5" w:rsidP="00FC5EF5">
            <w:pPr>
              <w:pStyle w:val="TableText"/>
            </w:pPr>
            <w:r w:rsidRPr="003F6B53">
              <w:rPr>
                <w:rStyle w:val="Strong"/>
              </w:rPr>
              <w:t>2024–25</w:t>
            </w:r>
            <w:r>
              <w:t>:</w:t>
            </w:r>
            <w:r w:rsidRPr="000012A2">
              <w:t xml:space="preserve"> As for 2021–22</w:t>
            </w:r>
            <w:r w:rsidR="003F6B53">
              <w:t>.</w:t>
            </w:r>
          </w:p>
        </w:tc>
      </w:tr>
      <w:tr w:rsidR="00455FDE" w:rsidRPr="00455FDE" w14:paraId="08E6F6F5" w14:textId="77777777" w:rsidTr="001325BF">
        <w:trPr>
          <w:cantSplit/>
        </w:trPr>
        <w:tc>
          <w:tcPr>
            <w:tcW w:w="988" w:type="dxa"/>
            <w:tcBorders>
              <w:top w:val="nil"/>
              <w:bottom w:val="nil"/>
            </w:tcBorders>
          </w:tcPr>
          <w:p w14:paraId="29F6DDB7" w14:textId="77777777" w:rsidR="00455FDE" w:rsidRPr="00455FDE" w:rsidRDefault="00455FDE" w:rsidP="002B7A00">
            <w:pPr>
              <w:pStyle w:val="TableHeading"/>
              <w:keepNext w:val="0"/>
            </w:pPr>
            <w:r w:rsidRPr="00455FDE">
              <w:t>Context</w:t>
            </w:r>
          </w:p>
        </w:tc>
        <w:tc>
          <w:tcPr>
            <w:tcW w:w="8072" w:type="dxa"/>
            <w:tcBorders>
              <w:bottom w:val="nil"/>
            </w:tcBorders>
          </w:tcPr>
          <w:p w14:paraId="7EA46E0C" w14:textId="77777777" w:rsidR="00455FDE" w:rsidRPr="00455FDE" w:rsidRDefault="00455FDE" w:rsidP="00B75934">
            <w:pPr>
              <w:pStyle w:val="TableText"/>
            </w:pPr>
            <w:r w:rsidRPr="00455FDE">
              <w:t xml:space="preserve">We work through the Commonwealth Environmental Water Office to deliver water for the environment in the Murray–Darling Basin. The delivery of environmental water is used to help keep rivers healthy so they can continue to sustain healthy communities. </w:t>
            </w:r>
          </w:p>
          <w:p w14:paraId="051EC7E3" w14:textId="63E29374" w:rsidR="00455FDE" w:rsidRPr="00455FDE" w:rsidRDefault="00455FDE" w:rsidP="00B75934">
            <w:pPr>
              <w:pStyle w:val="TableText"/>
            </w:pPr>
            <w:r w:rsidRPr="00455FDE">
              <w:t>Long</w:t>
            </w:r>
            <w:r w:rsidRPr="00455FDE">
              <w:noBreakHyphen/>
            </w:r>
            <w:r w:rsidR="00E05C2D">
              <w:t>t</w:t>
            </w:r>
            <w:r w:rsidR="00E05C2D" w:rsidRPr="00455FDE">
              <w:t xml:space="preserve">erm </w:t>
            </w:r>
            <w:r w:rsidR="00E05C2D">
              <w:t>i</w:t>
            </w:r>
            <w:r w:rsidR="00E05C2D" w:rsidRPr="00455FDE">
              <w:t xml:space="preserve">ntervention </w:t>
            </w:r>
            <w:r w:rsidR="00E05C2D">
              <w:t>m</w:t>
            </w:r>
            <w:r w:rsidR="00E05C2D" w:rsidRPr="00455FDE">
              <w:t xml:space="preserve">onitoring </w:t>
            </w:r>
            <w:r w:rsidRPr="00455FDE">
              <w:t>reports provide a detailed and nuanced view of our performance across many individual metrics and account for external impacts.</w:t>
            </w:r>
          </w:p>
        </w:tc>
      </w:tr>
      <w:tr w:rsidR="00051948" w:rsidRPr="00051948" w14:paraId="2136116A" w14:textId="77777777" w:rsidTr="001325BF">
        <w:trPr>
          <w:cantSplit/>
          <w:trHeight w:val="226"/>
        </w:trPr>
        <w:tc>
          <w:tcPr>
            <w:tcW w:w="988" w:type="dxa"/>
            <w:tcBorders>
              <w:top w:val="nil"/>
              <w:bottom w:val="nil"/>
            </w:tcBorders>
            <w:shd w:val="clear" w:color="auto" w:fill="365F91" w:themeFill="accent1" w:themeFillShade="BF"/>
          </w:tcPr>
          <w:p w14:paraId="5B2E9A97" w14:textId="77777777" w:rsidR="00455FDE" w:rsidRPr="00051948" w:rsidRDefault="00455FDE" w:rsidP="00B75934">
            <w:pPr>
              <w:pStyle w:val="TableHeading"/>
              <w:rPr>
                <w:color w:val="FFFFFF" w:themeColor="background1"/>
              </w:rPr>
            </w:pPr>
            <w:r w:rsidRPr="00051948">
              <w:rPr>
                <w:color w:val="FFFFFF" w:themeColor="background1"/>
              </w:rPr>
              <w:lastRenderedPageBreak/>
              <w:t>Measure</w:t>
            </w:r>
          </w:p>
        </w:tc>
        <w:tc>
          <w:tcPr>
            <w:tcW w:w="8072" w:type="dxa"/>
            <w:tcBorders>
              <w:top w:val="nil"/>
              <w:bottom w:val="nil"/>
            </w:tcBorders>
            <w:shd w:val="clear" w:color="auto" w:fill="365F91" w:themeFill="accent1" w:themeFillShade="BF"/>
          </w:tcPr>
          <w:p w14:paraId="25ED71DE" w14:textId="77777777" w:rsidR="00455FDE" w:rsidRPr="00051948" w:rsidRDefault="00455FDE" w:rsidP="00B75934">
            <w:pPr>
              <w:pStyle w:val="TableText"/>
              <w:rPr>
                <w:color w:val="FFFFFF" w:themeColor="background1"/>
                <w:highlight w:val="yellow"/>
              </w:rPr>
            </w:pPr>
            <w:r w:rsidRPr="00051948">
              <w:rPr>
                <w:color w:val="FFFFFF" w:themeColor="background1"/>
              </w:rPr>
              <w:t>Environmental water flows support connection between the river and floodplain, and between hydrologically connected valleys in the Murray–Darling Basin. (Effectiveness)</w:t>
            </w:r>
          </w:p>
        </w:tc>
      </w:tr>
      <w:tr w:rsidR="00FC5EF5" w:rsidRPr="00455FDE" w14:paraId="512EA1DA" w14:textId="77777777" w:rsidTr="001325BF">
        <w:trPr>
          <w:cantSplit/>
          <w:trHeight w:val="138"/>
        </w:trPr>
        <w:tc>
          <w:tcPr>
            <w:tcW w:w="988" w:type="dxa"/>
            <w:tcBorders>
              <w:top w:val="nil"/>
              <w:bottom w:val="nil"/>
            </w:tcBorders>
          </w:tcPr>
          <w:p w14:paraId="3246D917" w14:textId="77777777" w:rsidR="00FC5EF5" w:rsidRPr="00455FDE" w:rsidRDefault="00FC5EF5" w:rsidP="00B75934">
            <w:pPr>
              <w:pStyle w:val="TableHeading"/>
            </w:pPr>
            <w:r w:rsidRPr="00455FDE">
              <w:t>Target</w:t>
            </w:r>
          </w:p>
        </w:tc>
        <w:tc>
          <w:tcPr>
            <w:tcW w:w="8072" w:type="dxa"/>
            <w:tcBorders>
              <w:top w:val="nil"/>
            </w:tcBorders>
            <w:shd w:val="clear" w:color="auto" w:fill="auto"/>
          </w:tcPr>
          <w:p w14:paraId="267F6A7A" w14:textId="77777777" w:rsidR="00FC5EF5" w:rsidRDefault="00FC5EF5" w:rsidP="00FC5EF5">
            <w:pPr>
              <w:pStyle w:val="TableText"/>
            </w:pPr>
            <w:r w:rsidRPr="003F6B53">
              <w:rPr>
                <w:rStyle w:val="Strong"/>
              </w:rPr>
              <w:t>2021–22</w:t>
            </w:r>
            <w:r>
              <w:t>:</w:t>
            </w:r>
            <w:r w:rsidRPr="00455FDE">
              <w:t xml:space="preserve"> Flows maintain</w:t>
            </w:r>
            <w:r>
              <w:t xml:space="preserve"> </w:t>
            </w:r>
            <w:r w:rsidRPr="00455FDE">
              <w:t>or improve ecosystem health.</w:t>
            </w:r>
          </w:p>
          <w:p w14:paraId="01249EFE" w14:textId="33C5CCD1" w:rsidR="00FC5EF5" w:rsidRDefault="00FC5EF5" w:rsidP="00FC5EF5">
            <w:pPr>
              <w:pStyle w:val="TableText"/>
            </w:pPr>
            <w:r w:rsidRPr="003F6B53">
              <w:rPr>
                <w:rStyle w:val="Strong"/>
              </w:rPr>
              <w:t>2022–23</w:t>
            </w:r>
            <w:r>
              <w:t>:</w:t>
            </w:r>
            <w:r w:rsidRPr="000012A2">
              <w:t xml:space="preserve"> As for 2021–22</w:t>
            </w:r>
            <w:r w:rsidR="003F6B53">
              <w:t>.</w:t>
            </w:r>
          </w:p>
          <w:p w14:paraId="74F4337D" w14:textId="464F42F8" w:rsidR="00FC5EF5" w:rsidRDefault="00FC5EF5" w:rsidP="00FC5EF5">
            <w:pPr>
              <w:pStyle w:val="TableText"/>
            </w:pPr>
            <w:r w:rsidRPr="003F6B53">
              <w:rPr>
                <w:rStyle w:val="Strong"/>
              </w:rPr>
              <w:t>2023–24</w:t>
            </w:r>
            <w:r>
              <w:t>:</w:t>
            </w:r>
            <w:r w:rsidRPr="000012A2">
              <w:t xml:space="preserve"> As for 2021–22</w:t>
            </w:r>
            <w:r w:rsidR="003F6B53">
              <w:t>.</w:t>
            </w:r>
          </w:p>
          <w:p w14:paraId="45651049" w14:textId="69C90426" w:rsidR="00FC5EF5" w:rsidRPr="00455FDE" w:rsidRDefault="00FC5EF5" w:rsidP="00FC5EF5">
            <w:pPr>
              <w:pStyle w:val="TableText"/>
            </w:pPr>
            <w:r w:rsidRPr="003F6B53">
              <w:rPr>
                <w:rStyle w:val="Strong"/>
              </w:rPr>
              <w:t>2024–25</w:t>
            </w:r>
            <w:r>
              <w:t>:</w:t>
            </w:r>
            <w:r w:rsidRPr="000012A2">
              <w:t xml:space="preserve"> As for 2021–22</w:t>
            </w:r>
            <w:r w:rsidR="003F6B53">
              <w:t>.</w:t>
            </w:r>
          </w:p>
        </w:tc>
      </w:tr>
      <w:tr w:rsidR="00455FDE" w:rsidRPr="00455FDE" w14:paraId="1FF4B330" w14:textId="77777777" w:rsidTr="001325BF">
        <w:trPr>
          <w:cantSplit/>
        </w:trPr>
        <w:tc>
          <w:tcPr>
            <w:tcW w:w="988" w:type="dxa"/>
            <w:tcBorders>
              <w:top w:val="nil"/>
              <w:bottom w:val="single" w:sz="4" w:space="0" w:color="auto"/>
            </w:tcBorders>
          </w:tcPr>
          <w:p w14:paraId="2084C744" w14:textId="77777777" w:rsidR="00455FDE" w:rsidRPr="00455FDE" w:rsidRDefault="00455FDE" w:rsidP="002B7A00">
            <w:pPr>
              <w:pStyle w:val="TableHeading"/>
              <w:keepNext w:val="0"/>
            </w:pPr>
            <w:r w:rsidRPr="00455FDE">
              <w:t>Context</w:t>
            </w:r>
          </w:p>
        </w:tc>
        <w:tc>
          <w:tcPr>
            <w:tcW w:w="8072" w:type="dxa"/>
            <w:tcBorders>
              <w:bottom w:val="single" w:sz="4" w:space="0" w:color="auto"/>
            </w:tcBorders>
          </w:tcPr>
          <w:p w14:paraId="20DD3C12" w14:textId="77777777" w:rsidR="00455FDE" w:rsidRPr="00455FDE" w:rsidRDefault="00455FDE" w:rsidP="00B75934">
            <w:pPr>
              <w:pStyle w:val="TableText"/>
            </w:pPr>
            <w:r w:rsidRPr="00455FDE">
              <w:t>Environmental water flows are one of the direct levers that we can influence to affect change in the various other environmental outcome measures of the Long-Term Intervention Monitoring Project.</w:t>
            </w:r>
          </w:p>
          <w:p w14:paraId="62563323" w14:textId="77777777" w:rsidR="00455FDE" w:rsidRPr="00455FDE" w:rsidRDefault="00455FDE" w:rsidP="00B75934">
            <w:pPr>
              <w:pStyle w:val="TableText"/>
            </w:pPr>
            <w:r w:rsidRPr="00455FDE">
              <w:t>Increasing the volume of flows over modelled baselines allows a greater percentage of the river to remain inundated for longer periods in the year, producing benefits for river and floodplain health.</w:t>
            </w:r>
          </w:p>
        </w:tc>
      </w:tr>
      <w:tr w:rsidR="00051948" w:rsidRPr="00051948" w14:paraId="74991E4D" w14:textId="77777777" w:rsidTr="001325BF">
        <w:trPr>
          <w:cantSplit/>
          <w:trHeight w:val="226"/>
        </w:trPr>
        <w:tc>
          <w:tcPr>
            <w:tcW w:w="988" w:type="dxa"/>
            <w:tcBorders>
              <w:top w:val="single" w:sz="4" w:space="0" w:color="auto"/>
              <w:bottom w:val="nil"/>
            </w:tcBorders>
            <w:shd w:val="clear" w:color="auto" w:fill="365F91" w:themeFill="accent1" w:themeFillShade="BF"/>
          </w:tcPr>
          <w:p w14:paraId="33B408B9" w14:textId="77777777" w:rsidR="00455FDE" w:rsidRPr="00051948" w:rsidRDefault="00455FDE" w:rsidP="00B75934">
            <w:pPr>
              <w:pStyle w:val="TableHeading"/>
              <w:rPr>
                <w:color w:val="FFFFFF" w:themeColor="background1"/>
              </w:rPr>
            </w:pPr>
            <w:r w:rsidRPr="00051948">
              <w:rPr>
                <w:color w:val="FFFFFF" w:themeColor="background1"/>
              </w:rPr>
              <w:t>Measure</w:t>
            </w:r>
          </w:p>
        </w:tc>
        <w:tc>
          <w:tcPr>
            <w:tcW w:w="8072" w:type="dxa"/>
            <w:tcBorders>
              <w:top w:val="single" w:sz="4" w:space="0" w:color="auto"/>
              <w:bottom w:val="nil"/>
            </w:tcBorders>
            <w:shd w:val="clear" w:color="auto" w:fill="365F91" w:themeFill="accent1" w:themeFillShade="BF"/>
          </w:tcPr>
          <w:p w14:paraId="1CBF5E80" w14:textId="440FD215" w:rsidR="00455FDE" w:rsidRPr="00051948" w:rsidRDefault="00455FDE" w:rsidP="00B75934">
            <w:pPr>
              <w:pStyle w:val="TableText"/>
              <w:rPr>
                <w:color w:val="FFFFFF" w:themeColor="background1"/>
                <w:highlight w:val="yellow"/>
              </w:rPr>
            </w:pPr>
            <w:r w:rsidRPr="00051948">
              <w:rPr>
                <w:color w:val="FFFFFF" w:themeColor="background1"/>
              </w:rPr>
              <w:t>Percentage of Basin jurisdictions assessed as meeting all applicable 2021–</w:t>
            </w:r>
            <w:r w:rsidR="008E7822" w:rsidRPr="00051948">
              <w:rPr>
                <w:color w:val="FFFFFF" w:themeColor="background1"/>
              </w:rPr>
              <w:t>22 </w:t>
            </w:r>
            <w:r w:rsidRPr="00051948">
              <w:rPr>
                <w:color w:val="FFFFFF" w:themeColor="background1"/>
              </w:rPr>
              <w:t xml:space="preserve">milestones under the Federation Funding </w:t>
            </w:r>
            <w:r w:rsidR="008E7822" w:rsidRPr="00051948">
              <w:rPr>
                <w:color w:val="FFFFFF" w:themeColor="background1"/>
              </w:rPr>
              <w:t>Agreement </w:t>
            </w:r>
            <w:r w:rsidRPr="00051948">
              <w:rPr>
                <w:color w:val="FFFFFF" w:themeColor="background1"/>
              </w:rPr>
              <w:t>–</w:t>
            </w:r>
            <w:r w:rsidR="008E7822" w:rsidRPr="00051948">
              <w:rPr>
                <w:color w:val="FFFFFF" w:themeColor="background1"/>
              </w:rPr>
              <w:t> </w:t>
            </w:r>
            <w:r w:rsidRPr="00051948">
              <w:rPr>
                <w:color w:val="FFFFFF" w:themeColor="background1"/>
              </w:rPr>
              <w:t>Environment relating to water reform in the Murray</w:t>
            </w:r>
            <w:r w:rsidR="00E05C2D" w:rsidRPr="00051948">
              <w:rPr>
                <w:color w:val="FFFFFF" w:themeColor="background1"/>
              </w:rPr>
              <w:t>–</w:t>
            </w:r>
            <w:r w:rsidRPr="00051948">
              <w:rPr>
                <w:color w:val="FFFFFF" w:themeColor="background1"/>
              </w:rPr>
              <w:t>Darling Basin. (Output)</w:t>
            </w:r>
          </w:p>
        </w:tc>
      </w:tr>
      <w:tr w:rsidR="00FC5EF5" w:rsidRPr="00455FDE" w14:paraId="08499DB1" w14:textId="77777777" w:rsidTr="001325BF">
        <w:trPr>
          <w:cantSplit/>
          <w:trHeight w:val="138"/>
        </w:trPr>
        <w:tc>
          <w:tcPr>
            <w:tcW w:w="988" w:type="dxa"/>
            <w:tcBorders>
              <w:top w:val="nil"/>
              <w:bottom w:val="nil"/>
            </w:tcBorders>
          </w:tcPr>
          <w:p w14:paraId="312C6CF4" w14:textId="77777777" w:rsidR="00FC5EF5" w:rsidRPr="00455FDE" w:rsidRDefault="00FC5EF5" w:rsidP="00B75934">
            <w:pPr>
              <w:pStyle w:val="TableHeading"/>
            </w:pPr>
            <w:r w:rsidRPr="00455FDE">
              <w:t>Target</w:t>
            </w:r>
          </w:p>
        </w:tc>
        <w:tc>
          <w:tcPr>
            <w:tcW w:w="8072" w:type="dxa"/>
            <w:tcBorders>
              <w:top w:val="nil"/>
            </w:tcBorders>
            <w:shd w:val="clear" w:color="auto" w:fill="auto"/>
          </w:tcPr>
          <w:p w14:paraId="59826B6F" w14:textId="77777777" w:rsidR="00FC5EF5" w:rsidRDefault="00FC5EF5" w:rsidP="00FC5EF5">
            <w:pPr>
              <w:pStyle w:val="TableText"/>
            </w:pPr>
            <w:r w:rsidRPr="003F6B53">
              <w:rPr>
                <w:rStyle w:val="Strong"/>
              </w:rPr>
              <w:t>2021–22</w:t>
            </w:r>
            <w:r>
              <w:t>:</w:t>
            </w:r>
            <w:r w:rsidRPr="00455FDE">
              <w:t xml:space="preserve"> 100%</w:t>
            </w:r>
            <w:r>
              <w:t> </w:t>
            </w:r>
            <w:r w:rsidRPr="00455FDE">
              <w:t>of relevant milestones met by June</w:t>
            </w:r>
            <w:r>
              <w:t> </w:t>
            </w:r>
            <w:r w:rsidRPr="00455FDE">
              <w:t>2022.</w:t>
            </w:r>
          </w:p>
          <w:p w14:paraId="7B606A85" w14:textId="5FB120C3" w:rsidR="00FC5EF5" w:rsidRDefault="00FC5EF5" w:rsidP="00FC5EF5">
            <w:pPr>
              <w:pStyle w:val="TableText"/>
            </w:pPr>
            <w:r w:rsidRPr="003F6B53">
              <w:rPr>
                <w:rStyle w:val="Strong"/>
              </w:rPr>
              <w:t>2022–23</w:t>
            </w:r>
            <w:r>
              <w:t>: n/a</w:t>
            </w:r>
            <w:r w:rsidR="003F6B53">
              <w:t>.</w:t>
            </w:r>
          </w:p>
          <w:p w14:paraId="3CE3716B" w14:textId="2942B574" w:rsidR="00FC5EF5" w:rsidRDefault="00FC5EF5" w:rsidP="00FC5EF5">
            <w:pPr>
              <w:pStyle w:val="TableText"/>
            </w:pPr>
            <w:r w:rsidRPr="003F6B53">
              <w:rPr>
                <w:rStyle w:val="Strong"/>
              </w:rPr>
              <w:t>2023–24</w:t>
            </w:r>
            <w:r>
              <w:t>: n/a</w:t>
            </w:r>
            <w:r w:rsidR="003F6B53">
              <w:t>.</w:t>
            </w:r>
          </w:p>
          <w:p w14:paraId="5DD9D191" w14:textId="7F37EA18" w:rsidR="00FC5EF5" w:rsidRPr="00455FDE" w:rsidRDefault="00FC5EF5" w:rsidP="00FC5EF5">
            <w:pPr>
              <w:pStyle w:val="TableText"/>
            </w:pPr>
            <w:r w:rsidRPr="003F6B53">
              <w:rPr>
                <w:rStyle w:val="Strong"/>
              </w:rPr>
              <w:t>2024–25</w:t>
            </w:r>
            <w:r>
              <w:t>: n/a</w:t>
            </w:r>
            <w:r w:rsidR="003F6B53">
              <w:t>.</w:t>
            </w:r>
          </w:p>
        </w:tc>
      </w:tr>
      <w:tr w:rsidR="00455FDE" w:rsidRPr="00455FDE" w14:paraId="19DA4677" w14:textId="77777777" w:rsidTr="001325BF">
        <w:trPr>
          <w:cantSplit/>
        </w:trPr>
        <w:tc>
          <w:tcPr>
            <w:tcW w:w="988" w:type="dxa"/>
            <w:tcBorders>
              <w:top w:val="nil"/>
            </w:tcBorders>
          </w:tcPr>
          <w:p w14:paraId="5BF58452" w14:textId="77777777" w:rsidR="00455FDE" w:rsidRPr="00455FDE" w:rsidRDefault="00455FDE" w:rsidP="002B7A00">
            <w:pPr>
              <w:pStyle w:val="TableHeading"/>
              <w:keepNext w:val="0"/>
            </w:pPr>
            <w:r w:rsidRPr="00455FDE">
              <w:t>Context</w:t>
            </w:r>
          </w:p>
        </w:tc>
        <w:tc>
          <w:tcPr>
            <w:tcW w:w="8072" w:type="dxa"/>
          </w:tcPr>
          <w:p w14:paraId="216944E3" w14:textId="56C40B0F" w:rsidR="00455FDE" w:rsidRPr="00455FDE" w:rsidRDefault="00455FDE" w:rsidP="00B75934">
            <w:pPr>
              <w:pStyle w:val="TableText"/>
            </w:pPr>
            <w:r w:rsidRPr="00455FDE">
              <w:t>The Murray–Darling Basin Plan is largely delivered by state</w:t>
            </w:r>
            <w:r w:rsidR="00E05C2D">
              <w:t xml:space="preserve"> governments</w:t>
            </w:r>
            <w:r w:rsidRPr="00455FDE">
              <w:t xml:space="preserve"> and the </w:t>
            </w:r>
            <w:r w:rsidR="008E7822" w:rsidRPr="00455FDE">
              <w:t>ACT</w:t>
            </w:r>
            <w:r w:rsidR="008E7822">
              <w:t> </w:t>
            </w:r>
            <w:r w:rsidRPr="00455FDE">
              <w:t>Government.</w:t>
            </w:r>
            <w:r w:rsidR="00E05C2D">
              <w:t xml:space="preserve"> </w:t>
            </w:r>
            <w:r w:rsidRPr="00455FDE">
              <w:t xml:space="preserve">We </w:t>
            </w:r>
            <w:r w:rsidR="00E05C2D">
              <w:t>have</w:t>
            </w:r>
            <w:r w:rsidR="00E05C2D" w:rsidRPr="00455FDE">
              <w:t xml:space="preserve"> </w:t>
            </w:r>
            <w:r w:rsidRPr="00455FDE">
              <w:t>a role in facilitating effective management of the Basin under the Basin Plan and associated plans and legislation.</w:t>
            </w:r>
          </w:p>
          <w:p w14:paraId="5E84706F" w14:textId="4F1F9F0D" w:rsidR="00455FDE" w:rsidRPr="00455FDE" w:rsidRDefault="00455FDE" w:rsidP="00B75934">
            <w:pPr>
              <w:pStyle w:val="TableText"/>
            </w:pPr>
            <w:r w:rsidRPr="00455FDE">
              <w:t>The</w:t>
            </w:r>
            <w:r w:rsidR="000354AA">
              <w:t xml:space="preserve"> </w:t>
            </w:r>
            <w:r w:rsidRPr="00455FDE">
              <w:t xml:space="preserve">Basin jurisdiction commitments are captured under the </w:t>
            </w:r>
            <w:r w:rsidR="00E05C2D" w:rsidRPr="00455FDE">
              <w:t>Federation Funding</w:t>
            </w:r>
            <w:r w:rsidR="009A7C25">
              <w:t xml:space="preserve"> </w:t>
            </w:r>
            <w:r w:rsidR="00E05C2D" w:rsidRPr="00455FDE">
              <w:t>Agreement</w:t>
            </w:r>
            <w:r w:rsidR="008E7822">
              <w:t> </w:t>
            </w:r>
            <w:r w:rsidR="00E05C2D" w:rsidRPr="00455FDE">
              <w:t>–</w:t>
            </w:r>
            <w:r w:rsidR="008E7822">
              <w:t> </w:t>
            </w:r>
            <w:r w:rsidR="00E05C2D" w:rsidRPr="00455FDE">
              <w:t>Environment</w:t>
            </w:r>
            <w:r w:rsidR="00E05C2D">
              <w:t xml:space="preserve">. They </w:t>
            </w:r>
            <w:r w:rsidRPr="00455FDE">
              <w:t>impact environmental, agricultural, economic, and social and cultural outcomes of national importance.</w:t>
            </w:r>
          </w:p>
        </w:tc>
      </w:tr>
    </w:tbl>
    <w:bookmarkEnd w:id="138"/>
    <w:p w14:paraId="2C9D6B7A" w14:textId="000DBC69" w:rsidR="00455FDE" w:rsidRPr="00DB5B70" w:rsidRDefault="00455FDE" w:rsidP="00DB5B70">
      <w:pPr>
        <w:pStyle w:val="Heading4"/>
      </w:pPr>
      <w:r w:rsidRPr="00DB5B70">
        <w:t xml:space="preserve">Antarctic </w:t>
      </w:r>
    </w:p>
    <w:p w14:paraId="2E30DF98" w14:textId="77777777" w:rsidR="00455FDE" w:rsidRPr="00455FDE" w:rsidRDefault="00455FDE" w:rsidP="00B75934">
      <w:pPr>
        <w:keepNext/>
      </w:pPr>
      <w:r w:rsidRPr="00455FDE">
        <w:t>Objective: Advance Australia’s strategic, scientific and environmental interests in the Antarctic and the Southern Ocean.</w:t>
      </w:r>
    </w:p>
    <w:p w14:paraId="23FE8D82" w14:textId="38B37875" w:rsidR="00455FDE" w:rsidRPr="00DB5B70" w:rsidRDefault="00837ADD" w:rsidP="00DB5B70">
      <w:pPr>
        <w:pStyle w:val="Heading5"/>
      </w:pPr>
      <w:bookmarkStart w:id="139" w:name="_Toc75856613"/>
      <w:r>
        <w:t xml:space="preserve">Performance </w:t>
      </w:r>
      <w:r w:rsidR="003C7A1E" w:rsidRPr="003C7A1E">
        <w:t>criterion</w:t>
      </w:r>
      <w:r>
        <w:t xml:space="preserve">: </w:t>
      </w:r>
      <w:r w:rsidR="00455FDE" w:rsidRPr="00DB5B70">
        <w:t>Australian science and operations in Antarctica are world-leading and promote environmental best practice</w:t>
      </w:r>
      <w:bookmarkEnd w:id="139"/>
      <w:r w:rsidR="00DB5B70">
        <w:t>.</w:t>
      </w:r>
    </w:p>
    <w:tbl>
      <w:tblPr>
        <w:tblStyle w:val="TableGrid10"/>
        <w:tblW w:w="0" w:type="auto"/>
        <w:tblBorders>
          <w:left w:val="none" w:sz="0" w:space="0" w:color="auto"/>
          <w:right w:val="none" w:sz="0" w:space="0" w:color="auto"/>
          <w:insideV w:val="none" w:sz="0" w:space="0" w:color="auto"/>
        </w:tblBorders>
        <w:tblLook w:val="04A0" w:firstRow="1" w:lastRow="0" w:firstColumn="1" w:lastColumn="0" w:noHBand="0" w:noVBand="1"/>
      </w:tblPr>
      <w:tblGrid>
        <w:gridCol w:w="988"/>
        <w:gridCol w:w="8072"/>
      </w:tblGrid>
      <w:tr w:rsidR="00051948" w:rsidRPr="00051948" w14:paraId="05F4DADD" w14:textId="77777777" w:rsidTr="001325BF">
        <w:trPr>
          <w:cantSplit/>
          <w:trHeight w:val="226"/>
        </w:trPr>
        <w:tc>
          <w:tcPr>
            <w:tcW w:w="988" w:type="dxa"/>
            <w:tcBorders>
              <w:top w:val="nil"/>
              <w:bottom w:val="nil"/>
            </w:tcBorders>
            <w:shd w:val="clear" w:color="auto" w:fill="365F91" w:themeFill="accent1" w:themeFillShade="BF"/>
          </w:tcPr>
          <w:p w14:paraId="77876C0C" w14:textId="77777777" w:rsidR="00455FDE" w:rsidRPr="00051948" w:rsidRDefault="00455FDE" w:rsidP="00B75934">
            <w:pPr>
              <w:pStyle w:val="TableHeading"/>
              <w:rPr>
                <w:color w:val="FFFFFF" w:themeColor="background1"/>
              </w:rPr>
            </w:pPr>
            <w:bookmarkStart w:id="140" w:name="RowTitle_18" w:colFirst="0" w:colLast="0"/>
            <w:r w:rsidRPr="00051948">
              <w:rPr>
                <w:color w:val="FFFFFF" w:themeColor="background1"/>
              </w:rPr>
              <w:t>Measure</w:t>
            </w:r>
          </w:p>
        </w:tc>
        <w:tc>
          <w:tcPr>
            <w:tcW w:w="8072" w:type="dxa"/>
            <w:tcBorders>
              <w:top w:val="nil"/>
              <w:bottom w:val="nil"/>
            </w:tcBorders>
            <w:shd w:val="clear" w:color="auto" w:fill="365F91" w:themeFill="accent1" w:themeFillShade="BF"/>
          </w:tcPr>
          <w:p w14:paraId="2148EE90" w14:textId="77777777" w:rsidR="00455FDE" w:rsidRPr="00051948" w:rsidRDefault="00455FDE" w:rsidP="00B75934">
            <w:pPr>
              <w:pStyle w:val="TableText"/>
              <w:rPr>
                <w:color w:val="FFFFFF" w:themeColor="background1"/>
                <w:highlight w:val="yellow"/>
              </w:rPr>
            </w:pPr>
            <w:r w:rsidRPr="00051948">
              <w:rPr>
                <w:color w:val="FFFFFF" w:themeColor="background1"/>
              </w:rPr>
              <w:t>Increased compliance with legislation protecting Australian Antarctic Territory and Territory of Heard Island and McDonald Islands. (Output)</w:t>
            </w:r>
          </w:p>
        </w:tc>
      </w:tr>
      <w:tr w:rsidR="00FC5EF5" w:rsidRPr="00455FDE" w14:paraId="3852ECE7" w14:textId="77777777" w:rsidTr="001325BF">
        <w:trPr>
          <w:cantSplit/>
          <w:trHeight w:val="138"/>
        </w:trPr>
        <w:tc>
          <w:tcPr>
            <w:tcW w:w="988" w:type="dxa"/>
            <w:tcBorders>
              <w:top w:val="nil"/>
              <w:bottom w:val="nil"/>
            </w:tcBorders>
          </w:tcPr>
          <w:p w14:paraId="1D7D0DE1" w14:textId="77777777" w:rsidR="00FC5EF5" w:rsidRPr="00455FDE" w:rsidRDefault="00FC5EF5" w:rsidP="00B75934">
            <w:pPr>
              <w:pStyle w:val="TableHeading"/>
            </w:pPr>
            <w:r w:rsidRPr="00455FDE">
              <w:t>Target</w:t>
            </w:r>
          </w:p>
        </w:tc>
        <w:tc>
          <w:tcPr>
            <w:tcW w:w="8072" w:type="dxa"/>
            <w:tcBorders>
              <w:top w:val="nil"/>
            </w:tcBorders>
            <w:shd w:val="clear" w:color="auto" w:fill="auto"/>
          </w:tcPr>
          <w:p w14:paraId="61B79146" w14:textId="77777777" w:rsidR="00FC5EF5" w:rsidRDefault="00FC5EF5" w:rsidP="00FC5EF5">
            <w:pPr>
              <w:pStyle w:val="TableText"/>
            </w:pPr>
            <w:r w:rsidRPr="003F6B53">
              <w:rPr>
                <w:rStyle w:val="Strong"/>
              </w:rPr>
              <w:t>2021–22</w:t>
            </w:r>
            <w:r>
              <w:t xml:space="preserve">: </w:t>
            </w:r>
            <w:r w:rsidRPr="00455FDE">
              <w:t xml:space="preserve">Australian Antarctic Division and its contractors </w:t>
            </w:r>
            <w:r>
              <w:t xml:space="preserve">act on </w:t>
            </w:r>
            <w:r w:rsidRPr="00455FDE">
              <w:t>100%</w:t>
            </w:r>
            <w:r>
              <w:t> </w:t>
            </w:r>
            <w:r w:rsidRPr="00455FDE">
              <w:t>of breaches.</w:t>
            </w:r>
          </w:p>
          <w:p w14:paraId="5A4D152A" w14:textId="1F1C9B73" w:rsidR="00FC5EF5" w:rsidRDefault="00FC5EF5" w:rsidP="00FC5EF5">
            <w:pPr>
              <w:pStyle w:val="TableText"/>
            </w:pPr>
            <w:r w:rsidRPr="003F6B53">
              <w:rPr>
                <w:rStyle w:val="Strong"/>
              </w:rPr>
              <w:t>2022–23</w:t>
            </w:r>
            <w:r>
              <w:t>:</w:t>
            </w:r>
            <w:r w:rsidRPr="000012A2">
              <w:t xml:space="preserve"> As for 2021–22</w:t>
            </w:r>
            <w:r w:rsidR="003F6B53">
              <w:t>.</w:t>
            </w:r>
          </w:p>
          <w:p w14:paraId="5A31CF9D" w14:textId="278440A7" w:rsidR="00FC5EF5" w:rsidRDefault="00FC5EF5" w:rsidP="00FC5EF5">
            <w:pPr>
              <w:pStyle w:val="TableText"/>
            </w:pPr>
            <w:r w:rsidRPr="003F6B53">
              <w:rPr>
                <w:rStyle w:val="Strong"/>
              </w:rPr>
              <w:t>2023–24</w:t>
            </w:r>
            <w:r>
              <w:t>:</w:t>
            </w:r>
            <w:r w:rsidRPr="000012A2">
              <w:t xml:space="preserve"> As for 2021–22</w:t>
            </w:r>
            <w:r w:rsidR="003F6B53">
              <w:t>.</w:t>
            </w:r>
          </w:p>
          <w:p w14:paraId="209968B7" w14:textId="17B11126" w:rsidR="00FC5EF5" w:rsidRPr="00455FDE" w:rsidRDefault="00FC5EF5" w:rsidP="00FC5EF5">
            <w:pPr>
              <w:pStyle w:val="TableText"/>
            </w:pPr>
            <w:r w:rsidRPr="003F6B53">
              <w:rPr>
                <w:rStyle w:val="Strong"/>
              </w:rPr>
              <w:t>2024–25</w:t>
            </w:r>
            <w:r>
              <w:t>:</w:t>
            </w:r>
            <w:r w:rsidRPr="000012A2">
              <w:t xml:space="preserve"> As for 2021–22</w:t>
            </w:r>
            <w:r w:rsidR="003F6B53">
              <w:t>.</w:t>
            </w:r>
          </w:p>
        </w:tc>
      </w:tr>
      <w:tr w:rsidR="00577269" w:rsidRPr="00455FDE" w14:paraId="3FF6BE0F" w14:textId="77777777" w:rsidTr="001325BF">
        <w:trPr>
          <w:cantSplit/>
          <w:trHeight w:val="313"/>
        </w:trPr>
        <w:tc>
          <w:tcPr>
            <w:tcW w:w="988" w:type="dxa"/>
            <w:tcBorders>
              <w:top w:val="nil"/>
              <w:bottom w:val="nil"/>
            </w:tcBorders>
          </w:tcPr>
          <w:p w14:paraId="1FDC6481" w14:textId="468CD840" w:rsidR="00577269" w:rsidRPr="00455FDE" w:rsidRDefault="00577269" w:rsidP="00577269">
            <w:pPr>
              <w:pStyle w:val="TableHeading"/>
            </w:pPr>
            <w:r w:rsidRPr="00577269">
              <w:t>Target</w:t>
            </w:r>
          </w:p>
        </w:tc>
        <w:tc>
          <w:tcPr>
            <w:tcW w:w="8072" w:type="dxa"/>
            <w:shd w:val="clear" w:color="auto" w:fill="auto"/>
          </w:tcPr>
          <w:p w14:paraId="51EC044D" w14:textId="77777777" w:rsidR="00577269" w:rsidRDefault="00577269" w:rsidP="00577269">
            <w:pPr>
              <w:pStyle w:val="TableText"/>
            </w:pPr>
            <w:r w:rsidRPr="003F6B53">
              <w:rPr>
                <w:rStyle w:val="Strong"/>
              </w:rPr>
              <w:t>2021–22</w:t>
            </w:r>
            <w:r>
              <w:t xml:space="preserve">: </w:t>
            </w:r>
            <w:r w:rsidRPr="00455FDE">
              <w:t>100%</w:t>
            </w:r>
            <w:r>
              <w:t> </w:t>
            </w:r>
            <w:r w:rsidRPr="00455FDE">
              <w:t xml:space="preserve">of Australian Antarctic Program </w:t>
            </w:r>
            <w:r>
              <w:t>a</w:t>
            </w:r>
            <w:r w:rsidRPr="00455FDE">
              <w:t xml:space="preserve">ctivities conducted in Antarctica </w:t>
            </w:r>
            <w:r>
              <w:t>have</w:t>
            </w:r>
            <w:r w:rsidRPr="00455FDE">
              <w:t xml:space="preserve"> prior environmental authorisation.</w:t>
            </w:r>
          </w:p>
          <w:p w14:paraId="666DEDB0" w14:textId="7EEBA768" w:rsidR="00577269" w:rsidRDefault="00577269" w:rsidP="00577269">
            <w:pPr>
              <w:pStyle w:val="TableText"/>
            </w:pPr>
            <w:r w:rsidRPr="003F6B53">
              <w:rPr>
                <w:rStyle w:val="Strong"/>
              </w:rPr>
              <w:t>2022–23</w:t>
            </w:r>
            <w:r>
              <w:t>:</w:t>
            </w:r>
            <w:r w:rsidRPr="000012A2">
              <w:t xml:space="preserve"> As for 2021–22</w:t>
            </w:r>
            <w:r>
              <w:t>.</w:t>
            </w:r>
          </w:p>
          <w:p w14:paraId="22447279" w14:textId="3182415C" w:rsidR="00577269" w:rsidRDefault="00577269" w:rsidP="00577269">
            <w:pPr>
              <w:pStyle w:val="TableText"/>
            </w:pPr>
            <w:r w:rsidRPr="003F6B53">
              <w:rPr>
                <w:rStyle w:val="Strong"/>
              </w:rPr>
              <w:t>2023–24</w:t>
            </w:r>
            <w:r>
              <w:t>:</w:t>
            </w:r>
            <w:r w:rsidRPr="000012A2">
              <w:t xml:space="preserve"> As for 2021–22</w:t>
            </w:r>
            <w:r>
              <w:t>.</w:t>
            </w:r>
          </w:p>
          <w:p w14:paraId="38B98381" w14:textId="6D123492" w:rsidR="00577269" w:rsidRPr="00455FDE" w:rsidRDefault="00577269" w:rsidP="00577269">
            <w:pPr>
              <w:pStyle w:val="TableText"/>
            </w:pPr>
            <w:r w:rsidRPr="003F6B53">
              <w:rPr>
                <w:rStyle w:val="Strong"/>
              </w:rPr>
              <w:t>2024–25</w:t>
            </w:r>
            <w:r>
              <w:t>:</w:t>
            </w:r>
            <w:r w:rsidRPr="000012A2">
              <w:t xml:space="preserve"> As for 2021–22</w:t>
            </w:r>
            <w:r>
              <w:t>.</w:t>
            </w:r>
          </w:p>
        </w:tc>
      </w:tr>
      <w:tr w:rsidR="00455FDE" w:rsidRPr="00455FDE" w14:paraId="6EC432E2" w14:textId="77777777" w:rsidTr="001325BF">
        <w:trPr>
          <w:cantSplit/>
        </w:trPr>
        <w:tc>
          <w:tcPr>
            <w:tcW w:w="988" w:type="dxa"/>
            <w:tcBorders>
              <w:top w:val="nil"/>
            </w:tcBorders>
          </w:tcPr>
          <w:p w14:paraId="77E62940" w14:textId="77777777" w:rsidR="00455FDE" w:rsidRPr="00455FDE" w:rsidRDefault="00455FDE" w:rsidP="002B7A00">
            <w:pPr>
              <w:pStyle w:val="TableHeading"/>
              <w:keepNext w:val="0"/>
            </w:pPr>
            <w:r w:rsidRPr="00455FDE">
              <w:t>Context</w:t>
            </w:r>
          </w:p>
        </w:tc>
        <w:tc>
          <w:tcPr>
            <w:tcW w:w="8072" w:type="dxa"/>
          </w:tcPr>
          <w:p w14:paraId="53C97A5A" w14:textId="0D1A43BA" w:rsidR="00455FDE" w:rsidRPr="00455FDE" w:rsidRDefault="00E05C2D" w:rsidP="00B75934">
            <w:pPr>
              <w:pStyle w:val="TableText"/>
            </w:pPr>
            <w:r>
              <w:t>Our</w:t>
            </w:r>
            <w:r w:rsidR="00455FDE" w:rsidRPr="00455FDE">
              <w:t xml:space="preserve"> Australian Antarctic Division deliver</w:t>
            </w:r>
            <w:r>
              <w:t>s</w:t>
            </w:r>
            <w:r w:rsidR="00455FDE" w:rsidRPr="00455FDE">
              <w:t xml:space="preserve"> Australia’s commitment to conserving the Antarctic environment, as well as protecting and managing the Territory of Heard Island and McDonald Islands. We also deliver Australia’s scientific research and operations in Antarctica and the Southern Ocean. </w:t>
            </w:r>
          </w:p>
          <w:p w14:paraId="7367C381" w14:textId="22057738" w:rsidR="00455FDE" w:rsidRPr="00455FDE" w:rsidRDefault="00455FDE" w:rsidP="00B75934">
            <w:pPr>
              <w:pStyle w:val="TableText"/>
            </w:pPr>
            <w:r w:rsidRPr="00455FDE">
              <w:t>This is a measure of our regulatory performance in protecting the Antarctic environment and of our own compliance with these requirements.</w:t>
            </w:r>
          </w:p>
        </w:tc>
      </w:tr>
    </w:tbl>
    <w:bookmarkEnd w:id="140"/>
    <w:p w14:paraId="0B201717" w14:textId="77777777" w:rsidR="00455FDE" w:rsidRPr="00DB5B70" w:rsidRDefault="00455FDE" w:rsidP="00DB5B70">
      <w:pPr>
        <w:pStyle w:val="Heading4"/>
      </w:pPr>
      <w:r w:rsidRPr="00DB5B70">
        <w:lastRenderedPageBreak/>
        <w:t>Being future ready</w:t>
      </w:r>
    </w:p>
    <w:p w14:paraId="6922961C" w14:textId="77777777" w:rsidR="00455FDE" w:rsidRPr="00455FDE" w:rsidRDefault="00455FDE" w:rsidP="001325BF">
      <w:pPr>
        <w:keepNext/>
      </w:pPr>
      <w:r w:rsidRPr="001325BF">
        <w:rPr>
          <w:rStyle w:val="Strong"/>
        </w:rPr>
        <w:t>Objective:</w:t>
      </w:r>
      <w:r w:rsidRPr="00455FDE">
        <w:t xml:space="preserve"> Integrate new capabilities and technology-enabled delivery to meet the demands of an increasingly connected, changing and complex world.</w:t>
      </w:r>
    </w:p>
    <w:p w14:paraId="6EE59852" w14:textId="376D78EE" w:rsidR="00455FDE" w:rsidRPr="00DB5B70" w:rsidRDefault="00837ADD" w:rsidP="00DB5B70">
      <w:pPr>
        <w:pStyle w:val="Heading5"/>
      </w:pPr>
      <w:r>
        <w:t xml:space="preserve">Performance </w:t>
      </w:r>
      <w:r w:rsidR="003C7A1E" w:rsidRPr="003C7A1E">
        <w:t>criterion</w:t>
      </w:r>
      <w:r>
        <w:t xml:space="preserve">: </w:t>
      </w:r>
      <w:r w:rsidR="00455FDE" w:rsidRPr="00DB5B70">
        <w:t>Our people are engaged</w:t>
      </w:r>
      <w:r w:rsidR="00DB5B70">
        <w:t>.</w:t>
      </w:r>
    </w:p>
    <w:tbl>
      <w:tblPr>
        <w:tblStyle w:val="TableGrid10"/>
        <w:tblW w:w="0" w:type="auto"/>
        <w:tblBorders>
          <w:left w:val="none" w:sz="0" w:space="0" w:color="auto"/>
          <w:right w:val="none" w:sz="0" w:space="0" w:color="auto"/>
          <w:insideV w:val="none" w:sz="0" w:space="0" w:color="auto"/>
        </w:tblBorders>
        <w:tblLook w:val="04A0" w:firstRow="1" w:lastRow="0" w:firstColumn="1" w:lastColumn="0" w:noHBand="0" w:noVBand="1"/>
      </w:tblPr>
      <w:tblGrid>
        <w:gridCol w:w="988"/>
        <w:gridCol w:w="8072"/>
      </w:tblGrid>
      <w:tr w:rsidR="00051948" w:rsidRPr="00051948" w14:paraId="2EE6FC56" w14:textId="77777777" w:rsidTr="001325BF">
        <w:trPr>
          <w:cantSplit/>
          <w:trHeight w:val="226"/>
        </w:trPr>
        <w:tc>
          <w:tcPr>
            <w:tcW w:w="988" w:type="dxa"/>
            <w:tcBorders>
              <w:top w:val="nil"/>
              <w:bottom w:val="nil"/>
            </w:tcBorders>
            <w:shd w:val="clear" w:color="auto" w:fill="365F91" w:themeFill="accent1" w:themeFillShade="BF"/>
          </w:tcPr>
          <w:p w14:paraId="79116E0F" w14:textId="77777777" w:rsidR="00455FDE" w:rsidRPr="00051948" w:rsidRDefault="00455FDE" w:rsidP="00B75934">
            <w:pPr>
              <w:pStyle w:val="TableHeading"/>
              <w:rPr>
                <w:color w:val="FFFFFF" w:themeColor="background1"/>
              </w:rPr>
            </w:pPr>
            <w:bookmarkStart w:id="141" w:name="RowTitle_19" w:colFirst="0" w:colLast="0"/>
            <w:r w:rsidRPr="00051948">
              <w:rPr>
                <w:color w:val="FFFFFF" w:themeColor="background1"/>
              </w:rPr>
              <w:t>Measure</w:t>
            </w:r>
          </w:p>
        </w:tc>
        <w:tc>
          <w:tcPr>
            <w:tcW w:w="8072" w:type="dxa"/>
            <w:tcBorders>
              <w:top w:val="nil"/>
              <w:bottom w:val="nil"/>
            </w:tcBorders>
            <w:shd w:val="clear" w:color="auto" w:fill="365F91" w:themeFill="accent1" w:themeFillShade="BF"/>
          </w:tcPr>
          <w:p w14:paraId="2CB8216C" w14:textId="77777777" w:rsidR="00455FDE" w:rsidRPr="00051948" w:rsidRDefault="00455FDE" w:rsidP="00B75934">
            <w:pPr>
              <w:pStyle w:val="TableText"/>
              <w:rPr>
                <w:color w:val="FFFFFF" w:themeColor="background1"/>
                <w:highlight w:val="yellow"/>
              </w:rPr>
            </w:pPr>
            <w:r w:rsidRPr="00051948">
              <w:rPr>
                <w:color w:val="FFFFFF" w:themeColor="background1"/>
              </w:rPr>
              <w:t>Employee engagement. (Effectiveness)</w:t>
            </w:r>
          </w:p>
        </w:tc>
      </w:tr>
      <w:tr w:rsidR="002B7A00" w:rsidRPr="00455FDE" w14:paraId="43F98BF7" w14:textId="77777777" w:rsidTr="001325BF">
        <w:trPr>
          <w:cantSplit/>
          <w:trHeight w:val="138"/>
        </w:trPr>
        <w:tc>
          <w:tcPr>
            <w:tcW w:w="988" w:type="dxa"/>
            <w:tcBorders>
              <w:top w:val="nil"/>
              <w:bottom w:val="nil"/>
            </w:tcBorders>
          </w:tcPr>
          <w:p w14:paraId="6E6B2962" w14:textId="77777777" w:rsidR="002B7A00" w:rsidRPr="00455FDE" w:rsidRDefault="002B7A00" w:rsidP="00B75934">
            <w:pPr>
              <w:pStyle w:val="TableHeading"/>
            </w:pPr>
            <w:r w:rsidRPr="00455FDE">
              <w:t>Target</w:t>
            </w:r>
          </w:p>
        </w:tc>
        <w:tc>
          <w:tcPr>
            <w:tcW w:w="8072" w:type="dxa"/>
            <w:tcBorders>
              <w:top w:val="nil"/>
            </w:tcBorders>
            <w:shd w:val="clear" w:color="auto" w:fill="auto"/>
          </w:tcPr>
          <w:p w14:paraId="730411DF" w14:textId="77777777" w:rsidR="002B7A00" w:rsidRDefault="002B7A00" w:rsidP="00FC5EF5">
            <w:pPr>
              <w:pStyle w:val="TableText"/>
            </w:pPr>
            <w:r w:rsidRPr="003F6B53">
              <w:rPr>
                <w:rStyle w:val="Strong"/>
              </w:rPr>
              <w:t>2021–22</w:t>
            </w:r>
            <w:r>
              <w:t xml:space="preserve">: </w:t>
            </w:r>
            <w:r w:rsidRPr="00455FDE">
              <w:t>Stability or increase.</w:t>
            </w:r>
          </w:p>
          <w:p w14:paraId="7E2E95BD" w14:textId="6E77B02F" w:rsidR="002B7A00" w:rsidRDefault="002B7A00" w:rsidP="002B7A00">
            <w:pPr>
              <w:pStyle w:val="TableText"/>
            </w:pPr>
            <w:r w:rsidRPr="003F6B53">
              <w:rPr>
                <w:rStyle w:val="Strong"/>
              </w:rPr>
              <w:t>2022–23</w:t>
            </w:r>
            <w:r>
              <w:t>:</w:t>
            </w:r>
            <w:r w:rsidRPr="000012A2">
              <w:t xml:space="preserve"> As for 2021–22</w:t>
            </w:r>
            <w:r w:rsidR="003F6B53">
              <w:t>.</w:t>
            </w:r>
          </w:p>
          <w:p w14:paraId="5C336C12" w14:textId="00AEF1B1" w:rsidR="002B7A00" w:rsidRDefault="002B7A00" w:rsidP="002B7A00">
            <w:pPr>
              <w:pStyle w:val="TableText"/>
            </w:pPr>
            <w:r w:rsidRPr="003F6B53">
              <w:rPr>
                <w:rStyle w:val="Strong"/>
              </w:rPr>
              <w:t>2023–24</w:t>
            </w:r>
            <w:r>
              <w:t>:</w:t>
            </w:r>
            <w:r w:rsidRPr="000012A2">
              <w:t xml:space="preserve"> As for 2021–22</w:t>
            </w:r>
            <w:r w:rsidR="003F6B53">
              <w:t>.</w:t>
            </w:r>
          </w:p>
          <w:p w14:paraId="0FF4F8CD" w14:textId="527AB518" w:rsidR="002B7A00" w:rsidRPr="00455FDE" w:rsidRDefault="002B7A00" w:rsidP="00FC5EF5">
            <w:pPr>
              <w:pStyle w:val="TableText"/>
            </w:pPr>
            <w:r w:rsidRPr="003F6B53">
              <w:rPr>
                <w:rStyle w:val="Strong"/>
              </w:rPr>
              <w:t>2024–25</w:t>
            </w:r>
            <w:r>
              <w:t>:</w:t>
            </w:r>
            <w:r w:rsidRPr="000012A2">
              <w:t xml:space="preserve"> As for 2021–22</w:t>
            </w:r>
            <w:r w:rsidR="003F6B53">
              <w:t>.</w:t>
            </w:r>
          </w:p>
        </w:tc>
      </w:tr>
      <w:tr w:rsidR="00455FDE" w:rsidRPr="00455FDE" w14:paraId="3EDB8133" w14:textId="77777777" w:rsidTr="001325BF">
        <w:trPr>
          <w:cantSplit/>
        </w:trPr>
        <w:tc>
          <w:tcPr>
            <w:tcW w:w="988" w:type="dxa"/>
            <w:tcBorders>
              <w:top w:val="nil"/>
              <w:bottom w:val="single" w:sz="4" w:space="0" w:color="365F91" w:themeColor="accent1" w:themeShade="BF"/>
            </w:tcBorders>
          </w:tcPr>
          <w:p w14:paraId="312D441D" w14:textId="77777777" w:rsidR="00455FDE" w:rsidRPr="00455FDE" w:rsidRDefault="00455FDE" w:rsidP="002B7A00">
            <w:pPr>
              <w:pStyle w:val="TableHeading"/>
              <w:keepNext w:val="0"/>
            </w:pPr>
            <w:r w:rsidRPr="00455FDE">
              <w:t>Context</w:t>
            </w:r>
          </w:p>
        </w:tc>
        <w:tc>
          <w:tcPr>
            <w:tcW w:w="8072" w:type="dxa"/>
            <w:tcBorders>
              <w:bottom w:val="single" w:sz="4" w:space="0" w:color="365F91" w:themeColor="accent1" w:themeShade="BF"/>
            </w:tcBorders>
          </w:tcPr>
          <w:p w14:paraId="309AD49E" w14:textId="32ED0735" w:rsidR="00455FDE" w:rsidRPr="00455FDE" w:rsidRDefault="00455FDE" w:rsidP="00B75934">
            <w:pPr>
              <w:pStyle w:val="TableText"/>
            </w:pPr>
            <w:r w:rsidRPr="00455FDE">
              <w:t xml:space="preserve">Employee engagement describes commitment to the </w:t>
            </w:r>
            <w:r w:rsidR="00E05C2D">
              <w:t>department</w:t>
            </w:r>
            <w:r w:rsidRPr="00455FDE">
              <w:t xml:space="preserve"> and to achieving </w:t>
            </w:r>
            <w:r w:rsidR="00E05C2D">
              <w:t xml:space="preserve">departmental </w:t>
            </w:r>
            <w:r w:rsidRPr="00455FDE">
              <w:t xml:space="preserve">goals. Employee engagement is linked to positive outcomes at various levels within the </w:t>
            </w:r>
            <w:r w:rsidR="00E05C2D">
              <w:t>department</w:t>
            </w:r>
            <w:r w:rsidR="00E05C2D" w:rsidRPr="00455FDE">
              <w:t xml:space="preserve"> </w:t>
            </w:r>
            <w:r w:rsidRPr="00455FDE">
              <w:t>and is a key focus for us.</w:t>
            </w:r>
          </w:p>
        </w:tc>
      </w:tr>
      <w:tr w:rsidR="00051948" w:rsidRPr="00051948" w14:paraId="0C85CB0F" w14:textId="77777777" w:rsidTr="001325BF">
        <w:trPr>
          <w:cantSplit/>
          <w:trHeight w:val="226"/>
        </w:trPr>
        <w:tc>
          <w:tcPr>
            <w:tcW w:w="988" w:type="dxa"/>
            <w:tcBorders>
              <w:top w:val="single" w:sz="4" w:space="0" w:color="365F91" w:themeColor="accent1" w:themeShade="BF"/>
              <w:bottom w:val="single" w:sz="4" w:space="0" w:color="365F91" w:themeColor="accent1" w:themeShade="BF"/>
            </w:tcBorders>
            <w:shd w:val="clear" w:color="auto" w:fill="365F91" w:themeFill="accent1" w:themeFillShade="BF"/>
          </w:tcPr>
          <w:p w14:paraId="20A87B6C" w14:textId="77777777" w:rsidR="00455FDE" w:rsidRPr="00051948" w:rsidRDefault="00455FDE" w:rsidP="00B75934">
            <w:pPr>
              <w:pStyle w:val="TableHeading"/>
              <w:rPr>
                <w:color w:val="FFFFFF" w:themeColor="background1"/>
              </w:rPr>
            </w:pPr>
            <w:r w:rsidRPr="00051948">
              <w:rPr>
                <w:color w:val="FFFFFF" w:themeColor="background1"/>
              </w:rPr>
              <w:t>Measure</w:t>
            </w:r>
          </w:p>
        </w:tc>
        <w:tc>
          <w:tcPr>
            <w:tcW w:w="8072" w:type="dxa"/>
            <w:tcBorders>
              <w:top w:val="single" w:sz="4" w:space="0" w:color="365F91" w:themeColor="accent1" w:themeShade="BF"/>
              <w:bottom w:val="single" w:sz="4" w:space="0" w:color="365F91" w:themeColor="accent1" w:themeShade="BF"/>
            </w:tcBorders>
            <w:shd w:val="clear" w:color="auto" w:fill="365F91" w:themeFill="accent1" w:themeFillShade="BF"/>
          </w:tcPr>
          <w:p w14:paraId="7A93A09E" w14:textId="77777777" w:rsidR="00455FDE" w:rsidRPr="00051948" w:rsidRDefault="00455FDE" w:rsidP="00B75934">
            <w:pPr>
              <w:pStyle w:val="TableText"/>
              <w:rPr>
                <w:color w:val="FFFFFF" w:themeColor="background1"/>
                <w:highlight w:val="yellow"/>
              </w:rPr>
            </w:pPr>
            <w:r w:rsidRPr="00051948">
              <w:rPr>
                <w:color w:val="FFFFFF" w:themeColor="background1"/>
              </w:rPr>
              <w:t>Our people are agile, responsive, and open to new ways of working. (Effectiveness)</w:t>
            </w:r>
          </w:p>
        </w:tc>
      </w:tr>
      <w:tr w:rsidR="002B7A00" w:rsidRPr="00455FDE" w14:paraId="1497F9F1" w14:textId="77777777" w:rsidTr="001325BF">
        <w:trPr>
          <w:cantSplit/>
          <w:trHeight w:val="138"/>
        </w:trPr>
        <w:tc>
          <w:tcPr>
            <w:tcW w:w="988" w:type="dxa"/>
            <w:tcBorders>
              <w:top w:val="single" w:sz="4" w:space="0" w:color="365F91" w:themeColor="accent1" w:themeShade="BF"/>
              <w:bottom w:val="nil"/>
            </w:tcBorders>
          </w:tcPr>
          <w:p w14:paraId="03CBA318" w14:textId="77777777" w:rsidR="002B7A00" w:rsidRPr="00455FDE" w:rsidRDefault="002B7A00" w:rsidP="00B75934">
            <w:pPr>
              <w:pStyle w:val="TableHeading"/>
            </w:pPr>
            <w:r w:rsidRPr="00455FDE">
              <w:t>Target</w:t>
            </w:r>
          </w:p>
        </w:tc>
        <w:tc>
          <w:tcPr>
            <w:tcW w:w="8072" w:type="dxa"/>
            <w:tcBorders>
              <w:top w:val="single" w:sz="4" w:space="0" w:color="365F91" w:themeColor="accent1" w:themeShade="BF"/>
            </w:tcBorders>
            <w:shd w:val="clear" w:color="auto" w:fill="auto"/>
          </w:tcPr>
          <w:p w14:paraId="41031051" w14:textId="77777777" w:rsidR="002B7A00" w:rsidRDefault="002B7A00" w:rsidP="002B7A00">
            <w:pPr>
              <w:pStyle w:val="TableText"/>
            </w:pPr>
            <w:r w:rsidRPr="003F6B53">
              <w:rPr>
                <w:rStyle w:val="Strong"/>
              </w:rPr>
              <w:t>2021–22</w:t>
            </w:r>
            <w:r>
              <w:t xml:space="preserve">: </w:t>
            </w:r>
            <w:r w:rsidRPr="00455FDE">
              <w:t>Increase our adaptability to new ways of working.</w:t>
            </w:r>
          </w:p>
          <w:p w14:paraId="2D95DCC7" w14:textId="4882307D" w:rsidR="002B7A00" w:rsidRDefault="002B7A00" w:rsidP="002B7A00">
            <w:pPr>
              <w:pStyle w:val="TableText"/>
            </w:pPr>
            <w:r w:rsidRPr="003F6B53">
              <w:rPr>
                <w:rStyle w:val="Strong"/>
              </w:rPr>
              <w:t>2022–23</w:t>
            </w:r>
            <w:r>
              <w:t>:</w:t>
            </w:r>
            <w:r w:rsidRPr="000012A2">
              <w:t xml:space="preserve"> As for 2021–22</w:t>
            </w:r>
            <w:r w:rsidR="003F6B53">
              <w:t>.</w:t>
            </w:r>
          </w:p>
          <w:p w14:paraId="6943809A" w14:textId="458AF763" w:rsidR="002B7A00" w:rsidRDefault="002B7A00" w:rsidP="002B7A00">
            <w:pPr>
              <w:pStyle w:val="TableText"/>
            </w:pPr>
            <w:r w:rsidRPr="003F6B53">
              <w:rPr>
                <w:rStyle w:val="Strong"/>
              </w:rPr>
              <w:t>2023–24</w:t>
            </w:r>
            <w:r>
              <w:t>:</w:t>
            </w:r>
            <w:r w:rsidRPr="000012A2">
              <w:t xml:space="preserve"> As for 2021–22</w:t>
            </w:r>
            <w:r w:rsidR="003F6B53">
              <w:t>.</w:t>
            </w:r>
          </w:p>
          <w:p w14:paraId="79F0591F" w14:textId="7F4171D8" w:rsidR="002B7A00" w:rsidRPr="00455FDE" w:rsidRDefault="002B7A00" w:rsidP="002B7A00">
            <w:pPr>
              <w:pStyle w:val="TableText"/>
            </w:pPr>
            <w:r w:rsidRPr="003F6B53">
              <w:rPr>
                <w:rStyle w:val="Strong"/>
              </w:rPr>
              <w:t>2024–25</w:t>
            </w:r>
            <w:r>
              <w:t>:</w:t>
            </w:r>
            <w:r w:rsidRPr="000012A2">
              <w:t xml:space="preserve"> As for 2021–22</w:t>
            </w:r>
            <w:r w:rsidR="003F6B53">
              <w:t>.</w:t>
            </w:r>
          </w:p>
        </w:tc>
      </w:tr>
      <w:tr w:rsidR="00455FDE" w:rsidRPr="00455FDE" w14:paraId="1CD729C1" w14:textId="77777777" w:rsidTr="001325BF">
        <w:trPr>
          <w:cantSplit/>
        </w:trPr>
        <w:tc>
          <w:tcPr>
            <w:tcW w:w="988" w:type="dxa"/>
            <w:tcBorders>
              <w:top w:val="nil"/>
            </w:tcBorders>
          </w:tcPr>
          <w:p w14:paraId="2DC4B7B6" w14:textId="77777777" w:rsidR="00455FDE" w:rsidRPr="00455FDE" w:rsidRDefault="00455FDE" w:rsidP="002B7A00">
            <w:pPr>
              <w:pStyle w:val="TableHeading"/>
              <w:keepNext w:val="0"/>
            </w:pPr>
            <w:r w:rsidRPr="00455FDE">
              <w:t>Context</w:t>
            </w:r>
          </w:p>
        </w:tc>
        <w:tc>
          <w:tcPr>
            <w:tcW w:w="8072" w:type="dxa"/>
          </w:tcPr>
          <w:p w14:paraId="6EC87FAE" w14:textId="4145BB6E" w:rsidR="00455FDE" w:rsidRPr="00455FDE" w:rsidRDefault="00633CB1" w:rsidP="00B75934">
            <w:pPr>
              <w:pStyle w:val="TableText"/>
            </w:pPr>
            <w:r w:rsidRPr="00633CB1">
              <w:t>Adaptability describes the ability of our people to embrace new ways of working to effectively respond to our dynamic operating environment. Strengthening the adaptability and agility of our people is a key focus in building our capabilities.</w:t>
            </w:r>
          </w:p>
        </w:tc>
      </w:tr>
    </w:tbl>
    <w:bookmarkEnd w:id="141"/>
    <w:p w14:paraId="3C9A6052" w14:textId="4C94E6EA" w:rsidR="00455FDE" w:rsidRPr="00DB5B70" w:rsidRDefault="00837ADD" w:rsidP="00DB5B70">
      <w:pPr>
        <w:pStyle w:val="Heading5"/>
      </w:pPr>
      <w:r>
        <w:t xml:space="preserve">Performance </w:t>
      </w:r>
      <w:r w:rsidR="003C7A1E" w:rsidRPr="003C7A1E">
        <w:t>criterion</w:t>
      </w:r>
      <w:r>
        <w:t xml:space="preserve">: </w:t>
      </w:r>
      <w:r w:rsidR="00455FDE" w:rsidRPr="00DB5B70">
        <w:t xml:space="preserve">Our </w:t>
      </w:r>
      <w:r w:rsidR="000D6B0D" w:rsidRPr="00DB5B70">
        <w:t>ICT</w:t>
      </w:r>
      <w:r w:rsidR="000D6B0D">
        <w:t> </w:t>
      </w:r>
      <w:r w:rsidR="00455FDE" w:rsidRPr="00DB5B70">
        <w:t>infrastructure supports the department to be future ready</w:t>
      </w:r>
      <w:r w:rsidR="00DB5B70">
        <w:t>.</w:t>
      </w:r>
    </w:p>
    <w:tbl>
      <w:tblPr>
        <w:tblStyle w:val="TableGrid10"/>
        <w:tblW w:w="0" w:type="auto"/>
        <w:tblBorders>
          <w:left w:val="none" w:sz="0" w:space="0" w:color="auto"/>
          <w:right w:val="none" w:sz="0" w:space="0" w:color="auto"/>
          <w:insideV w:val="none" w:sz="0" w:space="0" w:color="auto"/>
        </w:tblBorders>
        <w:tblLook w:val="04A0" w:firstRow="1" w:lastRow="0" w:firstColumn="1" w:lastColumn="0" w:noHBand="0" w:noVBand="1"/>
      </w:tblPr>
      <w:tblGrid>
        <w:gridCol w:w="988"/>
        <w:gridCol w:w="8072"/>
      </w:tblGrid>
      <w:tr w:rsidR="00051948" w:rsidRPr="00051948" w14:paraId="445AB0B0" w14:textId="77777777" w:rsidTr="001325BF">
        <w:trPr>
          <w:cantSplit/>
          <w:trHeight w:val="226"/>
        </w:trPr>
        <w:tc>
          <w:tcPr>
            <w:tcW w:w="988" w:type="dxa"/>
            <w:tcBorders>
              <w:top w:val="nil"/>
              <w:bottom w:val="nil"/>
            </w:tcBorders>
            <w:shd w:val="clear" w:color="auto" w:fill="365F91" w:themeFill="accent1" w:themeFillShade="BF"/>
          </w:tcPr>
          <w:p w14:paraId="096DFD30" w14:textId="77777777" w:rsidR="00455FDE" w:rsidRPr="00051948" w:rsidRDefault="00455FDE" w:rsidP="00B75934">
            <w:pPr>
              <w:pStyle w:val="TableHeading"/>
              <w:rPr>
                <w:color w:val="FFFFFF" w:themeColor="background1"/>
              </w:rPr>
            </w:pPr>
            <w:bookmarkStart w:id="142" w:name="RowTitle_20" w:colFirst="0" w:colLast="0"/>
            <w:r w:rsidRPr="00051948">
              <w:rPr>
                <w:color w:val="FFFFFF" w:themeColor="background1"/>
              </w:rPr>
              <w:t>Measure</w:t>
            </w:r>
          </w:p>
        </w:tc>
        <w:tc>
          <w:tcPr>
            <w:tcW w:w="8072" w:type="dxa"/>
            <w:tcBorders>
              <w:top w:val="nil"/>
              <w:bottom w:val="nil"/>
            </w:tcBorders>
            <w:shd w:val="clear" w:color="auto" w:fill="365F91" w:themeFill="accent1" w:themeFillShade="BF"/>
          </w:tcPr>
          <w:p w14:paraId="5B96D448" w14:textId="77777777" w:rsidR="00455FDE" w:rsidRPr="00051948" w:rsidRDefault="00455FDE" w:rsidP="00B75934">
            <w:pPr>
              <w:pStyle w:val="TableText"/>
              <w:rPr>
                <w:color w:val="FFFFFF" w:themeColor="background1"/>
                <w:highlight w:val="yellow"/>
              </w:rPr>
            </w:pPr>
            <w:r w:rsidRPr="00051948">
              <w:rPr>
                <w:color w:val="FFFFFF" w:themeColor="background1"/>
              </w:rPr>
              <w:t xml:space="preserve">Our technology infrastructure, architecture and business processes support modern service delivery and enable stakeholders to </w:t>
            </w:r>
            <w:proofErr w:type="gramStart"/>
            <w:r w:rsidRPr="00051948">
              <w:rPr>
                <w:color w:val="FFFFFF" w:themeColor="background1"/>
              </w:rPr>
              <w:t>more easily interact with us</w:t>
            </w:r>
            <w:proofErr w:type="gramEnd"/>
            <w:r w:rsidRPr="00051948">
              <w:rPr>
                <w:color w:val="FFFFFF" w:themeColor="background1"/>
              </w:rPr>
              <w:t>. (Effectiveness)</w:t>
            </w:r>
          </w:p>
        </w:tc>
      </w:tr>
      <w:tr w:rsidR="002B7A00" w:rsidRPr="00455FDE" w14:paraId="420EB211" w14:textId="77777777" w:rsidTr="001325BF">
        <w:trPr>
          <w:cantSplit/>
          <w:trHeight w:val="138"/>
        </w:trPr>
        <w:tc>
          <w:tcPr>
            <w:tcW w:w="988" w:type="dxa"/>
            <w:tcBorders>
              <w:top w:val="nil"/>
              <w:bottom w:val="nil"/>
            </w:tcBorders>
          </w:tcPr>
          <w:p w14:paraId="6639244E" w14:textId="77777777" w:rsidR="002B7A00" w:rsidRPr="00455FDE" w:rsidRDefault="002B7A00" w:rsidP="00B75934">
            <w:pPr>
              <w:pStyle w:val="TableHeading"/>
            </w:pPr>
            <w:r w:rsidRPr="00455FDE">
              <w:t>Target</w:t>
            </w:r>
          </w:p>
        </w:tc>
        <w:tc>
          <w:tcPr>
            <w:tcW w:w="8072" w:type="dxa"/>
            <w:tcBorders>
              <w:top w:val="nil"/>
            </w:tcBorders>
            <w:shd w:val="clear" w:color="auto" w:fill="auto"/>
          </w:tcPr>
          <w:p w14:paraId="0DCB0C8A" w14:textId="77777777" w:rsidR="002B7A00" w:rsidRDefault="002B7A00" w:rsidP="002B7A00">
            <w:pPr>
              <w:pStyle w:val="TableText"/>
            </w:pPr>
            <w:r w:rsidRPr="003F6B53">
              <w:rPr>
                <w:rStyle w:val="Strong"/>
              </w:rPr>
              <w:t>2021–22</w:t>
            </w:r>
            <w:r>
              <w:t>:</w:t>
            </w:r>
            <w:r w:rsidRPr="00455FDE">
              <w:t xml:space="preserve"> Establish baseline to enhance service level standards for ICT downtime/unplanned outages.</w:t>
            </w:r>
          </w:p>
          <w:p w14:paraId="41ACB49E" w14:textId="0CB9665B" w:rsidR="002B7A00" w:rsidRDefault="002B7A00" w:rsidP="002B7A00">
            <w:pPr>
              <w:pStyle w:val="TableText"/>
            </w:pPr>
            <w:r w:rsidRPr="003F6B53">
              <w:rPr>
                <w:rStyle w:val="Strong"/>
              </w:rPr>
              <w:t>2022–23</w:t>
            </w:r>
            <w:r>
              <w:t>:</w:t>
            </w:r>
            <w:r w:rsidRPr="000012A2">
              <w:t xml:space="preserve"> As for 2021–22</w:t>
            </w:r>
            <w:r w:rsidR="003F6B53">
              <w:t>.</w:t>
            </w:r>
          </w:p>
          <w:p w14:paraId="1999EADE" w14:textId="3F986057" w:rsidR="002B7A00" w:rsidRDefault="002B7A00" w:rsidP="002B7A00">
            <w:pPr>
              <w:pStyle w:val="TableText"/>
            </w:pPr>
            <w:r w:rsidRPr="003F6B53">
              <w:rPr>
                <w:rStyle w:val="Strong"/>
              </w:rPr>
              <w:t>2023–24</w:t>
            </w:r>
            <w:r>
              <w:t>:</w:t>
            </w:r>
            <w:r w:rsidRPr="000012A2">
              <w:t xml:space="preserve"> As for 2021–22</w:t>
            </w:r>
            <w:r w:rsidR="003F6B53">
              <w:t>.</w:t>
            </w:r>
          </w:p>
          <w:p w14:paraId="75511139" w14:textId="53B4B4AF" w:rsidR="002B7A00" w:rsidRPr="00455FDE" w:rsidRDefault="002B7A00" w:rsidP="002B7A00">
            <w:pPr>
              <w:pStyle w:val="TableText"/>
            </w:pPr>
            <w:r w:rsidRPr="003F6B53">
              <w:rPr>
                <w:rStyle w:val="Strong"/>
              </w:rPr>
              <w:t>2024–25</w:t>
            </w:r>
            <w:r>
              <w:t>:</w:t>
            </w:r>
            <w:r w:rsidRPr="000012A2">
              <w:t xml:space="preserve"> As for 2021–22</w:t>
            </w:r>
            <w:r w:rsidR="003F6B53">
              <w:t>.</w:t>
            </w:r>
          </w:p>
        </w:tc>
      </w:tr>
      <w:tr w:rsidR="00577269" w:rsidRPr="00455FDE" w14:paraId="56E71061" w14:textId="77777777" w:rsidTr="001325BF">
        <w:trPr>
          <w:cantSplit/>
          <w:trHeight w:val="267"/>
        </w:trPr>
        <w:tc>
          <w:tcPr>
            <w:tcW w:w="988" w:type="dxa"/>
            <w:tcBorders>
              <w:top w:val="nil"/>
              <w:bottom w:val="nil"/>
            </w:tcBorders>
          </w:tcPr>
          <w:p w14:paraId="31B43AAC" w14:textId="44BB1CC9" w:rsidR="00577269" w:rsidRPr="00164075" w:rsidRDefault="00577269" w:rsidP="00577269">
            <w:pPr>
              <w:pStyle w:val="TableHeading"/>
              <w:rPr>
                <w:color w:val="FFFFFF" w:themeColor="background1"/>
              </w:rPr>
            </w:pPr>
            <w:r w:rsidRPr="00577269">
              <w:t>Target</w:t>
            </w:r>
          </w:p>
        </w:tc>
        <w:tc>
          <w:tcPr>
            <w:tcW w:w="8072" w:type="dxa"/>
            <w:shd w:val="clear" w:color="auto" w:fill="auto"/>
          </w:tcPr>
          <w:p w14:paraId="2645D06F" w14:textId="77777777" w:rsidR="00577269" w:rsidRDefault="00577269" w:rsidP="00577269">
            <w:pPr>
              <w:pStyle w:val="TableText"/>
            </w:pPr>
            <w:r w:rsidRPr="003F6B53">
              <w:rPr>
                <w:rStyle w:val="Strong"/>
              </w:rPr>
              <w:t>2021–22</w:t>
            </w:r>
            <w:r>
              <w:t>:</w:t>
            </w:r>
            <w:r w:rsidRPr="00455FDE">
              <w:t xml:space="preserve"> Reduce volume of incidents within </w:t>
            </w:r>
            <w:r>
              <w:t xml:space="preserve">Information Systems Division </w:t>
            </w:r>
            <w:r w:rsidRPr="00455FDE">
              <w:t>control (by incident type).</w:t>
            </w:r>
          </w:p>
          <w:p w14:paraId="5F59EBCB" w14:textId="56847790" w:rsidR="00577269" w:rsidRDefault="00577269" w:rsidP="00577269">
            <w:pPr>
              <w:pStyle w:val="TableText"/>
            </w:pPr>
            <w:r w:rsidRPr="003F6B53">
              <w:rPr>
                <w:rStyle w:val="Strong"/>
              </w:rPr>
              <w:t>2022–23</w:t>
            </w:r>
            <w:r>
              <w:t>:</w:t>
            </w:r>
            <w:r w:rsidRPr="000012A2">
              <w:t xml:space="preserve"> As for 2021–22</w:t>
            </w:r>
            <w:r>
              <w:t>.</w:t>
            </w:r>
          </w:p>
          <w:p w14:paraId="17B7B0CD" w14:textId="32EBAEEC" w:rsidR="00577269" w:rsidRDefault="00577269" w:rsidP="00577269">
            <w:pPr>
              <w:pStyle w:val="TableText"/>
            </w:pPr>
            <w:r w:rsidRPr="003F6B53">
              <w:rPr>
                <w:rStyle w:val="Strong"/>
              </w:rPr>
              <w:t>2023–24</w:t>
            </w:r>
            <w:r>
              <w:t>:</w:t>
            </w:r>
            <w:r w:rsidRPr="000012A2">
              <w:t xml:space="preserve"> As for 2021–22</w:t>
            </w:r>
            <w:r>
              <w:t>.</w:t>
            </w:r>
          </w:p>
          <w:p w14:paraId="49763549" w14:textId="16A264E2" w:rsidR="00577269" w:rsidRPr="00455FDE" w:rsidRDefault="00577269" w:rsidP="00577269">
            <w:pPr>
              <w:pStyle w:val="TableText"/>
            </w:pPr>
            <w:r w:rsidRPr="003F6B53">
              <w:rPr>
                <w:rStyle w:val="Strong"/>
              </w:rPr>
              <w:t>2024–25</w:t>
            </w:r>
            <w:r>
              <w:t>:</w:t>
            </w:r>
            <w:r w:rsidRPr="000012A2">
              <w:t xml:space="preserve"> As for 2021–22</w:t>
            </w:r>
            <w:r>
              <w:t>.</w:t>
            </w:r>
          </w:p>
        </w:tc>
      </w:tr>
      <w:tr w:rsidR="00577269" w:rsidRPr="00455FDE" w14:paraId="4ED82EA7" w14:textId="77777777" w:rsidTr="001325BF">
        <w:trPr>
          <w:cantSplit/>
          <w:trHeight w:val="267"/>
        </w:trPr>
        <w:tc>
          <w:tcPr>
            <w:tcW w:w="988" w:type="dxa"/>
            <w:tcBorders>
              <w:top w:val="nil"/>
              <w:bottom w:val="nil"/>
            </w:tcBorders>
          </w:tcPr>
          <w:p w14:paraId="796C316D" w14:textId="78A881CC" w:rsidR="00577269" w:rsidRPr="00164075" w:rsidRDefault="00577269" w:rsidP="00577269">
            <w:pPr>
              <w:pStyle w:val="TableHeading"/>
              <w:rPr>
                <w:color w:val="FFFFFF" w:themeColor="background1"/>
              </w:rPr>
            </w:pPr>
            <w:r w:rsidRPr="00577269">
              <w:t>Target</w:t>
            </w:r>
          </w:p>
        </w:tc>
        <w:tc>
          <w:tcPr>
            <w:tcW w:w="8072" w:type="dxa"/>
            <w:shd w:val="clear" w:color="auto" w:fill="auto"/>
          </w:tcPr>
          <w:p w14:paraId="08E6BDF7" w14:textId="77777777" w:rsidR="00577269" w:rsidRDefault="00577269" w:rsidP="00577269">
            <w:pPr>
              <w:pStyle w:val="TableText"/>
            </w:pPr>
            <w:r w:rsidRPr="003F6B53">
              <w:rPr>
                <w:rStyle w:val="Strong"/>
              </w:rPr>
              <w:t>2021–22</w:t>
            </w:r>
            <w:r>
              <w:t>:</w:t>
            </w:r>
            <w:r w:rsidRPr="00455FDE">
              <w:t xml:space="preserve"> </w:t>
            </w:r>
            <w:r w:rsidRPr="001C39C1">
              <w:t xml:space="preserve">Define and deliver priorities under our </w:t>
            </w:r>
            <w:r w:rsidRPr="001C39C1">
              <w:rPr>
                <w:i/>
                <w:iCs/>
              </w:rPr>
              <w:t>ICT Strategy 2020 to </w:t>
            </w:r>
            <w:r w:rsidRPr="00E81938">
              <w:rPr>
                <w:i/>
                <w:iCs/>
              </w:rPr>
              <w:t>2024</w:t>
            </w:r>
            <w:r w:rsidRPr="00D148F6">
              <w:t>.</w:t>
            </w:r>
          </w:p>
          <w:p w14:paraId="17126262" w14:textId="6F050113" w:rsidR="00577269" w:rsidRDefault="00577269" w:rsidP="00577269">
            <w:pPr>
              <w:pStyle w:val="TableText"/>
            </w:pPr>
            <w:r w:rsidRPr="003F6B53">
              <w:rPr>
                <w:rStyle w:val="Strong"/>
              </w:rPr>
              <w:t>2022–23</w:t>
            </w:r>
            <w:r>
              <w:t>: n/a.</w:t>
            </w:r>
          </w:p>
          <w:p w14:paraId="3754FF2D" w14:textId="2E0720FA" w:rsidR="00577269" w:rsidRDefault="00577269" w:rsidP="00577269">
            <w:pPr>
              <w:pStyle w:val="TableText"/>
            </w:pPr>
            <w:r w:rsidRPr="003F6B53">
              <w:rPr>
                <w:rStyle w:val="Strong"/>
              </w:rPr>
              <w:t>2023–24</w:t>
            </w:r>
            <w:r>
              <w:t>: n/a.</w:t>
            </w:r>
          </w:p>
          <w:p w14:paraId="04E48BE9" w14:textId="6288E006" w:rsidR="00577269" w:rsidRPr="00455FDE" w:rsidRDefault="00577269" w:rsidP="00577269">
            <w:pPr>
              <w:pStyle w:val="TableText"/>
            </w:pPr>
            <w:r w:rsidRPr="003F6B53">
              <w:rPr>
                <w:rStyle w:val="Strong"/>
              </w:rPr>
              <w:t>2024–25</w:t>
            </w:r>
            <w:r>
              <w:t>: n/a.</w:t>
            </w:r>
          </w:p>
        </w:tc>
      </w:tr>
      <w:tr w:rsidR="00455FDE" w:rsidRPr="00455FDE" w14:paraId="2F7454A8" w14:textId="77777777" w:rsidTr="001325BF">
        <w:trPr>
          <w:cantSplit/>
        </w:trPr>
        <w:tc>
          <w:tcPr>
            <w:tcW w:w="988" w:type="dxa"/>
            <w:tcBorders>
              <w:top w:val="nil"/>
            </w:tcBorders>
          </w:tcPr>
          <w:p w14:paraId="5682A1AC" w14:textId="77777777" w:rsidR="00455FDE" w:rsidRPr="00455FDE" w:rsidRDefault="00455FDE" w:rsidP="002B7A00">
            <w:pPr>
              <w:pStyle w:val="TableHeading"/>
              <w:keepNext w:val="0"/>
            </w:pPr>
            <w:r w:rsidRPr="00455FDE">
              <w:t>Context</w:t>
            </w:r>
          </w:p>
        </w:tc>
        <w:tc>
          <w:tcPr>
            <w:tcW w:w="8072" w:type="dxa"/>
          </w:tcPr>
          <w:p w14:paraId="6C8117A0" w14:textId="1698A823" w:rsidR="00455FDE" w:rsidRPr="00455FDE" w:rsidRDefault="00455FDE" w:rsidP="00B75934">
            <w:pPr>
              <w:pStyle w:val="TableText"/>
            </w:pPr>
            <w:r w:rsidRPr="00455FDE">
              <w:t xml:space="preserve">The ongoing development of </w:t>
            </w:r>
            <w:r w:rsidR="00427C10" w:rsidRPr="00455FDE">
              <w:t>ICT</w:t>
            </w:r>
            <w:r w:rsidR="00427C10">
              <w:t> </w:t>
            </w:r>
            <w:r w:rsidRPr="00455FDE">
              <w:t xml:space="preserve">services is a priority. By creating service level standards and monitoring progress we aim to provide our people with the tools they need and </w:t>
            </w:r>
            <w:r w:rsidR="002733F2">
              <w:t>provide</w:t>
            </w:r>
            <w:r w:rsidR="002733F2" w:rsidRPr="00455FDE">
              <w:t xml:space="preserve"> </w:t>
            </w:r>
            <w:r w:rsidRPr="00455FDE">
              <w:t>a positive user experience for stakeholders.</w:t>
            </w:r>
          </w:p>
        </w:tc>
      </w:tr>
      <w:bookmarkEnd w:id="142"/>
    </w:tbl>
    <w:p w14:paraId="2391A7D3" w14:textId="77777777" w:rsidR="00455FDE" w:rsidRDefault="00455FDE" w:rsidP="00E02A54"/>
    <w:sectPr w:rsidR="00455FDE" w:rsidSect="001325BF">
      <w:type w:val="continuous"/>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704BD" w14:textId="77777777" w:rsidR="00EA15C1" w:rsidRDefault="00EA15C1">
      <w:pPr>
        <w:spacing w:after="0" w:line="240" w:lineRule="auto"/>
      </w:pPr>
      <w:r>
        <w:separator/>
      </w:r>
    </w:p>
  </w:endnote>
  <w:endnote w:type="continuationSeparator" w:id="0">
    <w:p w14:paraId="24930978" w14:textId="77777777" w:rsidR="00EA15C1" w:rsidRDefault="00EA1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A6A88" w14:textId="77777777" w:rsidR="005051D3" w:rsidRDefault="003857B7" w:rsidP="005051D3">
    <w:pPr>
      <w:pStyle w:val="Header"/>
    </w:pPr>
    <w:r>
      <w:t xml:space="preserve">Department of Agriculture, </w:t>
    </w:r>
    <w:proofErr w:type="gramStart"/>
    <w:r>
      <w:t>Water</w:t>
    </w:r>
    <w:proofErr w:type="gramEnd"/>
    <w:r>
      <w:t xml:space="preserve"> and the Environment</w:t>
    </w:r>
  </w:p>
  <w:p w14:paraId="2E4F746F" w14:textId="7B524F1B" w:rsidR="00B861B4" w:rsidRDefault="005051D3" w:rsidP="005051D3">
    <w:pPr>
      <w:pStyle w:val="Header"/>
    </w:pPr>
    <w:r>
      <w:t>Corporate Plan 2021–22</w:t>
    </w:r>
  </w:p>
  <w:p w14:paraId="3932A123" w14:textId="77777777" w:rsidR="00B861B4" w:rsidRDefault="003857B7" w:rsidP="005051D3">
    <w:pPr>
      <w:pStyle w:val="Footer"/>
      <w:jc w:val="right"/>
    </w:pPr>
    <w:r>
      <w:fldChar w:fldCharType="begin"/>
    </w:r>
    <w:r>
      <w:instrText xml:space="preserve"> PAGE   \* MERGEFORMAT </w:instrText>
    </w:r>
    <w:r>
      <w:fldChar w:fldCharType="separate"/>
    </w:r>
    <w:r w:rsidR="005E25BD">
      <w:rPr>
        <w:noProof/>
      </w:rPr>
      <w:t>42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FF254" w14:textId="77777777" w:rsidR="00EA15C1" w:rsidRDefault="00EA15C1">
      <w:pPr>
        <w:spacing w:after="0" w:line="240" w:lineRule="auto"/>
      </w:pPr>
      <w:r>
        <w:separator/>
      </w:r>
    </w:p>
  </w:footnote>
  <w:footnote w:type="continuationSeparator" w:id="0">
    <w:p w14:paraId="1F51C86A" w14:textId="77777777" w:rsidR="00EA15C1" w:rsidRDefault="00EA15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CB06F" w14:textId="17364A30" w:rsidR="00B861B4" w:rsidRDefault="00B861B4">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56BB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3785110"/>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6E4CDBE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18D62FE2"/>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0D7E094E"/>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040A2CC0"/>
    <w:multiLevelType w:val="multilevel"/>
    <w:tmpl w:val="03D68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8EC7CA2"/>
    <w:multiLevelType w:val="hybridMultilevel"/>
    <w:tmpl w:val="3DD8DD28"/>
    <w:lvl w:ilvl="0" w:tplc="FC2A86F6">
      <w:start w:val="1"/>
      <w:numFmt w:val="bullet"/>
      <w:lvlText w:val=""/>
      <w:lvlJc w:val="left"/>
      <w:pPr>
        <w:ind w:left="720" w:hanging="360"/>
      </w:pPr>
      <w:rPr>
        <w:rFonts w:ascii="Symbol" w:hAnsi="Symbol" w:hint="default"/>
      </w:rPr>
    </w:lvl>
    <w:lvl w:ilvl="1" w:tplc="2A464340" w:tentative="1">
      <w:start w:val="1"/>
      <w:numFmt w:val="bullet"/>
      <w:lvlText w:val="o"/>
      <w:lvlJc w:val="left"/>
      <w:pPr>
        <w:ind w:left="1440" w:hanging="360"/>
      </w:pPr>
      <w:rPr>
        <w:rFonts w:ascii="Courier New" w:hAnsi="Courier New" w:cs="Courier New" w:hint="default"/>
      </w:rPr>
    </w:lvl>
    <w:lvl w:ilvl="2" w:tplc="553EA978" w:tentative="1">
      <w:start w:val="1"/>
      <w:numFmt w:val="bullet"/>
      <w:lvlText w:val=""/>
      <w:lvlJc w:val="left"/>
      <w:pPr>
        <w:ind w:left="2160" w:hanging="360"/>
      </w:pPr>
      <w:rPr>
        <w:rFonts w:ascii="Wingdings" w:hAnsi="Wingdings" w:hint="default"/>
      </w:rPr>
    </w:lvl>
    <w:lvl w:ilvl="3" w:tplc="0750CD9E" w:tentative="1">
      <w:start w:val="1"/>
      <w:numFmt w:val="bullet"/>
      <w:lvlText w:val=""/>
      <w:lvlJc w:val="left"/>
      <w:pPr>
        <w:ind w:left="2880" w:hanging="360"/>
      </w:pPr>
      <w:rPr>
        <w:rFonts w:ascii="Symbol" w:hAnsi="Symbol" w:hint="default"/>
      </w:rPr>
    </w:lvl>
    <w:lvl w:ilvl="4" w:tplc="D2D82FA6" w:tentative="1">
      <w:start w:val="1"/>
      <w:numFmt w:val="bullet"/>
      <w:lvlText w:val="o"/>
      <w:lvlJc w:val="left"/>
      <w:pPr>
        <w:ind w:left="3600" w:hanging="360"/>
      </w:pPr>
      <w:rPr>
        <w:rFonts w:ascii="Courier New" w:hAnsi="Courier New" w:cs="Courier New" w:hint="default"/>
      </w:rPr>
    </w:lvl>
    <w:lvl w:ilvl="5" w:tplc="5C2ED0EE" w:tentative="1">
      <w:start w:val="1"/>
      <w:numFmt w:val="bullet"/>
      <w:lvlText w:val=""/>
      <w:lvlJc w:val="left"/>
      <w:pPr>
        <w:ind w:left="4320" w:hanging="360"/>
      </w:pPr>
      <w:rPr>
        <w:rFonts w:ascii="Wingdings" w:hAnsi="Wingdings" w:hint="default"/>
      </w:rPr>
    </w:lvl>
    <w:lvl w:ilvl="6" w:tplc="F31E84CE" w:tentative="1">
      <w:start w:val="1"/>
      <w:numFmt w:val="bullet"/>
      <w:lvlText w:val=""/>
      <w:lvlJc w:val="left"/>
      <w:pPr>
        <w:ind w:left="5040" w:hanging="360"/>
      </w:pPr>
      <w:rPr>
        <w:rFonts w:ascii="Symbol" w:hAnsi="Symbol" w:hint="default"/>
      </w:rPr>
    </w:lvl>
    <w:lvl w:ilvl="7" w:tplc="6346FB34" w:tentative="1">
      <w:start w:val="1"/>
      <w:numFmt w:val="bullet"/>
      <w:lvlText w:val="o"/>
      <w:lvlJc w:val="left"/>
      <w:pPr>
        <w:ind w:left="5760" w:hanging="360"/>
      </w:pPr>
      <w:rPr>
        <w:rFonts w:ascii="Courier New" w:hAnsi="Courier New" w:cs="Courier New" w:hint="default"/>
      </w:rPr>
    </w:lvl>
    <w:lvl w:ilvl="8" w:tplc="ABD23302" w:tentative="1">
      <w:start w:val="1"/>
      <w:numFmt w:val="bullet"/>
      <w:lvlText w:val=""/>
      <w:lvlJc w:val="left"/>
      <w:pPr>
        <w:ind w:left="6480" w:hanging="360"/>
      </w:pPr>
      <w:rPr>
        <w:rFonts w:ascii="Wingdings" w:hAnsi="Wingdings" w:hint="default"/>
      </w:rPr>
    </w:lvl>
  </w:abstractNum>
  <w:abstractNum w:abstractNumId="9"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0" w15:restartNumberingAfterBreak="0">
    <w:nsid w:val="12056DAA"/>
    <w:multiLevelType w:val="hybridMultilevel"/>
    <w:tmpl w:val="C5CCCECC"/>
    <w:lvl w:ilvl="0" w:tplc="16BCAA98">
      <w:start w:val="1"/>
      <w:numFmt w:val="bullet"/>
      <w:pStyle w:val="TableBullet2"/>
      <w:lvlText w:val=""/>
      <w:lvlJc w:val="left"/>
      <w:pPr>
        <w:ind w:left="1004" w:hanging="360"/>
      </w:pPr>
      <w:rPr>
        <w:rFonts w:ascii="Symbol" w:hAnsi="Symbol" w:hint="default"/>
      </w:rPr>
    </w:lvl>
    <w:lvl w:ilvl="1" w:tplc="2CF4FBD0" w:tentative="1">
      <w:start w:val="1"/>
      <w:numFmt w:val="bullet"/>
      <w:lvlText w:val="o"/>
      <w:lvlJc w:val="left"/>
      <w:pPr>
        <w:ind w:left="1724" w:hanging="360"/>
      </w:pPr>
      <w:rPr>
        <w:rFonts w:ascii="Courier New" w:hAnsi="Courier New" w:cs="Courier New" w:hint="default"/>
      </w:rPr>
    </w:lvl>
    <w:lvl w:ilvl="2" w:tplc="253CF198" w:tentative="1">
      <w:start w:val="1"/>
      <w:numFmt w:val="bullet"/>
      <w:lvlText w:val=""/>
      <w:lvlJc w:val="left"/>
      <w:pPr>
        <w:ind w:left="2444" w:hanging="360"/>
      </w:pPr>
      <w:rPr>
        <w:rFonts w:ascii="Wingdings" w:hAnsi="Wingdings" w:hint="default"/>
      </w:rPr>
    </w:lvl>
    <w:lvl w:ilvl="3" w:tplc="1AEA06E8" w:tentative="1">
      <w:start w:val="1"/>
      <w:numFmt w:val="bullet"/>
      <w:lvlText w:val=""/>
      <w:lvlJc w:val="left"/>
      <w:pPr>
        <w:ind w:left="3164" w:hanging="360"/>
      </w:pPr>
      <w:rPr>
        <w:rFonts w:ascii="Symbol" w:hAnsi="Symbol" w:hint="default"/>
      </w:rPr>
    </w:lvl>
    <w:lvl w:ilvl="4" w:tplc="5000806C" w:tentative="1">
      <w:start w:val="1"/>
      <w:numFmt w:val="bullet"/>
      <w:lvlText w:val="o"/>
      <w:lvlJc w:val="left"/>
      <w:pPr>
        <w:ind w:left="3884" w:hanging="360"/>
      </w:pPr>
      <w:rPr>
        <w:rFonts w:ascii="Courier New" w:hAnsi="Courier New" w:cs="Courier New" w:hint="default"/>
      </w:rPr>
    </w:lvl>
    <w:lvl w:ilvl="5" w:tplc="2AA8DE8A" w:tentative="1">
      <w:start w:val="1"/>
      <w:numFmt w:val="bullet"/>
      <w:lvlText w:val=""/>
      <w:lvlJc w:val="left"/>
      <w:pPr>
        <w:ind w:left="4604" w:hanging="360"/>
      </w:pPr>
      <w:rPr>
        <w:rFonts w:ascii="Wingdings" w:hAnsi="Wingdings" w:hint="default"/>
      </w:rPr>
    </w:lvl>
    <w:lvl w:ilvl="6" w:tplc="F8B26EF0" w:tentative="1">
      <w:start w:val="1"/>
      <w:numFmt w:val="bullet"/>
      <w:lvlText w:val=""/>
      <w:lvlJc w:val="left"/>
      <w:pPr>
        <w:ind w:left="5324" w:hanging="360"/>
      </w:pPr>
      <w:rPr>
        <w:rFonts w:ascii="Symbol" w:hAnsi="Symbol" w:hint="default"/>
      </w:rPr>
    </w:lvl>
    <w:lvl w:ilvl="7" w:tplc="5EEACACE" w:tentative="1">
      <w:start w:val="1"/>
      <w:numFmt w:val="bullet"/>
      <w:lvlText w:val="o"/>
      <w:lvlJc w:val="left"/>
      <w:pPr>
        <w:ind w:left="6044" w:hanging="360"/>
      </w:pPr>
      <w:rPr>
        <w:rFonts w:ascii="Courier New" w:hAnsi="Courier New" w:cs="Courier New" w:hint="default"/>
      </w:rPr>
    </w:lvl>
    <w:lvl w:ilvl="8" w:tplc="FA065BC4" w:tentative="1">
      <w:start w:val="1"/>
      <w:numFmt w:val="bullet"/>
      <w:lvlText w:val=""/>
      <w:lvlJc w:val="left"/>
      <w:pPr>
        <w:ind w:left="6764" w:hanging="360"/>
      </w:pPr>
      <w:rPr>
        <w:rFonts w:ascii="Wingdings" w:hAnsi="Wingdings" w:hint="default"/>
      </w:rPr>
    </w:lvl>
  </w:abstractNum>
  <w:abstractNum w:abstractNumId="11" w15:restartNumberingAfterBreak="0">
    <w:nsid w:val="162C51FB"/>
    <w:multiLevelType w:val="multilevel"/>
    <w:tmpl w:val="7EA2A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96B606F"/>
    <w:multiLevelType w:val="hybridMultilevel"/>
    <w:tmpl w:val="E0560262"/>
    <w:lvl w:ilvl="0" w:tplc="5DFE58C4">
      <w:start w:val="1"/>
      <w:numFmt w:val="bullet"/>
      <w:pStyle w:val="TableBullet1"/>
      <w:lvlText w:val=""/>
      <w:lvlJc w:val="left"/>
      <w:pPr>
        <w:ind w:left="720" w:hanging="360"/>
      </w:pPr>
      <w:rPr>
        <w:rFonts w:ascii="Symbol" w:hAnsi="Symbol" w:hint="default"/>
      </w:rPr>
    </w:lvl>
    <w:lvl w:ilvl="1" w:tplc="A9D04124" w:tentative="1">
      <w:start w:val="1"/>
      <w:numFmt w:val="bullet"/>
      <w:lvlText w:val="o"/>
      <w:lvlJc w:val="left"/>
      <w:pPr>
        <w:ind w:left="1440" w:hanging="360"/>
      </w:pPr>
      <w:rPr>
        <w:rFonts w:ascii="Courier New" w:hAnsi="Courier New" w:cs="Courier New" w:hint="default"/>
      </w:rPr>
    </w:lvl>
    <w:lvl w:ilvl="2" w:tplc="5AC23686" w:tentative="1">
      <w:start w:val="1"/>
      <w:numFmt w:val="bullet"/>
      <w:lvlText w:val=""/>
      <w:lvlJc w:val="left"/>
      <w:pPr>
        <w:ind w:left="2160" w:hanging="360"/>
      </w:pPr>
      <w:rPr>
        <w:rFonts w:ascii="Wingdings" w:hAnsi="Wingdings" w:hint="default"/>
      </w:rPr>
    </w:lvl>
    <w:lvl w:ilvl="3" w:tplc="0FD6D1A4" w:tentative="1">
      <w:start w:val="1"/>
      <w:numFmt w:val="bullet"/>
      <w:lvlText w:val=""/>
      <w:lvlJc w:val="left"/>
      <w:pPr>
        <w:ind w:left="2880" w:hanging="360"/>
      </w:pPr>
      <w:rPr>
        <w:rFonts w:ascii="Symbol" w:hAnsi="Symbol" w:hint="default"/>
      </w:rPr>
    </w:lvl>
    <w:lvl w:ilvl="4" w:tplc="0B0625BA" w:tentative="1">
      <w:start w:val="1"/>
      <w:numFmt w:val="bullet"/>
      <w:lvlText w:val="o"/>
      <w:lvlJc w:val="left"/>
      <w:pPr>
        <w:ind w:left="3600" w:hanging="360"/>
      </w:pPr>
      <w:rPr>
        <w:rFonts w:ascii="Courier New" w:hAnsi="Courier New" w:cs="Courier New" w:hint="default"/>
      </w:rPr>
    </w:lvl>
    <w:lvl w:ilvl="5" w:tplc="AF82C3EE" w:tentative="1">
      <w:start w:val="1"/>
      <w:numFmt w:val="bullet"/>
      <w:lvlText w:val=""/>
      <w:lvlJc w:val="left"/>
      <w:pPr>
        <w:ind w:left="4320" w:hanging="360"/>
      </w:pPr>
      <w:rPr>
        <w:rFonts w:ascii="Wingdings" w:hAnsi="Wingdings" w:hint="default"/>
      </w:rPr>
    </w:lvl>
    <w:lvl w:ilvl="6" w:tplc="3B1E3E9E" w:tentative="1">
      <w:start w:val="1"/>
      <w:numFmt w:val="bullet"/>
      <w:lvlText w:val=""/>
      <w:lvlJc w:val="left"/>
      <w:pPr>
        <w:ind w:left="5040" w:hanging="360"/>
      </w:pPr>
      <w:rPr>
        <w:rFonts w:ascii="Symbol" w:hAnsi="Symbol" w:hint="default"/>
      </w:rPr>
    </w:lvl>
    <w:lvl w:ilvl="7" w:tplc="8E3C38C8" w:tentative="1">
      <w:start w:val="1"/>
      <w:numFmt w:val="bullet"/>
      <w:lvlText w:val="o"/>
      <w:lvlJc w:val="left"/>
      <w:pPr>
        <w:ind w:left="5760" w:hanging="360"/>
      </w:pPr>
      <w:rPr>
        <w:rFonts w:ascii="Courier New" w:hAnsi="Courier New" w:cs="Courier New" w:hint="default"/>
      </w:rPr>
    </w:lvl>
    <w:lvl w:ilvl="8" w:tplc="BF688804" w:tentative="1">
      <w:start w:val="1"/>
      <w:numFmt w:val="bullet"/>
      <w:lvlText w:val=""/>
      <w:lvlJc w:val="left"/>
      <w:pPr>
        <w:ind w:left="6480" w:hanging="360"/>
      </w:pPr>
      <w:rPr>
        <w:rFonts w:ascii="Wingdings" w:hAnsi="Wingdings" w:hint="default"/>
      </w:rPr>
    </w:lvl>
  </w:abstractNum>
  <w:abstractNum w:abstractNumId="13" w15:restartNumberingAfterBreak="0">
    <w:nsid w:val="1CD71580"/>
    <w:multiLevelType w:val="hybridMultilevel"/>
    <w:tmpl w:val="16AAE240"/>
    <w:lvl w:ilvl="0" w:tplc="E2DCB96A">
      <w:start w:val="1"/>
      <w:numFmt w:val="bullet"/>
      <w:lvlText w:val=""/>
      <w:lvlJc w:val="left"/>
      <w:pPr>
        <w:ind w:left="360" w:hanging="360"/>
      </w:pPr>
      <w:rPr>
        <w:rFonts w:ascii="Symbol" w:hAnsi="Symbol" w:hint="default"/>
        <w:color w:val="FF7900"/>
      </w:rPr>
    </w:lvl>
    <w:lvl w:ilvl="1" w:tplc="9B0A49D2">
      <w:start w:val="1"/>
      <w:numFmt w:val="bullet"/>
      <w:lvlText w:val="o"/>
      <w:lvlJc w:val="left"/>
      <w:pPr>
        <w:ind w:left="1440" w:hanging="360"/>
      </w:pPr>
      <w:rPr>
        <w:rFonts w:ascii="Courier New" w:hAnsi="Courier New" w:cs="Courier New" w:hint="default"/>
      </w:rPr>
    </w:lvl>
    <w:lvl w:ilvl="2" w:tplc="6A8E4DF6" w:tentative="1">
      <w:start w:val="1"/>
      <w:numFmt w:val="bullet"/>
      <w:lvlText w:val=""/>
      <w:lvlJc w:val="left"/>
      <w:pPr>
        <w:ind w:left="2160" w:hanging="360"/>
      </w:pPr>
      <w:rPr>
        <w:rFonts w:ascii="Wingdings" w:hAnsi="Wingdings" w:hint="default"/>
      </w:rPr>
    </w:lvl>
    <w:lvl w:ilvl="3" w:tplc="27402952" w:tentative="1">
      <w:start w:val="1"/>
      <w:numFmt w:val="bullet"/>
      <w:lvlText w:val=""/>
      <w:lvlJc w:val="left"/>
      <w:pPr>
        <w:ind w:left="2880" w:hanging="360"/>
      </w:pPr>
      <w:rPr>
        <w:rFonts w:ascii="Symbol" w:hAnsi="Symbol" w:hint="default"/>
      </w:rPr>
    </w:lvl>
    <w:lvl w:ilvl="4" w:tplc="7BDAC4AA" w:tentative="1">
      <w:start w:val="1"/>
      <w:numFmt w:val="bullet"/>
      <w:lvlText w:val="o"/>
      <w:lvlJc w:val="left"/>
      <w:pPr>
        <w:ind w:left="3600" w:hanging="360"/>
      </w:pPr>
      <w:rPr>
        <w:rFonts w:ascii="Courier New" w:hAnsi="Courier New" w:cs="Courier New" w:hint="default"/>
      </w:rPr>
    </w:lvl>
    <w:lvl w:ilvl="5" w:tplc="2F646758" w:tentative="1">
      <w:start w:val="1"/>
      <w:numFmt w:val="bullet"/>
      <w:lvlText w:val=""/>
      <w:lvlJc w:val="left"/>
      <w:pPr>
        <w:ind w:left="4320" w:hanging="360"/>
      </w:pPr>
      <w:rPr>
        <w:rFonts w:ascii="Wingdings" w:hAnsi="Wingdings" w:hint="default"/>
      </w:rPr>
    </w:lvl>
    <w:lvl w:ilvl="6" w:tplc="1832C00C" w:tentative="1">
      <w:start w:val="1"/>
      <w:numFmt w:val="bullet"/>
      <w:lvlText w:val=""/>
      <w:lvlJc w:val="left"/>
      <w:pPr>
        <w:ind w:left="5040" w:hanging="360"/>
      </w:pPr>
      <w:rPr>
        <w:rFonts w:ascii="Symbol" w:hAnsi="Symbol" w:hint="default"/>
      </w:rPr>
    </w:lvl>
    <w:lvl w:ilvl="7" w:tplc="1076E78C" w:tentative="1">
      <w:start w:val="1"/>
      <w:numFmt w:val="bullet"/>
      <w:lvlText w:val="o"/>
      <w:lvlJc w:val="left"/>
      <w:pPr>
        <w:ind w:left="5760" w:hanging="360"/>
      </w:pPr>
      <w:rPr>
        <w:rFonts w:ascii="Courier New" w:hAnsi="Courier New" w:cs="Courier New" w:hint="default"/>
      </w:rPr>
    </w:lvl>
    <w:lvl w:ilvl="8" w:tplc="999A1DC8" w:tentative="1">
      <w:start w:val="1"/>
      <w:numFmt w:val="bullet"/>
      <w:lvlText w:val=""/>
      <w:lvlJc w:val="left"/>
      <w:pPr>
        <w:ind w:left="6480" w:hanging="360"/>
      </w:pPr>
      <w:rPr>
        <w:rFonts w:ascii="Wingdings" w:hAnsi="Wingdings" w:hint="default"/>
      </w:rPr>
    </w:lvl>
  </w:abstractNum>
  <w:abstractNum w:abstractNumId="14" w15:restartNumberingAfterBreak="0">
    <w:nsid w:val="21A328D5"/>
    <w:multiLevelType w:val="multilevel"/>
    <w:tmpl w:val="BE78A4F8"/>
    <w:numStyleLink w:val="Numberlist"/>
  </w:abstractNum>
  <w:abstractNum w:abstractNumId="15"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B103637"/>
    <w:multiLevelType w:val="multilevel"/>
    <w:tmpl w:val="BE78A4F8"/>
    <w:numStyleLink w:val="Numberlist"/>
  </w:abstractNum>
  <w:abstractNum w:abstractNumId="17" w15:restartNumberingAfterBreak="0">
    <w:nsid w:val="394A15FE"/>
    <w:multiLevelType w:val="multilevel"/>
    <w:tmpl w:val="F36C17E8"/>
    <w:numStyleLink w:val="Headinglist"/>
  </w:abstractNum>
  <w:abstractNum w:abstractNumId="18" w15:restartNumberingAfterBreak="0">
    <w:nsid w:val="3A38477E"/>
    <w:multiLevelType w:val="multilevel"/>
    <w:tmpl w:val="E5987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14F4729"/>
    <w:multiLevelType w:val="multilevel"/>
    <w:tmpl w:val="16947114"/>
    <w:numStyleLink w:val="List1"/>
  </w:abstractNum>
  <w:abstractNum w:abstractNumId="20" w15:restartNumberingAfterBreak="0">
    <w:nsid w:val="486800B4"/>
    <w:multiLevelType w:val="multilevel"/>
    <w:tmpl w:val="16947114"/>
    <w:numStyleLink w:val="List1"/>
  </w:abstractNum>
  <w:abstractNum w:abstractNumId="21" w15:restartNumberingAfterBreak="0">
    <w:nsid w:val="48DE2E4A"/>
    <w:multiLevelType w:val="hybridMultilevel"/>
    <w:tmpl w:val="B7086130"/>
    <w:lvl w:ilvl="0" w:tplc="86A4A8F8">
      <w:start w:val="1"/>
      <w:numFmt w:val="bullet"/>
      <w:pStyle w:val="BoxTextBullet"/>
      <w:lvlText w:val=""/>
      <w:lvlJc w:val="left"/>
      <w:pPr>
        <w:ind w:left="720" w:hanging="360"/>
      </w:pPr>
      <w:rPr>
        <w:rFonts w:ascii="Symbol" w:hAnsi="Symbol" w:hint="default"/>
      </w:rPr>
    </w:lvl>
    <w:lvl w:ilvl="1" w:tplc="E196F034" w:tentative="1">
      <w:start w:val="1"/>
      <w:numFmt w:val="bullet"/>
      <w:lvlText w:val="o"/>
      <w:lvlJc w:val="left"/>
      <w:pPr>
        <w:ind w:left="1440" w:hanging="360"/>
      </w:pPr>
      <w:rPr>
        <w:rFonts w:ascii="Courier New" w:hAnsi="Courier New" w:cs="Courier New" w:hint="default"/>
      </w:rPr>
    </w:lvl>
    <w:lvl w:ilvl="2" w:tplc="9D1E006C" w:tentative="1">
      <w:start w:val="1"/>
      <w:numFmt w:val="bullet"/>
      <w:lvlText w:val=""/>
      <w:lvlJc w:val="left"/>
      <w:pPr>
        <w:ind w:left="2160" w:hanging="360"/>
      </w:pPr>
      <w:rPr>
        <w:rFonts w:ascii="Wingdings" w:hAnsi="Wingdings" w:hint="default"/>
      </w:rPr>
    </w:lvl>
    <w:lvl w:ilvl="3" w:tplc="7FB4A772" w:tentative="1">
      <w:start w:val="1"/>
      <w:numFmt w:val="bullet"/>
      <w:lvlText w:val=""/>
      <w:lvlJc w:val="left"/>
      <w:pPr>
        <w:ind w:left="2880" w:hanging="360"/>
      </w:pPr>
      <w:rPr>
        <w:rFonts w:ascii="Symbol" w:hAnsi="Symbol" w:hint="default"/>
      </w:rPr>
    </w:lvl>
    <w:lvl w:ilvl="4" w:tplc="70B07B8E" w:tentative="1">
      <w:start w:val="1"/>
      <w:numFmt w:val="bullet"/>
      <w:lvlText w:val="o"/>
      <w:lvlJc w:val="left"/>
      <w:pPr>
        <w:ind w:left="3600" w:hanging="360"/>
      </w:pPr>
      <w:rPr>
        <w:rFonts w:ascii="Courier New" w:hAnsi="Courier New" w:cs="Courier New" w:hint="default"/>
      </w:rPr>
    </w:lvl>
    <w:lvl w:ilvl="5" w:tplc="8662BC24" w:tentative="1">
      <w:start w:val="1"/>
      <w:numFmt w:val="bullet"/>
      <w:lvlText w:val=""/>
      <w:lvlJc w:val="left"/>
      <w:pPr>
        <w:ind w:left="4320" w:hanging="360"/>
      </w:pPr>
      <w:rPr>
        <w:rFonts w:ascii="Wingdings" w:hAnsi="Wingdings" w:hint="default"/>
      </w:rPr>
    </w:lvl>
    <w:lvl w:ilvl="6" w:tplc="4164FC0C" w:tentative="1">
      <w:start w:val="1"/>
      <w:numFmt w:val="bullet"/>
      <w:lvlText w:val=""/>
      <w:lvlJc w:val="left"/>
      <w:pPr>
        <w:ind w:left="5040" w:hanging="360"/>
      </w:pPr>
      <w:rPr>
        <w:rFonts w:ascii="Symbol" w:hAnsi="Symbol" w:hint="default"/>
      </w:rPr>
    </w:lvl>
    <w:lvl w:ilvl="7" w:tplc="21761396" w:tentative="1">
      <w:start w:val="1"/>
      <w:numFmt w:val="bullet"/>
      <w:lvlText w:val="o"/>
      <w:lvlJc w:val="left"/>
      <w:pPr>
        <w:ind w:left="5760" w:hanging="360"/>
      </w:pPr>
      <w:rPr>
        <w:rFonts w:ascii="Courier New" w:hAnsi="Courier New" w:cs="Courier New" w:hint="default"/>
      </w:rPr>
    </w:lvl>
    <w:lvl w:ilvl="8" w:tplc="AE2C687A" w:tentative="1">
      <w:start w:val="1"/>
      <w:numFmt w:val="bullet"/>
      <w:lvlText w:val=""/>
      <w:lvlJc w:val="left"/>
      <w:pPr>
        <w:ind w:left="6480" w:hanging="360"/>
      </w:pPr>
      <w:rPr>
        <w:rFonts w:ascii="Wingdings" w:hAnsi="Wingdings" w:hint="default"/>
      </w:rPr>
    </w:lvl>
  </w:abstractNum>
  <w:abstractNum w:abstractNumId="22" w15:restartNumberingAfterBreak="0">
    <w:nsid w:val="496159DC"/>
    <w:multiLevelType w:val="multilevel"/>
    <w:tmpl w:val="BE78A4F8"/>
    <w:numStyleLink w:val="Numberlist"/>
  </w:abstractNum>
  <w:abstractNum w:abstractNumId="23"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5"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AA12966"/>
    <w:multiLevelType w:val="multilevel"/>
    <w:tmpl w:val="16947114"/>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7"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8" w15:restartNumberingAfterBreak="0">
    <w:nsid w:val="5E8B50D5"/>
    <w:multiLevelType w:val="multilevel"/>
    <w:tmpl w:val="5E043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C8C10A1"/>
    <w:multiLevelType w:val="multilevel"/>
    <w:tmpl w:val="BE78A4F8"/>
    <w:numStyleLink w:val="Numberlist"/>
  </w:abstractNum>
  <w:abstractNum w:abstractNumId="31" w15:restartNumberingAfterBreak="0">
    <w:nsid w:val="733934B7"/>
    <w:multiLevelType w:val="multilevel"/>
    <w:tmpl w:val="16947114"/>
    <w:numStyleLink w:val="List1"/>
  </w:abstractNum>
  <w:num w:numId="1">
    <w:abstractNumId w:val="6"/>
  </w:num>
  <w:num w:numId="2">
    <w:abstractNumId w:val="20"/>
  </w:num>
  <w:num w:numId="3">
    <w:abstractNumId w:val="21"/>
  </w:num>
  <w:num w:numId="4">
    <w:abstractNumId w:val="12"/>
  </w:num>
  <w:num w:numId="5">
    <w:abstractNumId w:val="26"/>
  </w:num>
  <w:num w:numId="6">
    <w:abstractNumId w:val="27"/>
  </w:num>
  <w:num w:numId="7">
    <w:abstractNumId w:val="9"/>
  </w:num>
  <w:num w:numId="8">
    <w:abstractNumId w:val="15"/>
  </w:num>
  <w:num w:numId="9">
    <w:abstractNumId w:val="17"/>
  </w:num>
  <w:num w:numId="10">
    <w:abstractNumId w:val="9"/>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3"/>
  </w:num>
  <w:num w:numId="14">
    <w:abstractNumId w:val="2"/>
  </w:num>
  <w:num w:numId="15">
    <w:abstractNumId w:val="13"/>
  </w:num>
  <w:num w:numId="16">
    <w:abstractNumId w:val="24"/>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
  </w:num>
  <w:num w:numId="20">
    <w:abstractNumId w:val="0"/>
  </w:num>
  <w:num w:numId="21">
    <w:abstractNumId w:val="16"/>
  </w:num>
  <w:num w:numId="22">
    <w:abstractNumId w:val="22"/>
  </w:num>
  <w:num w:numId="23">
    <w:abstractNumId w:val="30"/>
  </w:num>
  <w:num w:numId="24">
    <w:abstractNumId w:val="14"/>
  </w:num>
  <w:num w:numId="25">
    <w:abstractNumId w:val="19"/>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23"/>
  </w:num>
  <w:num w:numId="29">
    <w:abstractNumId w:val="25"/>
  </w:num>
  <w:num w:numId="30">
    <w:abstractNumId w:val="10"/>
  </w:num>
  <w:num w:numId="31">
    <w:abstractNumId w:val="18"/>
  </w:num>
  <w:num w:numId="32">
    <w:abstractNumId w:val="11"/>
  </w:num>
  <w:num w:numId="33">
    <w:abstractNumId w:val="7"/>
  </w:num>
  <w:num w:numId="34">
    <w:abstractNumId w:val="28"/>
  </w:num>
  <w:num w:numId="35">
    <w:abstractNumId w:val="8"/>
  </w:num>
  <w:num w:numId="36">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F65"/>
    <w:rsid w:val="00003FCF"/>
    <w:rsid w:val="00013395"/>
    <w:rsid w:val="00022630"/>
    <w:rsid w:val="0002635E"/>
    <w:rsid w:val="00027872"/>
    <w:rsid w:val="00032E5A"/>
    <w:rsid w:val="00034737"/>
    <w:rsid w:val="00035115"/>
    <w:rsid w:val="000351C8"/>
    <w:rsid w:val="000354AA"/>
    <w:rsid w:val="0004021E"/>
    <w:rsid w:val="0004276E"/>
    <w:rsid w:val="000504CF"/>
    <w:rsid w:val="00051948"/>
    <w:rsid w:val="000522C6"/>
    <w:rsid w:val="00053B70"/>
    <w:rsid w:val="00056676"/>
    <w:rsid w:val="00061186"/>
    <w:rsid w:val="00063BCD"/>
    <w:rsid w:val="00066793"/>
    <w:rsid w:val="00070DB8"/>
    <w:rsid w:val="0007261B"/>
    <w:rsid w:val="000739DE"/>
    <w:rsid w:val="000778EA"/>
    <w:rsid w:val="00087BCF"/>
    <w:rsid w:val="0009166C"/>
    <w:rsid w:val="00093F4F"/>
    <w:rsid w:val="00097FA8"/>
    <w:rsid w:val="000A2649"/>
    <w:rsid w:val="000A5D78"/>
    <w:rsid w:val="000A7AAF"/>
    <w:rsid w:val="000B29D6"/>
    <w:rsid w:val="000B41DC"/>
    <w:rsid w:val="000B5CBF"/>
    <w:rsid w:val="000B7A39"/>
    <w:rsid w:val="000C0184"/>
    <w:rsid w:val="000C1707"/>
    <w:rsid w:val="000D0400"/>
    <w:rsid w:val="000D192C"/>
    <w:rsid w:val="000D68F7"/>
    <w:rsid w:val="000D6B0D"/>
    <w:rsid w:val="000E0335"/>
    <w:rsid w:val="000E234A"/>
    <w:rsid w:val="000E348A"/>
    <w:rsid w:val="000E4D6E"/>
    <w:rsid w:val="000E690A"/>
    <w:rsid w:val="000F17F5"/>
    <w:rsid w:val="00101671"/>
    <w:rsid w:val="001019B4"/>
    <w:rsid w:val="001030BE"/>
    <w:rsid w:val="0010543B"/>
    <w:rsid w:val="00105825"/>
    <w:rsid w:val="00110CE8"/>
    <w:rsid w:val="00112437"/>
    <w:rsid w:val="00116C2A"/>
    <w:rsid w:val="001231B5"/>
    <w:rsid w:val="00123EF5"/>
    <w:rsid w:val="00125542"/>
    <w:rsid w:val="001325BF"/>
    <w:rsid w:val="0013411A"/>
    <w:rsid w:val="00143505"/>
    <w:rsid w:val="00145A52"/>
    <w:rsid w:val="00145D47"/>
    <w:rsid w:val="00146CDF"/>
    <w:rsid w:val="00153CA7"/>
    <w:rsid w:val="00163C0D"/>
    <w:rsid w:val="00164075"/>
    <w:rsid w:val="00164AFE"/>
    <w:rsid w:val="00175778"/>
    <w:rsid w:val="0017699C"/>
    <w:rsid w:val="001769F5"/>
    <w:rsid w:val="00177264"/>
    <w:rsid w:val="00182E93"/>
    <w:rsid w:val="00184181"/>
    <w:rsid w:val="00186C3B"/>
    <w:rsid w:val="00191CAA"/>
    <w:rsid w:val="00193A70"/>
    <w:rsid w:val="001A01AB"/>
    <w:rsid w:val="001A1230"/>
    <w:rsid w:val="001A7546"/>
    <w:rsid w:val="001A76CA"/>
    <w:rsid w:val="001B66D0"/>
    <w:rsid w:val="001C39C1"/>
    <w:rsid w:val="001C5BAB"/>
    <w:rsid w:val="001C71CE"/>
    <w:rsid w:val="001D1453"/>
    <w:rsid w:val="001E7ADA"/>
    <w:rsid w:val="001F07E6"/>
    <w:rsid w:val="001F0BF0"/>
    <w:rsid w:val="001F228A"/>
    <w:rsid w:val="001F37CA"/>
    <w:rsid w:val="001F6096"/>
    <w:rsid w:val="001F690A"/>
    <w:rsid w:val="001F7F94"/>
    <w:rsid w:val="00200BA6"/>
    <w:rsid w:val="00211511"/>
    <w:rsid w:val="00222137"/>
    <w:rsid w:val="00224C9A"/>
    <w:rsid w:val="002261CB"/>
    <w:rsid w:val="00230E90"/>
    <w:rsid w:val="00230F34"/>
    <w:rsid w:val="002310C7"/>
    <w:rsid w:val="00241A6E"/>
    <w:rsid w:val="002446C5"/>
    <w:rsid w:val="00272FCC"/>
    <w:rsid w:val="002733F2"/>
    <w:rsid w:val="0027478C"/>
    <w:rsid w:val="00277782"/>
    <w:rsid w:val="00281BB6"/>
    <w:rsid w:val="00281C0E"/>
    <w:rsid w:val="002820AE"/>
    <w:rsid w:val="002821D6"/>
    <w:rsid w:val="002826C2"/>
    <w:rsid w:val="00284B20"/>
    <w:rsid w:val="00284D14"/>
    <w:rsid w:val="00286307"/>
    <w:rsid w:val="002869BE"/>
    <w:rsid w:val="00287729"/>
    <w:rsid w:val="0029260E"/>
    <w:rsid w:val="00296881"/>
    <w:rsid w:val="002968CE"/>
    <w:rsid w:val="00296E8F"/>
    <w:rsid w:val="002A14D7"/>
    <w:rsid w:val="002B7A00"/>
    <w:rsid w:val="002C3FB1"/>
    <w:rsid w:val="002C539B"/>
    <w:rsid w:val="002C7730"/>
    <w:rsid w:val="002D5D34"/>
    <w:rsid w:val="002D7772"/>
    <w:rsid w:val="002E0CA1"/>
    <w:rsid w:val="002E1B7C"/>
    <w:rsid w:val="002E1E6D"/>
    <w:rsid w:val="002E459F"/>
    <w:rsid w:val="002F1AE5"/>
    <w:rsid w:val="002F7EAE"/>
    <w:rsid w:val="003022D3"/>
    <w:rsid w:val="003024BD"/>
    <w:rsid w:val="00305837"/>
    <w:rsid w:val="00322A12"/>
    <w:rsid w:val="0033006A"/>
    <w:rsid w:val="003446C0"/>
    <w:rsid w:val="00344F6C"/>
    <w:rsid w:val="00352DFC"/>
    <w:rsid w:val="00355289"/>
    <w:rsid w:val="00357C5B"/>
    <w:rsid w:val="00367527"/>
    <w:rsid w:val="00367D03"/>
    <w:rsid w:val="00374AFA"/>
    <w:rsid w:val="00375D1C"/>
    <w:rsid w:val="0037753A"/>
    <w:rsid w:val="00383B56"/>
    <w:rsid w:val="003841EB"/>
    <w:rsid w:val="003857B7"/>
    <w:rsid w:val="00387C8D"/>
    <w:rsid w:val="00390787"/>
    <w:rsid w:val="003A0D47"/>
    <w:rsid w:val="003A43AC"/>
    <w:rsid w:val="003A485F"/>
    <w:rsid w:val="003B3A9A"/>
    <w:rsid w:val="003B3B7E"/>
    <w:rsid w:val="003B4463"/>
    <w:rsid w:val="003B7A10"/>
    <w:rsid w:val="003C1EDF"/>
    <w:rsid w:val="003C25E5"/>
    <w:rsid w:val="003C76CA"/>
    <w:rsid w:val="003C7A1E"/>
    <w:rsid w:val="003D33A4"/>
    <w:rsid w:val="003E17F4"/>
    <w:rsid w:val="003E2BA6"/>
    <w:rsid w:val="003E30C0"/>
    <w:rsid w:val="003E49F5"/>
    <w:rsid w:val="003E6DDC"/>
    <w:rsid w:val="003F2994"/>
    <w:rsid w:val="003F6B53"/>
    <w:rsid w:val="003F6CC0"/>
    <w:rsid w:val="003F798A"/>
    <w:rsid w:val="003F7E7F"/>
    <w:rsid w:val="0040110F"/>
    <w:rsid w:val="00402ACA"/>
    <w:rsid w:val="00404AB6"/>
    <w:rsid w:val="00410B27"/>
    <w:rsid w:val="004119A5"/>
    <w:rsid w:val="00411F1F"/>
    <w:rsid w:val="00413161"/>
    <w:rsid w:val="004157A6"/>
    <w:rsid w:val="00425332"/>
    <w:rsid w:val="00427C10"/>
    <w:rsid w:val="00430E63"/>
    <w:rsid w:val="0043465A"/>
    <w:rsid w:val="00440BC0"/>
    <w:rsid w:val="00441852"/>
    <w:rsid w:val="00445A65"/>
    <w:rsid w:val="00447F51"/>
    <w:rsid w:val="0045452F"/>
    <w:rsid w:val="00455FDE"/>
    <w:rsid w:val="0045685F"/>
    <w:rsid w:val="004573DC"/>
    <w:rsid w:val="00460316"/>
    <w:rsid w:val="004723A0"/>
    <w:rsid w:val="00480C03"/>
    <w:rsid w:val="00480C7E"/>
    <w:rsid w:val="004811C7"/>
    <w:rsid w:val="0048240D"/>
    <w:rsid w:val="0048360B"/>
    <w:rsid w:val="00491E5F"/>
    <w:rsid w:val="004932BA"/>
    <w:rsid w:val="00495598"/>
    <w:rsid w:val="004A3595"/>
    <w:rsid w:val="004B1D54"/>
    <w:rsid w:val="004B78D6"/>
    <w:rsid w:val="004D1047"/>
    <w:rsid w:val="004D27F0"/>
    <w:rsid w:val="004E4FFD"/>
    <w:rsid w:val="004E6E81"/>
    <w:rsid w:val="004F1559"/>
    <w:rsid w:val="004F4502"/>
    <w:rsid w:val="004F4FC6"/>
    <w:rsid w:val="004F508E"/>
    <w:rsid w:val="00500A9C"/>
    <w:rsid w:val="005043EB"/>
    <w:rsid w:val="0050510B"/>
    <w:rsid w:val="005051D3"/>
    <w:rsid w:val="005060E8"/>
    <w:rsid w:val="00521531"/>
    <w:rsid w:val="00530780"/>
    <w:rsid w:val="00530C69"/>
    <w:rsid w:val="00530F5C"/>
    <w:rsid w:val="00531AD3"/>
    <w:rsid w:val="00535D9A"/>
    <w:rsid w:val="00540E21"/>
    <w:rsid w:val="00544C5E"/>
    <w:rsid w:val="005509EE"/>
    <w:rsid w:val="00552FEA"/>
    <w:rsid w:val="00555CE9"/>
    <w:rsid w:val="00561179"/>
    <w:rsid w:val="0057468E"/>
    <w:rsid w:val="00577269"/>
    <w:rsid w:val="0058036F"/>
    <w:rsid w:val="005809D9"/>
    <w:rsid w:val="0058218D"/>
    <w:rsid w:val="005822AC"/>
    <w:rsid w:val="005835D2"/>
    <w:rsid w:val="0058656B"/>
    <w:rsid w:val="00587733"/>
    <w:rsid w:val="00590CE4"/>
    <w:rsid w:val="00592483"/>
    <w:rsid w:val="00596DFB"/>
    <w:rsid w:val="00596F0A"/>
    <w:rsid w:val="005A1BA3"/>
    <w:rsid w:val="005A6ACE"/>
    <w:rsid w:val="005A7F72"/>
    <w:rsid w:val="005B3672"/>
    <w:rsid w:val="005B7CF4"/>
    <w:rsid w:val="005C191F"/>
    <w:rsid w:val="005C1B0E"/>
    <w:rsid w:val="005C442A"/>
    <w:rsid w:val="005D1E0C"/>
    <w:rsid w:val="005D49F0"/>
    <w:rsid w:val="005E050B"/>
    <w:rsid w:val="005E25BD"/>
    <w:rsid w:val="005E33E9"/>
    <w:rsid w:val="005E491B"/>
    <w:rsid w:val="005F16ED"/>
    <w:rsid w:val="005F68A9"/>
    <w:rsid w:val="00606D85"/>
    <w:rsid w:val="00607279"/>
    <w:rsid w:val="006079BA"/>
    <w:rsid w:val="00611B33"/>
    <w:rsid w:val="006138D1"/>
    <w:rsid w:val="00613DAA"/>
    <w:rsid w:val="00616E1F"/>
    <w:rsid w:val="00617A58"/>
    <w:rsid w:val="00621271"/>
    <w:rsid w:val="00621A57"/>
    <w:rsid w:val="00622579"/>
    <w:rsid w:val="00623E50"/>
    <w:rsid w:val="00626537"/>
    <w:rsid w:val="00631344"/>
    <w:rsid w:val="00633CB1"/>
    <w:rsid w:val="00634174"/>
    <w:rsid w:val="006353CC"/>
    <w:rsid w:val="00637C4D"/>
    <w:rsid w:val="0064163D"/>
    <w:rsid w:val="00646E0D"/>
    <w:rsid w:val="00653509"/>
    <w:rsid w:val="006621F0"/>
    <w:rsid w:val="006713CB"/>
    <w:rsid w:val="006778B7"/>
    <w:rsid w:val="00681CEE"/>
    <w:rsid w:val="00682192"/>
    <w:rsid w:val="00683024"/>
    <w:rsid w:val="0068351B"/>
    <w:rsid w:val="00692787"/>
    <w:rsid w:val="006A2780"/>
    <w:rsid w:val="006A2906"/>
    <w:rsid w:val="006A63BC"/>
    <w:rsid w:val="006B2EA2"/>
    <w:rsid w:val="006C16FF"/>
    <w:rsid w:val="006C5145"/>
    <w:rsid w:val="006C74D4"/>
    <w:rsid w:val="006C7B5B"/>
    <w:rsid w:val="006D060E"/>
    <w:rsid w:val="006D1741"/>
    <w:rsid w:val="006D59D1"/>
    <w:rsid w:val="006D5FFD"/>
    <w:rsid w:val="006E1263"/>
    <w:rsid w:val="006E5A38"/>
    <w:rsid w:val="006F0597"/>
    <w:rsid w:val="006F35D9"/>
    <w:rsid w:val="006F3D9F"/>
    <w:rsid w:val="007012AC"/>
    <w:rsid w:val="00704FD6"/>
    <w:rsid w:val="0070615F"/>
    <w:rsid w:val="00713D81"/>
    <w:rsid w:val="0071775E"/>
    <w:rsid w:val="00720E07"/>
    <w:rsid w:val="00721609"/>
    <w:rsid w:val="00722D09"/>
    <w:rsid w:val="00732DDF"/>
    <w:rsid w:val="0073595B"/>
    <w:rsid w:val="00735DEC"/>
    <w:rsid w:val="00736018"/>
    <w:rsid w:val="00736AC1"/>
    <w:rsid w:val="007371A1"/>
    <w:rsid w:val="00737776"/>
    <w:rsid w:val="00741B58"/>
    <w:rsid w:val="00743A41"/>
    <w:rsid w:val="00743F5E"/>
    <w:rsid w:val="00744D7D"/>
    <w:rsid w:val="00745A77"/>
    <w:rsid w:val="00752301"/>
    <w:rsid w:val="00753044"/>
    <w:rsid w:val="00761899"/>
    <w:rsid w:val="00764D6A"/>
    <w:rsid w:val="00765ED9"/>
    <w:rsid w:val="00766221"/>
    <w:rsid w:val="007704FA"/>
    <w:rsid w:val="0077211B"/>
    <w:rsid w:val="00773056"/>
    <w:rsid w:val="007755B3"/>
    <w:rsid w:val="00777246"/>
    <w:rsid w:val="0078126A"/>
    <w:rsid w:val="00792491"/>
    <w:rsid w:val="00792CEA"/>
    <w:rsid w:val="007A0D7A"/>
    <w:rsid w:val="007A68F7"/>
    <w:rsid w:val="007A6EDB"/>
    <w:rsid w:val="007C0912"/>
    <w:rsid w:val="007C122D"/>
    <w:rsid w:val="007C312F"/>
    <w:rsid w:val="007C34AF"/>
    <w:rsid w:val="007C358A"/>
    <w:rsid w:val="007C75F3"/>
    <w:rsid w:val="007C779E"/>
    <w:rsid w:val="007C789A"/>
    <w:rsid w:val="007E7981"/>
    <w:rsid w:val="007E7F36"/>
    <w:rsid w:val="007F5C5D"/>
    <w:rsid w:val="007F6EC0"/>
    <w:rsid w:val="007F6EF9"/>
    <w:rsid w:val="008026E5"/>
    <w:rsid w:val="00804DB2"/>
    <w:rsid w:val="00806931"/>
    <w:rsid w:val="008127CC"/>
    <w:rsid w:val="0081719A"/>
    <w:rsid w:val="008210B0"/>
    <w:rsid w:val="00823B78"/>
    <w:rsid w:val="00824119"/>
    <w:rsid w:val="00837ADD"/>
    <w:rsid w:val="00842063"/>
    <w:rsid w:val="0085680A"/>
    <w:rsid w:val="0086093B"/>
    <w:rsid w:val="00862435"/>
    <w:rsid w:val="008645C6"/>
    <w:rsid w:val="00867E2C"/>
    <w:rsid w:val="00870897"/>
    <w:rsid w:val="008711C0"/>
    <w:rsid w:val="00880A93"/>
    <w:rsid w:val="008839B5"/>
    <w:rsid w:val="0088516E"/>
    <w:rsid w:val="0089074E"/>
    <w:rsid w:val="00892801"/>
    <w:rsid w:val="008952F8"/>
    <w:rsid w:val="008A4304"/>
    <w:rsid w:val="008A6532"/>
    <w:rsid w:val="008A6E30"/>
    <w:rsid w:val="008A7BEB"/>
    <w:rsid w:val="008B0B25"/>
    <w:rsid w:val="008B3D59"/>
    <w:rsid w:val="008C0189"/>
    <w:rsid w:val="008C0F65"/>
    <w:rsid w:val="008C1FCD"/>
    <w:rsid w:val="008C2F26"/>
    <w:rsid w:val="008C735B"/>
    <w:rsid w:val="008C7636"/>
    <w:rsid w:val="008D3C68"/>
    <w:rsid w:val="008D619B"/>
    <w:rsid w:val="008E4C1F"/>
    <w:rsid w:val="008E6BC3"/>
    <w:rsid w:val="008E7157"/>
    <w:rsid w:val="008E7822"/>
    <w:rsid w:val="008F0D61"/>
    <w:rsid w:val="00915933"/>
    <w:rsid w:val="00924160"/>
    <w:rsid w:val="009300B0"/>
    <w:rsid w:val="009323AC"/>
    <w:rsid w:val="00935FFD"/>
    <w:rsid w:val="00936307"/>
    <w:rsid w:val="0094055E"/>
    <w:rsid w:val="0094239A"/>
    <w:rsid w:val="009432C2"/>
    <w:rsid w:val="00946897"/>
    <w:rsid w:val="00946F98"/>
    <w:rsid w:val="00952593"/>
    <w:rsid w:val="0095505B"/>
    <w:rsid w:val="00957991"/>
    <w:rsid w:val="00961C46"/>
    <w:rsid w:val="009639B0"/>
    <w:rsid w:val="00967D24"/>
    <w:rsid w:val="00974469"/>
    <w:rsid w:val="009763DE"/>
    <w:rsid w:val="0098158F"/>
    <w:rsid w:val="009819D2"/>
    <w:rsid w:val="009967A8"/>
    <w:rsid w:val="009A102D"/>
    <w:rsid w:val="009A2786"/>
    <w:rsid w:val="009A2A59"/>
    <w:rsid w:val="009A39DA"/>
    <w:rsid w:val="009A60E2"/>
    <w:rsid w:val="009A6DEF"/>
    <w:rsid w:val="009A7C25"/>
    <w:rsid w:val="009C2BA2"/>
    <w:rsid w:val="009C39E4"/>
    <w:rsid w:val="009C4582"/>
    <w:rsid w:val="009D092C"/>
    <w:rsid w:val="009D21ED"/>
    <w:rsid w:val="009D3FF2"/>
    <w:rsid w:val="009D5007"/>
    <w:rsid w:val="009E1ADE"/>
    <w:rsid w:val="009E3E80"/>
    <w:rsid w:val="009E4D23"/>
    <w:rsid w:val="009E5B66"/>
    <w:rsid w:val="009F5252"/>
    <w:rsid w:val="009F64AB"/>
    <w:rsid w:val="009F69C6"/>
    <w:rsid w:val="009F6C3B"/>
    <w:rsid w:val="00A03F1A"/>
    <w:rsid w:val="00A145F9"/>
    <w:rsid w:val="00A146EB"/>
    <w:rsid w:val="00A153F2"/>
    <w:rsid w:val="00A1543C"/>
    <w:rsid w:val="00A17126"/>
    <w:rsid w:val="00A2616D"/>
    <w:rsid w:val="00A36610"/>
    <w:rsid w:val="00A42050"/>
    <w:rsid w:val="00A42117"/>
    <w:rsid w:val="00A4267C"/>
    <w:rsid w:val="00A42C37"/>
    <w:rsid w:val="00A506EE"/>
    <w:rsid w:val="00A517F6"/>
    <w:rsid w:val="00A54612"/>
    <w:rsid w:val="00A56384"/>
    <w:rsid w:val="00A56A6A"/>
    <w:rsid w:val="00A57273"/>
    <w:rsid w:val="00A57A66"/>
    <w:rsid w:val="00A60717"/>
    <w:rsid w:val="00A634A2"/>
    <w:rsid w:val="00A74466"/>
    <w:rsid w:val="00A82CA6"/>
    <w:rsid w:val="00A84896"/>
    <w:rsid w:val="00A85E60"/>
    <w:rsid w:val="00A87D8B"/>
    <w:rsid w:val="00A91233"/>
    <w:rsid w:val="00A947ED"/>
    <w:rsid w:val="00A95655"/>
    <w:rsid w:val="00A96E17"/>
    <w:rsid w:val="00A97F66"/>
    <w:rsid w:val="00A97F95"/>
    <w:rsid w:val="00AA6202"/>
    <w:rsid w:val="00AA7C38"/>
    <w:rsid w:val="00AB249A"/>
    <w:rsid w:val="00AB30D9"/>
    <w:rsid w:val="00AB68DA"/>
    <w:rsid w:val="00AC2742"/>
    <w:rsid w:val="00AC35F5"/>
    <w:rsid w:val="00AD09CB"/>
    <w:rsid w:val="00AD240D"/>
    <w:rsid w:val="00AE109D"/>
    <w:rsid w:val="00AE291F"/>
    <w:rsid w:val="00AE4237"/>
    <w:rsid w:val="00AE447C"/>
    <w:rsid w:val="00AE54A7"/>
    <w:rsid w:val="00AE5FC1"/>
    <w:rsid w:val="00AF245A"/>
    <w:rsid w:val="00B0196C"/>
    <w:rsid w:val="00B045DC"/>
    <w:rsid w:val="00B119A3"/>
    <w:rsid w:val="00B16B46"/>
    <w:rsid w:val="00B20322"/>
    <w:rsid w:val="00B26547"/>
    <w:rsid w:val="00B27D4C"/>
    <w:rsid w:val="00B31E4F"/>
    <w:rsid w:val="00B336AF"/>
    <w:rsid w:val="00B35DCA"/>
    <w:rsid w:val="00B3751A"/>
    <w:rsid w:val="00B40085"/>
    <w:rsid w:val="00B45E01"/>
    <w:rsid w:val="00B46823"/>
    <w:rsid w:val="00B50956"/>
    <w:rsid w:val="00B53F83"/>
    <w:rsid w:val="00B541D1"/>
    <w:rsid w:val="00B54A73"/>
    <w:rsid w:val="00B55CE5"/>
    <w:rsid w:val="00B5740E"/>
    <w:rsid w:val="00B61ECE"/>
    <w:rsid w:val="00B63485"/>
    <w:rsid w:val="00B668C9"/>
    <w:rsid w:val="00B66DD5"/>
    <w:rsid w:val="00B71566"/>
    <w:rsid w:val="00B71EBA"/>
    <w:rsid w:val="00B75934"/>
    <w:rsid w:val="00B861B4"/>
    <w:rsid w:val="00B97E61"/>
    <w:rsid w:val="00BA2B27"/>
    <w:rsid w:val="00BA386D"/>
    <w:rsid w:val="00BA6E9E"/>
    <w:rsid w:val="00BC1616"/>
    <w:rsid w:val="00BC605A"/>
    <w:rsid w:val="00BD2496"/>
    <w:rsid w:val="00BD5260"/>
    <w:rsid w:val="00BD686F"/>
    <w:rsid w:val="00BE0A92"/>
    <w:rsid w:val="00BE11BB"/>
    <w:rsid w:val="00BE561A"/>
    <w:rsid w:val="00BF2B85"/>
    <w:rsid w:val="00C003C5"/>
    <w:rsid w:val="00C02519"/>
    <w:rsid w:val="00C04FDD"/>
    <w:rsid w:val="00C11AB1"/>
    <w:rsid w:val="00C127CC"/>
    <w:rsid w:val="00C12ACE"/>
    <w:rsid w:val="00C151B7"/>
    <w:rsid w:val="00C157A0"/>
    <w:rsid w:val="00C17A02"/>
    <w:rsid w:val="00C20DEA"/>
    <w:rsid w:val="00C21002"/>
    <w:rsid w:val="00C223FD"/>
    <w:rsid w:val="00C26116"/>
    <w:rsid w:val="00C33358"/>
    <w:rsid w:val="00C4143A"/>
    <w:rsid w:val="00C416EC"/>
    <w:rsid w:val="00C416FB"/>
    <w:rsid w:val="00C43ED9"/>
    <w:rsid w:val="00C47E6A"/>
    <w:rsid w:val="00C50941"/>
    <w:rsid w:val="00C519C2"/>
    <w:rsid w:val="00C55524"/>
    <w:rsid w:val="00C57F63"/>
    <w:rsid w:val="00C6058C"/>
    <w:rsid w:val="00C6062D"/>
    <w:rsid w:val="00C65DDC"/>
    <w:rsid w:val="00C6663A"/>
    <w:rsid w:val="00C67B4F"/>
    <w:rsid w:val="00C728E8"/>
    <w:rsid w:val="00C77007"/>
    <w:rsid w:val="00C81087"/>
    <w:rsid w:val="00C85C62"/>
    <w:rsid w:val="00C86B4D"/>
    <w:rsid w:val="00C93AD3"/>
    <w:rsid w:val="00C96666"/>
    <w:rsid w:val="00CA07F2"/>
    <w:rsid w:val="00CB6C80"/>
    <w:rsid w:val="00CB7558"/>
    <w:rsid w:val="00CC4CDF"/>
    <w:rsid w:val="00CC6DF8"/>
    <w:rsid w:val="00CD1E00"/>
    <w:rsid w:val="00CD29E9"/>
    <w:rsid w:val="00CD357F"/>
    <w:rsid w:val="00CD5806"/>
    <w:rsid w:val="00CD6FD2"/>
    <w:rsid w:val="00CE7078"/>
    <w:rsid w:val="00CF2560"/>
    <w:rsid w:val="00CF2DE0"/>
    <w:rsid w:val="00CF3922"/>
    <w:rsid w:val="00CF709D"/>
    <w:rsid w:val="00D006EB"/>
    <w:rsid w:val="00D06094"/>
    <w:rsid w:val="00D07A0B"/>
    <w:rsid w:val="00D07BC4"/>
    <w:rsid w:val="00D10BB6"/>
    <w:rsid w:val="00D148F6"/>
    <w:rsid w:val="00D15F5C"/>
    <w:rsid w:val="00D164BF"/>
    <w:rsid w:val="00D36560"/>
    <w:rsid w:val="00D40DC4"/>
    <w:rsid w:val="00D47121"/>
    <w:rsid w:val="00D52B9B"/>
    <w:rsid w:val="00D53579"/>
    <w:rsid w:val="00D622BB"/>
    <w:rsid w:val="00D6626A"/>
    <w:rsid w:val="00D70716"/>
    <w:rsid w:val="00D71952"/>
    <w:rsid w:val="00D71A36"/>
    <w:rsid w:val="00D741DB"/>
    <w:rsid w:val="00D755A6"/>
    <w:rsid w:val="00D77419"/>
    <w:rsid w:val="00D8285D"/>
    <w:rsid w:val="00D849A4"/>
    <w:rsid w:val="00D92609"/>
    <w:rsid w:val="00D95DEF"/>
    <w:rsid w:val="00DA1E8A"/>
    <w:rsid w:val="00DB058E"/>
    <w:rsid w:val="00DB0FA3"/>
    <w:rsid w:val="00DB19DF"/>
    <w:rsid w:val="00DB1BC1"/>
    <w:rsid w:val="00DB1C88"/>
    <w:rsid w:val="00DB36BB"/>
    <w:rsid w:val="00DB5B70"/>
    <w:rsid w:val="00DC2A88"/>
    <w:rsid w:val="00DC2FC9"/>
    <w:rsid w:val="00DC3D78"/>
    <w:rsid w:val="00DD0F48"/>
    <w:rsid w:val="00DD2950"/>
    <w:rsid w:val="00DD4EFE"/>
    <w:rsid w:val="00DE170C"/>
    <w:rsid w:val="00DE45D6"/>
    <w:rsid w:val="00DE62E2"/>
    <w:rsid w:val="00DF1986"/>
    <w:rsid w:val="00DF65EA"/>
    <w:rsid w:val="00DF6634"/>
    <w:rsid w:val="00DF68BC"/>
    <w:rsid w:val="00E02A54"/>
    <w:rsid w:val="00E02E79"/>
    <w:rsid w:val="00E0583B"/>
    <w:rsid w:val="00E05C2D"/>
    <w:rsid w:val="00E20810"/>
    <w:rsid w:val="00E23F83"/>
    <w:rsid w:val="00E25EAE"/>
    <w:rsid w:val="00E31BD3"/>
    <w:rsid w:val="00E34AAE"/>
    <w:rsid w:val="00E350D7"/>
    <w:rsid w:val="00E35B48"/>
    <w:rsid w:val="00E36743"/>
    <w:rsid w:val="00E404C2"/>
    <w:rsid w:val="00E41A76"/>
    <w:rsid w:val="00E501C5"/>
    <w:rsid w:val="00E50AD6"/>
    <w:rsid w:val="00E53A44"/>
    <w:rsid w:val="00E621C3"/>
    <w:rsid w:val="00E63AEA"/>
    <w:rsid w:val="00E66100"/>
    <w:rsid w:val="00E67317"/>
    <w:rsid w:val="00E8029C"/>
    <w:rsid w:val="00E81938"/>
    <w:rsid w:val="00E8297F"/>
    <w:rsid w:val="00E8456C"/>
    <w:rsid w:val="00E86CE6"/>
    <w:rsid w:val="00E87AA8"/>
    <w:rsid w:val="00E91D72"/>
    <w:rsid w:val="00E9417F"/>
    <w:rsid w:val="00E95ABE"/>
    <w:rsid w:val="00EA15C1"/>
    <w:rsid w:val="00EA173E"/>
    <w:rsid w:val="00EA642D"/>
    <w:rsid w:val="00EA68C8"/>
    <w:rsid w:val="00EA7668"/>
    <w:rsid w:val="00EC0327"/>
    <w:rsid w:val="00EC38DC"/>
    <w:rsid w:val="00EC5770"/>
    <w:rsid w:val="00ED0D2D"/>
    <w:rsid w:val="00ED4D47"/>
    <w:rsid w:val="00ED5EDB"/>
    <w:rsid w:val="00ED6502"/>
    <w:rsid w:val="00EE19FA"/>
    <w:rsid w:val="00EF5451"/>
    <w:rsid w:val="00EF55CC"/>
    <w:rsid w:val="00EF65E3"/>
    <w:rsid w:val="00EF7893"/>
    <w:rsid w:val="00EF7DBF"/>
    <w:rsid w:val="00F00B6E"/>
    <w:rsid w:val="00F013B6"/>
    <w:rsid w:val="00F02E43"/>
    <w:rsid w:val="00F03681"/>
    <w:rsid w:val="00F04729"/>
    <w:rsid w:val="00F140A3"/>
    <w:rsid w:val="00F14B18"/>
    <w:rsid w:val="00F15417"/>
    <w:rsid w:val="00F16001"/>
    <w:rsid w:val="00F22876"/>
    <w:rsid w:val="00F3472F"/>
    <w:rsid w:val="00F35278"/>
    <w:rsid w:val="00F421CC"/>
    <w:rsid w:val="00F45BE8"/>
    <w:rsid w:val="00F462ED"/>
    <w:rsid w:val="00F52CE7"/>
    <w:rsid w:val="00F543FE"/>
    <w:rsid w:val="00F60A17"/>
    <w:rsid w:val="00F7285B"/>
    <w:rsid w:val="00F73E24"/>
    <w:rsid w:val="00F759C0"/>
    <w:rsid w:val="00F8240A"/>
    <w:rsid w:val="00F867D6"/>
    <w:rsid w:val="00F87D6B"/>
    <w:rsid w:val="00F92D20"/>
    <w:rsid w:val="00F95F45"/>
    <w:rsid w:val="00F9677C"/>
    <w:rsid w:val="00FA0B31"/>
    <w:rsid w:val="00FA145B"/>
    <w:rsid w:val="00FA1E05"/>
    <w:rsid w:val="00FA2743"/>
    <w:rsid w:val="00FB6032"/>
    <w:rsid w:val="00FB7C2D"/>
    <w:rsid w:val="00FC0A9E"/>
    <w:rsid w:val="00FC1759"/>
    <w:rsid w:val="00FC5EF5"/>
    <w:rsid w:val="00FC7711"/>
    <w:rsid w:val="00FD06F6"/>
    <w:rsid w:val="00FD3BD4"/>
    <w:rsid w:val="00FE0853"/>
    <w:rsid w:val="00FE2587"/>
    <w:rsid w:val="00FE274C"/>
    <w:rsid w:val="00FE5729"/>
    <w:rsid w:val="00FF309B"/>
    <w:rsid w:val="00FF4FC8"/>
    <w:rsid w:val="00FF7190"/>
    <w:rsid w:val="07ED1221"/>
    <w:rsid w:val="0FC13D3C"/>
    <w:rsid w:val="70BE6B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866DB5D"/>
  <w15:docId w15:val="{033D27D2-FC8A-432B-B8C3-E9062900F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C7E"/>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72"/>
      <w:szCs w:val="28"/>
      <w:lang w:eastAsia="en-US"/>
    </w:rPr>
  </w:style>
  <w:style w:type="paragraph" w:styleId="Heading2">
    <w:name w:val="heading 2"/>
    <w:basedOn w:val="Normal"/>
    <w:next w:val="Normal"/>
    <w:link w:val="Heading2Char"/>
    <w:uiPriority w:val="3"/>
    <w:rsid w:val="00E53A44"/>
    <w:pPr>
      <w:pageBreakBefore/>
      <w:spacing w:after="240" w:line="240" w:lineRule="auto"/>
      <w:outlineLvl w:val="1"/>
    </w:pPr>
    <w:rPr>
      <w:rFonts w:ascii="Calibri" w:eastAsiaTheme="minorEastAsia" w:hAnsi="Calibri"/>
      <w:bCs/>
      <w:color w:val="000000"/>
      <w:sz w:val="56"/>
      <w:szCs w:val="28"/>
      <w:lang w:eastAsia="ja-JP"/>
    </w:rPr>
  </w:style>
  <w:style w:type="paragraph" w:styleId="Heading3">
    <w:name w:val="heading 3"/>
    <w:next w:val="Normal"/>
    <w:link w:val="Heading3Char"/>
    <w:uiPriority w:val="4"/>
    <w:qFormat/>
    <w:rsid w:val="00617A58"/>
    <w:pPr>
      <w:keepNext/>
      <w:keepLines/>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1C5BAB"/>
    <w:pPr>
      <w:keepNext/>
      <w:spacing w:before="240"/>
      <w:outlineLvl w:val="3"/>
    </w:pPr>
    <w:rPr>
      <w:rFonts w:ascii="Calibri" w:eastAsia="Times New Roman" w:hAnsi="Calibri"/>
      <w:b/>
      <w:bCs/>
      <w:sz w:val="28"/>
      <w:szCs w:val="24"/>
      <w:lang w:eastAsia="en-US"/>
    </w:rPr>
  </w:style>
  <w:style w:type="paragraph" w:styleId="Heading5">
    <w:name w:val="heading 5"/>
    <w:basedOn w:val="ListBullet"/>
    <w:next w:val="Normal"/>
    <w:link w:val="Heading5Char"/>
    <w:uiPriority w:val="6"/>
    <w:rsid w:val="0007261B"/>
    <w:pPr>
      <w:keepNext/>
      <w:keepLines/>
      <w:numPr>
        <w:numId w:val="0"/>
      </w:numPr>
      <w:spacing w:before="240"/>
      <w:outlineLvl w:val="4"/>
    </w:pPr>
    <w:rPr>
      <w:rFonts w:ascii="Calibri" w:hAnsi="Calibr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eastAsiaTheme="minorHAnsi" w:cstheme="minorBidi"/>
      <w:lang w:eastAsia="en-US"/>
    </w:rPr>
  </w:style>
  <w:style w:type="paragraph" w:styleId="Header">
    <w:name w:val="header"/>
    <w:basedOn w:val="Normal"/>
    <w:link w:val="HeaderChar"/>
    <w:uiPriority w:val="26"/>
    <w:rsid w:val="005051D3"/>
    <w:pPr>
      <w:tabs>
        <w:tab w:val="center" w:pos="4820"/>
      </w:tabs>
      <w:spacing w:after="0" w:line="240" w:lineRule="auto"/>
      <w:jc w:val="right"/>
    </w:pPr>
    <w:rPr>
      <w:rFonts w:ascii="Calibri" w:hAnsi="Calibri"/>
      <w:sz w:val="20"/>
    </w:rPr>
  </w:style>
  <w:style w:type="character" w:customStyle="1" w:styleId="HeaderChar">
    <w:name w:val="Header Char"/>
    <w:basedOn w:val="DefaultParagraphFont"/>
    <w:link w:val="Header"/>
    <w:uiPriority w:val="26"/>
    <w:rsid w:val="005051D3"/>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72"/>
      <w:szCs w:val="28"/>
      <w:lang w:eastAsia="en-US"/>
    </w:rPr>
  </w:style>
  <w:style w:type="character" w:customStyle="1" w:styleId="Heading2Char">
    <w:name w:val="Heading 2 Char"/>
    <w:basedOn w:val="DefaultParagraphFont"/>
    <w:link w:val="Heading2"/>
    <w:uiPriority w:val="3"/>
    <w:rsid w:val="00E53A44"/>
    <w:rPr>
      <w:rFonts w:ascii="Calibri" w:eastAsiaTheme="minorEastAsia" w:hAnsi="Calibri" w:cstheme="minorBidi"/>
      <w:bCs/>
      <w:color w:val="000000"/>
      <w:sz w:val="5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1C5BAB"/>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07261B"/>
    <w:rPr>
      <w:rFonts w:ascii="Calibri" w:eastAsiaTheme="minorHAnsi" w:hAnsi="Calibri" w:cstheme="minorBidi"/>
      <w:b/>
      <w:bCs/>
      <w:sz w:val="24"/>
      <w:szCs w:val="22"/>
      <w:lang w:eastAsia="en-US"/>
    </w:rPr>
  </w:style>
  <w:style w:type="paragraph" w:styleId="Quote">
    <w:name w:val="Quote"/>
    <w:basedOn w:val="Normal"/>
    <w:next w:val="Normal"/>
    <w:link w:val="QuoteChar"/>
    <w:uiPriority w:val="18"/>
    <w:qFormat/>
    <w:rsid w:val="000F17F5"/>
    <w:pPr>
      <w:ind w:left="709" w:right="567"/>
      <w:jc w:val="center"/>
    </w:pPr>
    <w:rPr>
      <w:i/>
      <w:iCs/>
      <w:color w:val="000000"/>
    </w:rPr>
  </w:style>
  <w:style w:type="character" w:customStyle="1" w:styleId="QuoteChar">
    <w:name w:val="Quote Char"/>
    <w:basedOn w:val="DefaultParagraphFont"/>
    <w:link w:val="Quote"/>
    <w:uiPriority w:val="18"/>
    <w:rsid w:val="000F17F5"/>
    <w:rPr>
      <w:rFonts w:eastAsiaTheme="minorHAnsi" w:cstheme="minorBidi"/>
      <w: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C21002"/>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56"/>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56"/>
      <w:szCs w:val="56"/>
      <w:lang w:eastAsia="en-US"/>
    </w:rPr>
  </w:style>
  <w:style w:type="paragraph" w:styleId="TOCHeading">
    <w:name w:val="TOC Heading"/>
    <w:next w:val="Normal"/>
    <w:uiPriority w:val="39"/>
    <w:qFormat/>
    <w:rsid w:val="00E53A44"/>
    <w:pPr>
      <w:pageBreakBefore/>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0504CF"/>
    <w:pPr>
      <w:tabs>
        <w:tab w:val="right" w:leader="dot" w:pos="9072"/>
      </w:tabs>
      <w:spacing w:before="60" w:after="6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5"/>
      </w:numPr>
      <w:spacing w:before="120" w:after="120"/>
      <w:contextualSpacing/>
    </w:pPr>
  </w:style>
  <w:style w:type="paragraph" w:styleId="ListNumber">
    <w:name w:val="List Number"/>
    <w:basedOn w:val="Normal"/>
    <w:uiPriority w:val="9"/>
    <w:qFormat/>
    <w:pPr>
      <w:numPr>
        <w:numId w:val="24"/>
      </w:numPr>
      <w:tabs>
        <w:tab w:val="left" w:pos="142"/>
      </w:tabs>
      <w:spacing w:before="120" w:after="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9D21ED"/>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9D21ED"/>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rPr>
      <w:b/>
      <w:color w:val="FF0000"/>
      <w:sz w:val="36"/>
      <w:szCs w:val="36"/>
    </w:rPr>
  </w:style>
  <w:style w:type="paragraph" w:customStyle="1" w:styleId="DisseminationLimitingMarker">
    <w:name w:val="Dissemination Limiting Marker"/>
    <w:basedOn w:val="Header"/>
    <w:next w:val="Header"/>
    <w:uiPriority w:val="27"/>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ListBullet3">
    <w:name w:val="List Bullet 3"/>
    <w:basedOn w:val="Normal"/>
    <w:uiPriority w:val="99"/>
    <w:semiHidden/>
    <w:pPr>
      <w:numPr>
        <w:ilvl w:val="2"/>
        <w:numId w:val="5"/>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character" w:customStyle="1" w:styleId="UnresolvedMention1">
    <w:name w:val="Unresolved Mention1"/>
    <w:basedOn w:val="DefaultParagraphFont"/>
    <w:uiPriority w:val="99"/>
    <w:semiHidden/>
    <w:unhideWhenUsed/>
    <w:rsid w:val="00CD1E00"/>
    <w:rPr>
      <w:color w:val="605E5C"/>
      <w:shd w:val="clear" w:color="auto" w:fill="E1DFDD"/>
    </w:rPr>
  </w:style>
  <w:style w:type="paragraph" w:styleId="Revision">
    <w:name w:val="Revision"/>
    <w:hidden/>
    <w:uiPriority w:val="99"/>
    <w:semiHidden/>
    <w:rsid w:val="00E35B48"/>
    <w:rPr>
      <w:rFonts w:eastAsiaTheme="minorHAnsi" w:cstheme="minorBidi"/>
      <w:sz w:val="22"/>
      <w:szCs w:val="22"/>
      <w:lang w:eastAsia="en-US"/>
    </w:rPr>
  </w:style>
  <w:style w:type="paragraph" w:styleId="ListParagraph">
    <w:name w:val="List Paragraph"/>
    <w:basedOn w:val="Normal"/>
    <w:uiPriority w:val="34"/>
    <w:qFormat/>
    <w:rsid w:val="0071775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2">
    <w:name w:val="Unresolved Mention2"/>
    <w:basedOn w:val="DefaultParagraphFont"/>
    <w:uiPriority w:val="99"/>
    <w:rsid w:val="00C20DEA"/>
    <w:rPr>
      <w:color w:val="605E5C"/>
      <w:shd w:val="clear" w:color="auto" w:fill="E1DFDD"/>
    </w:rPr>
  </w:style>
  <w:style w:type="character" w:styleId="UnresolvedMention">
    <w:name w:val="Unresolved Mention"/>
    <w:basedOn w:val="DefaultParagraphFont"/>
    <w:uiPriority w:val="99"/>
    <w:rsid w:val="000E0335"/>
    <w:rPr>
      <w:color w:val="605E5C"/>
      <w:shd w:val="clear" w:color="auto" w:fill="E1DFDD"/>
    </w:rPr>
  </w:style>
  <w:style w:type="numbering" w:customStyle="1" w:styleId="NoList1">
    <w:name w:val="No List1"/>
    <w:next w:val="NoList"/>
    <w:uiPriority w:val="99"/>
    <w:semiHidden/>
    <w:unhideWhenUsed/>
    <w:rsid w:val="00455FDE"/>
  </w:style>
  <w:style w:type="table" w:customStyle="1" w:styleId="TableGrid10">
    <w:name w:val="Table Grid1"/>
    <w:basedOn w:val="TableNormal"/>
    <w:next w:val="TableGrid"/>
    <w:uiPriority w:val="59"/>
    <w:rsid w:val="00455FDE"/>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TableNormal"/>
    <w:uiPriority w:val="60"/>
    <w:rsid w:val="00455FD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61">
    <w:name w:val="Light Shading - Accent 61"/>
    <w:basedOn w:val="TableGrid1"/>
    <w:next w:val="LightShading-Accent6"/>
    <w:uiPriority w:val="60"/>
    <w:rsid w:val="00455FDE"/>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TableGrid11">
    <w:name w:val="Table Grid 11"/>
    <w:basedOn w:val="TableNormal"/>
    <w:next w:val="TableGrid1"/>
    <w:uiPriority w:val="99"/>
    <w:semiHidden/>
    <w:unhideWhenUsed/>
    <w:rsid w:val="00455FDE"/>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Normalsmall">
    <w:name w:val="Normal small"/>
    <w:qFormat/>
    <w:rsid w:val="00455FDE"/>
    <w:pPr>
      <w:spacing w:after="120" w:line="276" w:lineRule="auto"/>
    </w:pPr>
    <w:rPr>
      <w:rFonts w:eastAsiaTheme="minorHAnsi" w:cstheme="minorBidi"/>
      <w:sz w:val="18"/>
      <w:szCs w:val="18"/>
      <w:lang w:eastAsia="en-US"/>
    </w:rPr>
  </w:style>
  <w:style w:type="table" w:customStyle="1" w:styleId="ABARESTableleftrightalign1">
    <w:name w:val="ABARES Table (left/right align)1"/>
    <w:basedOn w:val="TableNormal"/>
    <w:uiPriority w:val="99"/>
    <w:rsid w:val="00455FDE"/>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1">
    <w:name w:val="ABARES table (left align)1"/>
    <w:basedOn w:val="TableNormal"/>
    <w:uiPriority w:val="99"/>
    <w:rsid w:val="00455FDE"/>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numbering" w:customStyle="1" w:styleId="TableBulletlist1">
    <w:name w:val="Table Bullet list1"/>
    <w:uiPriority w:val="99"/>
    <w:rsid w:val="00455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45096">
      <w:bodyDiv w:val="1"/>
      <w:marLeft w:val="0"/>
      <w:marRight w:val="0"/>
      <w:marTop w:val="0"/>
      <w:marBottom w:val="0"/>
      <w:divBdr>
        <w:top w:val="none" w:sz="0" w:space="0" w:color="auto"/>
        <w:left w:val="none" w:sz="0" w:space="0" w:color="auto"/>
        <w:bottom w:val="none" w:sz="0" w:space="0" w:color="auto"/>
        <w:right w:val="none" w:sz="0" w:space="0" w:color="auto"/>
      </w:divBdr>
    </w:div>
    <w:div w:id="1328436804">
      <w:bodyDiv w:val="1"/>
      <w:marLeft w:val="0"/>
      <w:marRight w:val="0"/>
      <w:marTop w:val="0"/>
      <w:marBottom w:val="0"/>
      <w:divBdr>
        <w:top w:val="none" w:sz="0" w:space="0" w:color="auto"/>
        <w:left w:val="none" w:sz="0" w:space="0" w:color="auto"/>
        <w:bottom w:val="none" w:sz="0" w:space="0" w:color="auto"/>
        <w:right w:val="none" w:sz="0" w:space="0" w:color="auto"/>
      </w:divBdr>
    </w:div>
    <w:div w:id="1841192084">
      <w:bodyDiv w:val="1"/>
      <w:marLeft w:val="0"/>
      <w:marRight w:val="0"/>
      <w:marTop w:val="0"/>
      <w:marBottom w:val="0"/>
      <w:divBdr>
        <w:top w:val="none" w:sz="0" w:space="0" w:color="auto"/>
        <w:left w:val="none" w:sz="0" w:space="0" w:color="auto"/>
        <w:bottom w:val="none" w:sz="0" w:space="0" w:color="auto"/>
        <w:right w:val="none" w:sz="0" w:space="0" w:color="auto"/>
      </w:divBdr>
    </w:div>
    <w:div w:id="1934514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copyright@awe.gov.au" TargetMode="External"/><Relationship Id="rId18" Type="http://schemas.openxmlformats.org/officeDocument/2006/relationships/header" Target="header1.xml"/><Relationship Id="rId26" Type="http://schemas.openxmlformats.org/officeDocument/2006/relationships/image" Target="media/image8.jpeg"/><Relationship Id="rId39" Type="http://schemas.openxmlformats.org/officeDocument/2006/relationships/hyperlink" Target="https://www.environment.gov.au/climate-change/adaptation/strategy" TargetMode="External"/><Relationship Id="rId21" Type="http://schemas.openxmlformats.org/officeDocument/2006/relationships/hyperlink" Target="https://www.agriculture.gov.au/biosecurity/commonwealth-biosecurity-2030" TargetMode="External"/><Relationship Id="rId34" Type="http://schemas.openxmlformats.org/officeDocument/2006/relationships/hyperlink" Target="https://www.aginnovationaustralia.com.au/" TargetMode="External"/><Relationship Id="rId42" Type="http://schemas.openxmlformats.org/officeDocument/2006/relationships/hyperlink" Target="https://www.agriculture.gov.au/water/national/great-artesian-basin/strategic-management-plan" TargetMode="External"/><Relationship Id="rId47" Type="http://schemas.openxmlformats.org/officeDocument/2006/relationships/hyperlink" Target="https://www.awe.gov.au/about/reporting/reconciliation-action-plan" TargetMode="External"/><Relationship Id="rId50" Type="http://schemas.openxmlformats.org/officeDocument/2006/relationships/hyperlink" Target="https://www.agriculture.gov.au/ag-farm-food/innovation/science-strategy" TargetMode="External"/><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5" Type="http://schemas.openxmlformats.org/officeDocument/2006/relationships/image" Target="media/image7.jpeg"/><Relationship Id="rId33" Type="http://schemas.openxmlformats.org/officeDocument/2006/relationships/hyperlink" Target="https://www.agriculture.gov.au/ag-farm-food/ag2030" TargetMode="External"/><Relationship Id="rId38" Type="http://schemas.openxmlformats.org/officeDocument/2006/relationships/hyperlink" Target="https://www.environment.gov.au/biodiversity/threatened/publications/threatened-species-strategy-2021-2031" TargetMode="External"/><Relationship Id="rId46" Type="http://schemas.openxmlformats.org/officeDocument/2006/relationships/hyperlink" Target="https://www.environment.gov.au/protection/chemicals-management/national-standard" TargetMode="External"/><Relationship Id="rId2" Type="http://schemas.openxmlformats.org/officeDocument/2006/relationships/customXml" Target="../customXml/item2.xml"/><Relationship Id="rId16" Type="http://schemas.openxmlformats.org/officeDocument/2006/relationships/hyperlink" Target="https://www.awe.gov.au/" TargetMode="External"/><Relationship Id="rId20" Type="http://schemas.openxmlformats.org/officeDocument/2006/relationships/hyperlink" Target="https://www.environment.gov.au/land/nrs" TargetMode="External"/><Relationship Id="rId29" Type="http://schemas.openxmlformats.org/officeDocument/2006/relationships/hyperlink" Target="https://www.acs.gov.au/" TargetMode="External"/><Relationship Id="rId41" Type="http://schemas.openxmlformats.org/officeDocument/2006/relationships/hyperlink" Target="https://www.agriculture.gov.au/water/policy/nwi"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6.jpeg"/><Relationship Id="rId32" Type="http://schemas.openxmlformats.org/officeDocument/2006/relationships/hyperlink" Target="https://www.environment.gov.au/climate-change/adaptation/strategy" TargetMode="External"/><Relationship Id="rId37" Type="http://schemas.openxmlformats.org/officeDocument/2006/relationships/hyperlink" Target="https://www.agriculture.gov.au/biosecurity/commonwealth-biosecurity-2030" TargetMode="External"/><Relationship Id="rId40" Type="http://schemas.openxmlformats.org/officeDocument/2006/relationships/hyperlink" Target="https://epbcactreview.environment.gov.au/" TargetMode="External"/><Relationship Id="rId45" Type="http://schemas.openxmlformats.org/officeDocument/2006/relationships/hyperlink" Target="http://www.environment.gov.au/protection/waste/plastics-and-packaging/national-plastics-plan" TargetMode="External"/><Relationship Id="rId53" Type="http://schemas.openxmlformats.org/officeDocument/2006/relationships/hyperlink" Target="https://deregulation.pmc.gov.au/" TargetMode="External"/><Relationship Id="rId5" Type="http://schemas.openxmlformats.org/officeDocument/2006/relationships/numbering" Target="numbering.xml"/><Relationship Id="rId15" Type="http://schemas.openxmlformats.org/officeDocument/2006/relationships/hyperlink" Target="https://www.awe.gov.au/about/reporting/corporate-plan" TargetMode="External"/><Relationship Id="rId23" Type="http://schemas.openxmlformats.org/officeDocument/2006/relationships/hyperlink" Target="https://www.pid-awei.com.au/" TargetMode="External"/><Relationship Id="rId28" Type="http://schemas.openxmlformats.org/officeDocument/2006/relationships/hyperlink" Target="https://www.agriculture.gov.au/ag-farm-food/drought/future-drought-fund/research-adoption-program" TargetMode="External"/><Relationship Id="rId36" Type="http://schemas.openxmlformats.org/officeDocument/2006/relationships/hyperlink" Target="https://www.awe.gov.au/about/commitment/regulator-practice" TargetMode="External"/><Relationship Id="rId49" Type="http://schemas.openxmlformats.org/officeDocument/2006/relationships/hyperlink" Target="https://www.agriculture.gov.au/pests-diseases-weeds/plant/national-action-plans" TargetMode="External"/><Relationship Id="rId10" Type="http://schemas.openxmlformats.org/officeDocument/2006/relationships/endnotes" Target="endnotes.xml"/><Relationship Id="rId19" Type="http://schemas.openxmlformats.org/officeDocument/2006/relationships/image" Target="media/image4.jpeg"/><Relationship Id="rId31" Type="http://schemas.openxmlformats.org/officeDocument/2006/relationships/hyperlink" Target="https://gbrrestoration.org/" TargetMode="External"/><Relationship Id="rId44" Type="http://schemas.openxmlformats.org/officeDocument/2006/relationships/hyperlink" Target="https://www.environment.gov.au/protection/waste/food-waste/food-waste-for-healthy-soils-fund" TargetMode="External"/><Relationship Id="rId52" Type="http://schemas.openxmlformats.org/officeDocument/2006/relationships/image" Target="media/image10.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5.jpeg"/><Relationship Id="rId27" Type="http://schemas.openxmlformats.org/officeDocument/2006/relationships/hyperlink" Target="https://acola.org/hs6-future-agricultural-technologies/" TargetMode="External"/><Relationship Id="rId30" Type="http://schemas.openxmlformats.org/officeDocument/2006/relationships/hyperlink" Target="https://www.environment.gov.au/science/nesp" TargetMode="External"/><Relationship Id="rId35" Type="http://schemas.openxmlformats.org/officeDocument/2006/relationships/hyperlink" Target="https://www.agriculture.gov.au/ag-farm-food/natural-resources/soils" TargetMode="External"/><Relationship Id="rId43" Type="http://schemas.openxmlformats.org/officeDocument/2006/relationships/hyperlink" Target="https://www.environment.gov.au/protection/waste/publications/national-waste-policy-action-plan" TargetMode="External"/><Relationship Id="rId48" Type="http://schemas.openxmlformats.org/officeDocument/2006/relationships/image" Target="media/image9.jpeg"/><Relationship Id="rId8" Type="http://schemas.openxmlformats.org/officeDocument/2006/relationships/webSettings" Target="webSettings.xml"/><Relationship Id="rId51" Type="http://schemas.openxmlformats.org/officeDocument/2006/relationships/hyperlink" Target="https://www.awe.gov.au/about/commitment/regulator-practice"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2" ma:contentTypeDescription="Create a new document." ma:contentTypeScope="" ma:versionID="679fd235f2e52f711cc918d3c6a7adc2">
  <xsd:schema xmlns:xsd="http://www.w3.org/2001/XMLSchema" xmlns:xs="http://www.w3.org/2001/XMLSchema" xmlns:p="http://schemas.microsoft.com/office/2006/metadata/properties" xmlns:ns2="ac7ce04e-ea5d-4d46-bab0-39b1fa6a6f36" targetNamespace="http://schemas.microsoft.com/office/2006/metadata/properties" ma:root="true" ma:fieldsID="459038f077884b135300fb5f2bc6d86f" ns2:_="">
    <xsd:import namespace="ac7ce04e-ea5d-4d46-bab0-39b1fa6a6f36"/>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04AF69-142E-479B-87B8-9F2CE56EC3C9}">
  <ds:schemaRefs>
    <ds:schemaRef ds:uri="http://schemas.openxmlformats.org/officeDocument/2006/bibliography"/>
  </ds:schemaRefs>
</ds:datastoreItem>
</file>

<file path=customXml/itemProps2.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67D31E-F93D-4F67-8E4F-6582D126993E}"/>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40</Pages>
  <Words>13259</Words>
  <Characters>75581</Characters>
  <Application>Microsoft Office Word</Application>
  <DocSecurity>0</DocSecurity>
  <Lines>629</Lines>
  <Paragraphs>177</Paragraphs>
  <ScaleCrop>false</ScaleCrop>
  <HeadingPairs>
    <vt:vector size="2" baseType="variant">
      <vt:variant>
        <vt:lpstr>Title</vt:lpstr>
      </vt:variant>
      <vt:variant>
        <vt:i4>1</vt:i4>
      </vt:variant>
    </vt:vector>
  </HeadingPairs>
  <TitlesOfParts>
    <vt:vector size="1" baseType="lpstr">
      <vt:lpstr>Corporate plan 2021–22</vt:lpstr>
    </vt:vector>
  </TitlesOfParts>
  <Manager/>
  <Company/>
  <LinksUpToDate>false</LinksUpToDate>
  <CharactersWithSpaces>88663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plan 2021–22</dc:title>
  <dc:subject/>
  <dc:creator>Department of Agriculture, Water and the Environment</dc:creator>
  <cp:keywords/>
  <dc:description/>
  <cp:lastModifiedBy>Pye, Steve</cp:lastModifiedBy>
  <cp:revision>5</cp:revision>
  <cp:lastPrinted>2021-07-13T01:55:00Z</cp:lastPrinted>
  <dcterms:created xsi:type="dcterms:W3CDTF">2021-08-19T23:56:00Z</dcterms:created>
  <dcterms:modified xsi:type="dcterms:W3CDTF">2021-08-23T23:14:00Z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