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B4B5" w14:textId="77777777" w:rsidR="00CD265B" w:rsidRDefault="00CD265B" w:rsidP="0088155C">
      <w:pPr>
        <w:pStyle w:val="Heading1"/>
        <w:keepNext w:val="0"/>
        <w:keepLines w:val="0"/>
        <w:widowControl w:val="0"/>
        <w:spacing w:after="0"/>
        <w:contextualSpacing/>
        <w:rPr>
          <w:rFonts w:ascii="Calibri" w:eastAsiaTheme="minorHAnsi" w:hAnsi="Calibri" w:cstheme="minorBidi"/>
          <w:b/>
          <w:bCs/>
          <w:color w:val="000000"/>
          <w:spacing w:val="5"/>
          <w:kern w:val="28"/>
          <w:sz w:val="72"/>
          <w:szCs w:val="28"/>
        </w:rPr>
      </w:pPr>
    </w:p>
    <w:p w14:paraId="2160DB1C" w14:textId="77777777" w:rsidR="00CD265B" w:rsidRDefault="00CD265B" w:rsidP="0088155C">
      <w:pPr>
        <w:pStyle w:val="Heading1"/>
        <w:keepNext w:val="0"/>
        <w:keepLines w:val="0"/>
        <w:widowControl w:val="0"/>
        <w:spacing w:after="0"/>
        <w:contextualSpacing/>
        <w:rPr>
          <w:rFonts w:ascii="Calibri" w:eastAsiaTheme="minorHAnsi" w:hAnsi="Calibri" w:cstheme="minorBidi"/>
          <w:b/>
          <w:bCs/>
          <w:color w:val="000000"/>
          <w:spacing w:val="5"/>
          <w:kern w:val="28"/>
          <w:sz w:val="72"/>
          <w:szCs w:val="28"/>
        </w:rPr>
      </w:pPr>
    </w:p>
    <w:p w14:paraId="15D12629" w14:textId="00964EFC" w:rsidR="00D0142C" w:rsidRPr="00C66F0F" w:rsidRDefault="00D0142C" w:rsidP="00C66F0F">
      <w:pPr>
        <w:pStyle w:val="Heading1"/>
        <w:keepNext w:val="0"/>
        <w:keepLines w:val="0"/>
        <w:widowControl w:val="0"/>
        <w:spacing w:after="0"/>
        <w:contextualSpacing/>
        <w:rPr>
          <w:rFonts w:ascii="Calibri" w:eastAsiaTheme="minorHAnsi" w:hAnsi="Calibri" w:cstheme="minorBidi"/>
          <w:b/>
          <w:bCs/>
          <w:color w:val="000000"/>
          <w:spacing w:val="5"/>
          <w:kern w:val="28"/>
          <w:sz w:val="72"/>
          <w:szCs w:val="28"/>
        </w:rPr>
      </w:pPr>
      <w:bookmarkStart w:id="0" w:name="_Toc90470947"/>
      <w:r w:rsidRPr="005E2AF5">
        <w:rPr>
          <w:rFonts w:ascii="Calibri" w:eastAsiaTheme="minorHAnsi" w:hAnsi="Calibri" w:cstheme="minorBidi"/>
          <w:b/>
          <w:bCs/>
          <w:color w:val="000000"/>
          <w:spacing w:val="5"/>
          <w:kern w:val="28"/>
          <w:sz w:val="72"/>
          <w:szCs w:val="28"/>
        </w:rPr>
        <w:t xml:space="preserve">Murray-Darling Basin Water Market Reform </w:t>
      </w:r>
      <w:r w:rsidRPr="00A8083C">
        <w:rPr>
          <w:rFonts w:ascii="Calibri" w:eastAsiaTheme="minorHAnsi" w:hAnsi="Calibri" w:cstheme="minorBidi"/>
          <w:b/>
          <w:bCs/>
          <w:color w:val="000000"/>
          <w:spacing w:val="5"/>
          <w:kern w:val="28"/>
          <w:sz w:val="72"/>
          <w:szCs w:val="28"/>
        </w:rPr>
        <w:t xml:space="preserve">– Development </w:t>
      </w:r>
      <w:r w:rsidRPr="00C66F0F">
        <w:rPr>
          <w:rFonts w:ascii="Calibri" w:eastAsiaTheme="minorHAnsi" w:hAnsi="Calibri" w:cstheme="minorBidi"/>
          <w:b/>
          <w:bCs/>
          <w:color w:val="000000"/>
          <w:spacing w:val="5"/>
          <w:kern w:val="28"/>
          <w:sz w:val="72"/>
          <w:szCs w:val="28"/>
        </w:rPr>
        <w:t>of Implementation Roadmap</w:t>
      </w:r>
      <w:bookmarkEnd w:id="0"/>
    </w:p>
    <w:p w14:paraId="659B3D03" w14:textId="77777777" w:rsidR="00D0142C" w:rsidRPr="00C66F0F" w:rsidRDefault="00D0142C" w:rsidP="00C66F0F"/>
    <w:p w14:paraId="4BA9A9A4" w14:textId="4CB95883" w:rsidR="005E2AF5" w:rsidRDefault="007B759C" w:rsidP="00C66F0F">
      <w:pPr>
        <w:pStyle w:val="Subtitle"/>
        <w:widowControl w:val="0"/>
        <w:numPr>
          <w:ilvl w:val="0"/>
          <w:numId w:val="0"/>
        </w:numPr>
        <w:spacing w:before="120" w:after="0"/>
        <w:contextualSpacing/>
        <w:outlineLvl w:val="0"/>
        <w:rPr>
          <w:rFonts w:asciiTheme="minorHAnsi" w:eastAsiaTheme="minorEastAsia" w:hAnsiTheme="minorHAnsi" w:cstheme="minorBidi"/>
          <w:sz w:val="21"/>
          <w:szCs w:val="21"/>
        </w:rPr>
      </w:pPr>
      <w:bookmarkStart w:id="1" w:name="_Toc90470948"/>
      <w:r w:rsidRPr="00C66F0F">
        <w:rPr>
          <w:rFonts w:ascii="Calibri" w:eastAsiaTheme="minorHAnsi" w:hAnsi="Calibri" w:cstheme="minorBidi"/>
          <w:bCs/>
          <w:color w:val="000000"/>
          <w:spacing w:val="5"/>
          <w:kern w:val="28"/>
          <w:sz w:val="56"/>
          <w:szCs w:val="56"/>
        </w:rPr>
        <w:t>December advice</w:t>
      </w:r>
      <w:bookmarkEnd w:id="1"/>
    </w:p>
    <w:p w14:paraId="47511F5F" w14:textId="0E2D4D84" w:rsidR="005E2AF5" w:rsidRDefault="005E2AF5" w:rsidP="0088155C"/>
    <w:p w14:paraId="7B0377CC" w14:textId="5958E948" w:rsidR="005E2AF5" w:rsidRPr="00C66F0F" w:rsidRDefault="005E2AF5" w:rsidP="00C66F0F">
      <w:pPr>
        <w:pStyle w:val="Author"/>
      </w:pPr>
      <w:r>
        <w:t xml:space="preserve">Daryl Quinlivan </w:t>
      </w:r>
      <w:r w:rsidRPr="00C66F0F">
        <w:rPr>
          <w:lang w:val="es-ES"/>
        </w:rPr>
        <w:t>AO</w:t>
      </w:r>
      <w:r>
        <w:t>, Principal Adviser</w:t>
      </w:r>
    </w:p>
    <w:p w14:paraId="495C25A5" w14:textId="03FC09B5" w:rsidR="005E2AF5" w:rsidRPr="00C66F0F" w:rsidRDefault="005E2AF5" w:rsidP="00C66F0F"/>
    <w:p w14:paraId="79A8344B" w14:textId="63487FEE" w:rsidR="003C1A67" w:rsidRDefault="003C1A67" w:rsidP="00C66F0F">
      <w:pPr>
        <w:pStyle w:val="Heading1"/>
        <w:spacing w:before="0"/>
        <w:rPr>
          <w:rFonts w:ascii="Calibri" w:eastAsiaTheme="minorHAnsi" w:hAnsi="Calibri"/>
          <w:color w:val="000000"/>
          <w:spacing w:val="5"/>
          <w:kern w:val="28"/>
          <w:sz w:val="56"/>
          <w:szCs w:val="56"/>
        </w:rPr>
      </w:pPr>
      <w:r>
        <w:rPr>
          <w:rFonts w:ascii="Calibri" w:eastAsiaTheme="minorHAnsi" w:hAnsi="Calibri" w:cstheme="minorBidi"/>
          <w:color w:val="000000"/>
          <w:spacing w:val="5"/>
          <w:kern w:val="28"/>
          <w:sz w:val="56"/>
          <w:szCs w:val="56"/>
        </w:rPr>
        <w:br w:type="page"/>
      </w:r>
    </w:p>
    <w:p w14:paraId="398C1C26" w14:textId="6B4B53AA" w:rsidR="004F1C48" w:rsidRDefault="004F1C48">
      <w:pPr>
        <w:rPr>
          <w:rFonts w:ascii="Calibri" w:eastAsiaTheme="minorHAnsi" w:hAnsi="Calibri"/>
          <w:color w:val="000000"/>
          <w:spacing w:val="5"/>
          <w:kern w:val="28"/>
          <w:sz w:val="56"/>
          <w:szCs w:val="56"/>
        </w:rPr>
      </w:pPr>
      <w:r>
        <w:rPr>
          <w:rFonts w:ascii="Calibri" w:eastAsiaTheme="minorHAnsi" w:hAnsi="Calibri"/>
          <w:color w:val="000000"/>
          <w:spacing w:val="5"/>
          <w:kern w:val="28"/>
          <w:sz w:val="56"/>
          <w:szCs w:val="56"/>
        </w:rPr>
        <w:lastRenderedPageBreak/>
        <w:t xml:space="preserve">Letter </w:t>
      </w:r>
      <w:r w:rsidR="008066AC">
        <w:rPr>
          <w:rFonts w:ascii="Calibri" w:eastAsiaTheme="minorHAnsi" w:hAnsi="Calibri"/>
          <w:color w:val="000000"/>
          <w:spacing w:val="5"/>
          <w:kern w:val="28"/>
          <w:sz w:val="56"/>
          <w:szCs w:val="56"/>
        </w:rPr>
        <w:t xml:space="preserve">to Minister </w:t>
      </w:r>
    </w:p>
    <w:p w14:paraId="327FCC1A" w14:textId="77777777" w:rsidR="00FC5801" w:rsidRDefault="00FC5801" w:rsidP="00AB4D2A">
      <w:pPr>
        <w:spacing w:after="0" w:line="276" w:lineRule="auto"/>
        <w:rPr>
          <w:rFonts w:ascii="Cambria" w:eastAsiaTheme="minorHAnsi" w:hAnsi="Cambria"/>
          <w:sz w:val="22"/>
          <w:szCs w:val="22"/>
        </w:rPr>
      </w:pPr>
    </w:p>
    <w:p w14:paraId="214C004A" w14:textId="5915C051" w:rsidR="00AB4D2A" w:rsidRPr="00AB4D2A" w:rsidRDefault="00AB4D2A" w:rsidP="00AB4D2A">
      <w:pPr>
        <w:spacing w:after="0" w:line="276" w:lineRule="auto"/>
        <w:rPr>
          <w:rFonts w:ascii="Cambria" w:eastAsiaTheme="minorHAnsi" w:hAnsi="Cambria"/>
          <w:sz w:val="22"/>
          <w:szCs w:val="22"/>
        </w:rPr>
      </w:pPr>
      <w:r w:rsidRPr="00AB4D2A">
        <w:rPr>
          <w:rFonts w:ascii="Cambria" w:eastAsiaTheme="minorHAnsi" w:hAnsi="Cambria"/>
          <w:sz w:val="22"/>
          <w:szCs w:val="22"/>
        </w:rPr>
        <w:t>The Hon. Keith Pitt MP</w:t>
      </w:r>
    </w:p>
    <w:p w14:paraId="7BB3D6F1" w14:textId="77777777" w:rsidR="00AB4D2A" w:rsidRPr="00AB4D2A" w:rsidRDefault="00AB4D2A" w:rsidP="00AB4D2A">
      <w:pPr>
        <w:spacing w:after="0" w:line="276" w:lineRule="auto"/>
        <w:rPr>
          <w:rFonts w:ascii="Cambria" w:eastAsiaTheme="minorHAnsi" w:hAnsi="Cambria"/>
          <w:sz w:val="22"/>
          <w:szCs w:val="22"/>
        </w:rPr>
      </w:pPr>
      <w:r w:rsidRPr="00AB4D2A">
        <w:rPr>
          <w:rFonts w:ascii="Cambria" w:eastAsiaTheme="minorHAnsi" w:hAnsi="Cambria"/>
          <w:sz w:val="22"/>
          <w:szCs w:val="22"/>
        </w:rPr>
        <w:t>Minister for Resources, Water and Northern Australia</w:t>
      </w:r>
    </w:p>
    <w:p w14:paraId="3D49E75E" w14:textId="77777777" w:rsidR="00AB4D2A" w:rsidRPr="00AB4D2A" w:rsidRDefault="00AB4D2A" w:rsidP="00AB4D2A">
      <w:pPr>
        <w:spacing w:after="0" w:line="276" w:lineRule="auto"/>
        <w:rPr>
          <w:rFonts w:ascii="Cambria" w:eastAsiaTheme="minorHAnsi" w:hAnsi="Cambria"/>
          <w:sz w:val="22"/>
          <w:szCs w:val="22"/>
        </w:rPr>
      </w:pPr>
      <w:r w:rsidRPr="00AB4D2A">
        <w:rPr>
          <w:rFonts w:ascii="Cambria" w:eastAsiaTheme="minorHAnsi" w:hAnsi="Cambria"/>
          <w:sz w:val="22"/>
          <w:szCs w:val="22"/>
        </w:rPr>
        <w:t>PO Box 6022</w:t>
      </w:r>
    </w:p>
    <w:p w14:paraId="573DD8E3" w14:textId="77777777" w:rsidR="00AB4D2A" w:rsidRPr="00AB4D2A" w:rsidRDefault="00AB4D2A" w:rsidP="00AB4D2A">
      <w:pPr>
        <w:spacing w:after="0" w:line="276" w:lineRule="auto"/>
        <w:rPr>
          <w:rFonts w:ascii="Cambria" w:eastAsiaTheme="minorHAnsi" w:hAnsi="Cambria"/>
          <w:sz w:val="22"/>
          <w:szCs w:val="22"/>
        </w:rPr>
      </w:pPr>
      <w:r w:rsidRPr="00AB4D2A">
        <w:rPr>
          <w:rFonts w:ascii="Cambria" w:eastAsiaTheme="minorHAnsi" w:hAnsi="Cambria"/>
          <w:sz w:val="22"/>
          <w:szCs w:val="22"/>
        </w:rPr>
        <w:t>House of Representatives</w:t>
      </w:r>
    </w:p>
    <w:p w14:paraId="267E95BD" w14:textId="04934622" w:rsidR="00AB4D2A" w:rsidRDefault="00AB4D2A" w:rsidP="0088155C">
      <w:pPr>
        <w:spacing w:after="0" w:line="276" w:lineRule="auto"/>
        <w:rPr>
          <w:rFonts w:ascii="Cambria" w:eastAsiaTheme="minorHAnsi" w:hAnsi="Cambria"/>
          <w:sz w:val="22"/>
          <w:szCs w:val="22"/>
        </w:rPr>
      </w:pPr>
      <w:r w:rsidRPr="00AB4D2A">
        <w:rPr>
          <w:rFonts w:ascii="Cambria" w:eastAsiaTheme="minorHAnsi" w:hAnsi="Cambria"/>
          <w:sz w:val="22"/>
          <w:szCs w:val="22"/>
        </w:rPr>
        <w:t>Parliament House</w:t>
      </w:r>
      <w:r w:rsidR="00FC5801">
        <w:rPr>
          <w:rFonts w:ascii="Cambria" w:eastAsiaTheme="minorHAnsi" w:hAnsi="Cambria"/>
          <w:sz w:val="22"/>
          <w:szCs w:val="22"/>
        </w:rPr>
        <w:t xml:space="preserve"> </w:t>
      </w:r>
      <w:r w:rsidR="00FC5801">
        <w:rPr>
          <w:rFonts w:ascii="Cambria" w:eastAsiaTheme="minorHAnsi" w:hAnsi="Cambria"/>
          <w:sz w:val="22"/>
          <w:szCs w:val="22"/>
        </w:rPr>
        <w:br/>
      </w:r>
      <w:r w:rsidRPr="00AB4D2A">
        <w:rPr>
          <w:rFonts w:ascii="Cambria" w:eastAsiaTheme="minorHAnsi" w:hAnsi="Cambria"/>
          <w:sz w:val="22"/>
          <w:szCs w:val="22"/>
        </w:rPr>
        <w:t xml:space="preserve">Canberra ACT 2600 </w:t>
      </w:r>
    </w:p>
    <w:p w14:paraId="6D0124AE" w14:textId="77777777" w:rsidR="00AB4D2A" w:rsidRDefault="00AB4D2A" w:rsidP="001A1A70">
      <w:pPr>
        <w:spacing w:after="0" w:line="276" w:lineRule="auto"/>
        <w:rPr>
          <w:rFonts w:ascii="Cambria" w:eastAsiaTheme="minorHAnsi" w:hAnsi="Cambria"/>
          <w:sz w:val="22"/>
          <w:szCs w:val="22"/>
        </w:rPr>
      </w:pPr>
    </w:p>
    <w:p w14:paraId="09677268" w14:textId="614346D4" w:rsidR="00CF5BE4" w:rsidRDefault="00CF5BE4" w:rsidP="00B80300">
      <w:pPr>
        <w:spacing w:after="0" w:line="276" w:lineRule="auto"/>
        <w:rPr>
          <w:rFonts w:ascii="Cambria" w:eastAsiaTheme="minorHAnsi" w:hAnsi="Cambria"/>
          <w:sz w:val="22"/>
          <w:szCs w:val="22"/>
        </w:rPr>
      </w:pPr>
      <w:r>
        <w:rPr>
          <w:rFonts w:ascii="Cambria" w:eastAsiaTheme="minorHAnsi" w:hAnsi="Cambria"/>
          <w:sz w:val="22"/>
          <w:szCs w:val="22"/>
        </w:rPr>
        <w:t xml:space="preserve">Dear Minister </w:t>
      </w:r>
    </w:p>
    <w:p w14:paraId="75FD6380" w14:textId="77777777" w:rsidR="00CF5BE4" w:rsidRDefault="00CF5BE4" w:rsidP="00CB6040">
      <w:pPr>
        <w:spacing w:after="0" w:line="276" w:lineRule="auto"/>
        <w:rPr>
          <w:rFonts w:ascii="Cambria" w:eastAsiaTheme="minorHAnsi" w:hAnsi="Cambria"/>
          <w:sz w:val="22"/>
          <w:szCs w:val="22"/>
        </w:rPr>
      </w:pPr>
    </w:p>
    <w:p w14:paraId="48E1F05E" w14:textId="495EE3F4" w:rsidR="00AB4D2A" w:rsidRPr="00C66F0F" w:rsidRDefault="002B25E1" w:rsidP="00CB6040">
      <w:pPr>
        <w:spacing w:after="0" w:line="276" w:lineRule="auto"/>
        <w:rPr>
          <w:rFonts w:ascii="Cambria" w:eastAsiaTheme="minorHAnsi" w:hAnsi="Cambria"/>
          <w:b/>
          <w:bCs/>
          <w:sz w:val="22"/>
          <w:szCs w:val="22"/>
        </w:rPr>
      </w:pPr>
      <w:r w:rsidRPr="00C66F0F">
        <w:rPr>
          <w:rFonts w:ascii="Cambria" w:eastAsiaTheme="minorHAnsi" w:hAnsi="Cambria"/>
          <w:b/>
          <w:bCs/>
          <w:sz w:val="22"/>
          <w:szCs w:val="22"/>
        </w:rPr>
        <w:t xml:space="preserve">MURRAY-DARLING BASIN WATER MARKET REFORM – DEVELOPMENT OF IMPLEMENTATION ROADMAP: DECEMBER ADVICE </w:t>
      </w:r>
    </w:p>
    <w:p w14:paraId="0C0AD313" w14:textId="77777777" w:rsidR="00AB4D2A" w:rsidRDefault="00AB4D2A" w:rsidP="00CB6040">
      <w:pPr>
        <w:spacing w:after="0" w:line="276" w:lineRule="auto"/>
        <w:rPr>
          <w:rFonts w:ascii="Cambria" w:eastAsiaTheme="minorHAnsi" w:hAnsi="Cambria"/>
          <w:sz w:val="22"/>
          <w:szCs w:val="22"/>
        </w:rPr>
      </w:pPr>
    </w:p>
    <w:p w14:paraId="7A05CC0F" w14:textId="7B7C0A4E" w:rsidR="00257B74" w:rsidRPr="00A94027" w:rsidRDefault="00826696" w:rsidP="00C66F0F">
      <w:pPr>
        <w:spacing w:after="0" w:line="276" w:lineRule="auto"/>
        <w:rPr>
          <w:rFonts w:ascii="Cambria" w:eastAsiaTheme="minorHAnsi" w:hAnsi="Cambria"/>
          <w:sz w:val="22"/>
          <w:szCs w:val="22"/>
        </w:rPr>
      </w:pPr>
      <w:r>
        <w:rPr>
          <w:rFonts w:ascii="Cambria" w:eastAsiaTheme="minorHAnsi" w:hAnsi="Cambria"/>
          <w:sz w:val="22"/>
          <w:szCs w:val="22"/>
        </w:rPr>
        <w:t xml:space="preserve">Attached is my initial advice on a plan for implementing </w:t>
      </w:r>
      <w:r w:rsidR="00610AEC">
        <w:rPr>
          <w:rFonts w:ascii="Cambria" w:eastAsiaTheme="minorHAnsi" w:hAnsi="Cambria"/>
          <w:sz w:val="22"/>
          <w:szCs w:val="22"/>
        </w:rPr>
        <w:t xml:space="preserve">measures in response to findings set out in </w:t>
      </w:r>
      <w:r>
        <w:rPr>
          <w:rFonts w:ascii="Cambria" w:eastAsiaTheme="minorHAnsi" w:hAnsi="Cambria"/>
          <w:sz w:val="22"/>
          <w:szCs w:val="22"/>
        </w:rPr>
        <w:t xml:space="preserve">the </w:t>
      </w:r>
      <w:r w:rsidR="00610AEC" w:rsidRPr="00B40EAF">
        <w:rPr>
          <w:rFonts w:ascii="Cambria" w:hAnsi="Cambria"/>
          <w:sz w:val="22"/>
          <w:szCs w:val="22"/>
        </w:rPr>
        <w:t>Australian Competition and Consumer Commission</w:t>
      </w:r>
      <w:r w:rsidR="00610AEC">
        <w:rPr>
          <w:rFonts w:ascii="Cambria" w:hAnsi="Cambria"/>
          <w:sz w:val="22"/>
          <w:szCs w:val="22"/>
        </w:rPr>
        <w:t xml:space="preserve"> (</w:t>
      </w:r>
      <w:r w:rsidR="00610AEC" w:rsidRPr="00946BDF">
        <w:rPr>
          <w:rFonts w:ascii="Cambria" w:hAnsi="Cambria"/>
          <w:sz w:val="22"/>
          <w:szCs w:val="22"/>
        </w:rPr>
        <w:t>ACCC</w:t>
      </w:r>
      <w:r w:rsidR="00610AEC">
        <w:rPr>
          <w:rFonts w:ascii="Cambria" w:hAnsi="Cambria"/>
          <w:sz w:val="22"/>
          <w:szCs w:val="22"/>
        </w:rPr>
        <w:t xml:space="preserve">) </w:t>
      </w:r>
      <w:r>
        <w:rPr>
          <w:rFonts w:ascii="Cambria" w:eastAsiaTheme="minorHAnsi" w:hAnsi="Cambria"/>
          <w:sz w:val="22"/>
          <w:szCs w:val="22"/>
        </w:rPr>
        <w:t xml:space="preserve">report on water market reform.  </w:t>
      </w:r>
    </w:p>
    <w:p w14:paraId="11906EA2" w14:textId="77777777" w:rsidR="00B110C1" w:rsidRPr="00A94027" w:rsidRDefault="00B110C1" w:rsidP="00C66F0F">
      <w:pPr>
        <w:spacing w:after="0" w:line="276" w:lineRule="auto"/>
        <w:rPr>
          <w:rFonts w:ascii="Cambria" w:eastAsiaTheme="minorHAnsi" w:hAnsi="Cambria"/>
          <w:sz w:val="22"/>
          <w:szCs w:val="22"/>
        </w:rPr>
      </w:pPr>
    </w:p>
    <w:p w14:paraId="7B98A10B" w14:textId="414BD067" w:rsidR="00D11230" w:rsidRDefault="004D245C" w:rsidP="00C66F0F">
      <w:pPr>
        <w:spacing w:after="0" w:line="276" w:lineRule="auto"/>
        <w:rPr>
          <w:rFonts w:ascii="Cambria" w:eastAsiaTheme="minorHAnsi" w:hAnsi="Cambria"/>
          <w:sz w:val="22"/>
          <w:szCs w:val="22"/>
        </w:rPr>
      </w:pPr>
      <w:r>
        <w:rPr>
          <w:rFonts w:ascii="Cambria" w:eastAsiaTheme="minorHAnsi" w:hAnsi="Cambria"/>
          <w:sz w:val="22"/>
          <w:szCs w:val="22"/>
        </w:rPr>
        <w:t>As p</w:t>
      </w:r>
      <w:r w:rsidR="00B110C1" w:rsidRPr="00A94027">
        <w:rPr>
          <w:rFonts w:ascii="Cambria" w:eastAsiaTheme="minorHAnsi" w:hAnsi="Cambria"/>
          <w:sz w:val="22"/>
          <w:szCs w:val="22"/>
        </w:rPr>
        <w:t xml:space="preserve">er </w:t>
      </w:r>
      <w:r w:rsidR="0086303C" w:rsidRPr="00A94027">
        <w:rPr>
          <w:rFonts w:ascii="Cambria" w:eastAsiaTheme="minorHAnsi" w:hAnsi="Cambria"/>
          <w:sz w:val="22"/>
          <w:szCs w:val="22"/>
        </w:rPr>
        <w:t xml:space="preserve">the </w:t>
      </w:r>
      <w:r w:rsidR="00B110C1" w:rsidRPr="00A94027">
        <w:rPr>
          <w:rFonts w:ascii="Cambria" w:eastAsiaTheme="minorHAnsi" w:hAnsi="Cambria"/>
          <w:sz w:val="22"/>
          <w:szCs w:val="22"/>
        </w:rPr>
        <w:t>scope of work</w:t>
      </w:r>
      <w:r w:rsidR="00D11230" w:rsidRPr="00A94027">
        <w:rPr>
          <w:rFonts w:ascii="Cambria" w:eastAsiaTheme="minorHAnsi" w:hAnsi="Cambria"/>
          <w:sz w:val="22"/>
          <w:szCs w:val="22"/>
        </w:rPr>
        <w:t xml:space="preserve"> (set out at Appendix A)</w:t>
      </w:r>
      <w:r w:rsidR="0086303C" w:rsidRPr="00A94027">
        <w:rPr>
          <w:rFonts w:ascii="Cambria" w:eastAsiaTheme="minorHAnsi" w:hAnsi="Cambria"/>
          <w:sz w:val="22"/>
          <w:szCs w:val="22"/>
        </w:rPr>
        <w:t xml:space="preserve">, </w:t>
      </w:r>
      <w:r w:rsidR="00B110C1" w:rsidRPr="00A94027">
        <w:rPr>
          <w:rFonts w:ascii="Cambria" w:eastAsiaTheme="minorHAnsi" w:hAnsi="Cambria"/>
          <w:sz w:val="22"/>
          <w:szCs w:val="22"/>
        </w:rPr>
        <w:t>this advice sets out</w:t>
      </w:r>
      <w:r w:rsidR="00D11230" w:rsidRPr="00A94027">
        <w:rPr>
          <w:rFonts w:ascii="Cambria" w:eastAsiaTheme="minorHAnsi" w:hAnsi="Cambria"/>
          <w:sz w:val="22"/>
          <w:szCs w:val="22"/>
        </w:rPr>
        <w:t xml:space="preserve"> actions supported by Basin states that can be implemented quickly to </w:t>
      </w:r>
      <w:r w:rsidR="003F145A" w:rsidRPr="00A94027">
        <w:rPr>
          <w:rFonts w:ascii="Cambria" w:eastAsiaTheme="minorHAnsi" w:hAnsi="Cambria"/>
          <w:sz w:val="22"/>
          <w:szCs w:val="22"/>
        </w:rPr>
        <w:t xml:space="preserve">help </w:t>
      </w:r>
      <w:r w:rsidR="00D11230" w:rsidRPr="00A94027">
        <w:rPr>
          <w:rFonts w:ascii="Cambria" w:eastAsiaTheme="minorHAnsi" w:hAnsi="Cambria"/>
          <w:sz w:val="22"/>
          <w:szCs w:val="22"/>
        </w:rPr>
        <w:t>restore confidence in water markets</w:t>
      </w:r>
      <w:r w:rsidR="00B110C1" w:rsidRPr="00A94027">
        <w:rPr>
          <w:rFonts w:ascii="Cambria" w:eastAsiaTheme="minorHAnsi" w:hAnsi="Cambria"/>
          <w:sz w:val="22"/>
          <w:szCs w:val="22"/>
        </w:rPr>
        <w:t xml:space="preserve">. </w:t>
      </w:r>
      <w:r w:rsidR="006B35B7">
        <w:rPr>
          <w:rFonts w:ascii="Cambria" w:eastAsiaTheme="minorHAnsi" w:hAnsi="Cambria"/>
          <w:sz w:val="22"/>
          <w:szCs w:val="22"/>
        </w:rPr>
        <w:t xml:space="preserve">It also documents improvements already made or underway by Basin </w:t>
      </w:r>
      <w:r w:rsidR="006B35B7" w:rsidRPr="00A94027">
        <w:rPr>
          <w:rFonts w:ascii="Cambria" w:eastAsiaTheme="minorHAnsi" w:hAnsi="Cambria"/>
          <w:sz w:val="22"/>
          <w:szCs w:val="22"/>
        </w:rPr>
        <w:t>governments in this area and some observations about the planning for final advice to be provided in mid-2022.</w:t>
      </w:r>
      <w:r w:rsidR="006B35B7">
        <w:rPr>
          <w:rFonts w:ascii="Cambria" w:eastAsiaTheme="minorHAnsi" w:hAnsi="Cambria"/>
          <w:sz w:val="22"/>
          <w:szCs w:val="22"/>
        </w:rPr>
        <w:t xml:space="preserve"> It </w:t>
      </w:r>
      <w:r w:rsidR="00D11230" w:rsidRPr="00A94027">
        <w:rPr>
          <w:rFonts w:ascii="Cambria" w:eastAsiaTheme="minorHAnsi" w:hAnsi="Cambria"/>
          <w:sz w:val="22"/>
          <w:szCs w:val="22"/>
        </w:rPr>
        <w:t xml:space="preserve">has been prepared having regard to advice from the </w:t>
      </w:r>
      <w:r w:rsidR="003F145A" w:rsidRPr="00A94027">
        <w:rPr>
          <w:rFonts w:ascii="Cambria" w:eastAsiaTheme="minorHAnsi" w:hAnsi="Cambria"/>
          <w:sz w:val="22"/>
          <w:szCs w:val="22"/>
        </w:rPr>
        <w:t>A</w:t>
      </w:r>
      <w:r w:rsidR="00D11230" w:rsidRPr="00A94027">
        <w:rPr>
          <w:rFonts w:ascii="Cambria" w:eastAsiaTheme="minorHAnsi" w:hAnsi="Cambria"/>
          <w:sz w:val="22"/>
          <w:szCs w:val="22"/>
        </w:rPr>
        <w:t xml:space="preserve">dvisory </w:t>
      </w:r>
      <w:r w:rsidR="003F145A" w:rsidRPr="00A94027">
        <w:rPr>
          <w:rFonts w:ascii="Cambria" w:eastAsiaTheme="minorHAnsi" w:hAnsi="Cambria"/>
          <w:sz w:val="22"/>
          <w:szCs w:val="22"/>
        </w:rPr>
        <w:t>G</w:t>
      </w:r>
      <w:r w:rsidR="00D11230" w:rsidRPr="00A94027">
        <w:rPr>
          <w:rFonts w:ascii="Cambria" w:eastAsiaTheme="minorHAnsi" w:hAnsi="Cambria"/>
          <w:sz w:val="22"/>
          <w:szCs w:val="22"/>
        </w:rPr>
        <w:t xml:space="preserve">roup, initial engagement with industry, </w:t>
      </w:r>
      <w:proofErr w:type="gramStart"/>
      <w:r w:rsidR="00D11230" w:rsidRPr="00A94027">
        <w:rPr>
          <w:rFonts w:ascii="Cambria" w:eastAsiaTheme="minorHAnsi" w:hAnsi="Cambria"/>
          <w:sz w:val="22"/>
          <w:szCs w:val="22"/>
        </w:rPr>
        <w:t>communities</w:t>
      </w:r>
      <w:proofErr w:type="gramEnd"/>
      <w:r w:rsidR="00D11230" w:rsidRPr="00A94027">
        <w:rPr>
          <w:rFonts w:ascii="Cambria" w:eastAsiaTheme="minorHAnsi" w:hAnsi="Cambria"/>
          <w:sz w:val="22"/>
          <w:szCs w:val="22"/>
        </w:rPr>
        <w:t xml:space="preserve"> and other stakeholders, and working closely with Basin states.</w:t>
      </w:r>
      <w:r w:rsidR="006B35B7">
        <w:rPr>
          <w:rFonts w:ascii="Cambria" w:eastAsiaTheme="minorHAnsi" w:hAnsi="Cambria"/>
          <w:sz w:val="22"/>
          <w:szCs w:val="22"/>
        </w:rPr>
        <w:t xml:space="preserve"> </w:t>
      </w:r>
    </w:p>
    <w:p w14:paraId="19A65967" w14:textId="1DC07A38" w:rsidR="006B35B7" w:rsidRDefault="006B35B7" w:rsidP="00C66F0F">
      <w:pPr>
        <w:spacing w:after="0" w:line="276" w:lineRule="auto"/>
        <w:rPr>
          <w:rFonts w:ascii="Cambria" w:eastAsiaTheme="minorHAnsi" w:hAnsi="Cambria"/>
          <w:sz w:val="22"/>
          <w:szCs w:val="22"/>
        </w:rPr>
      </w:pPr>
    </w:p>
    <w:p w14:paraId="45DE7410" w14:textId="43CA92F8" w:rsidR="00826696" w:rsidRDefault="00826696" w:rsidP="00C66F0F">
      <w:pPr>
        <w:spacing w:after="0" w:line="276" w:lineRule="auto"/>
        <w:rPr>
          <w:rFonts w:ascii="Cambria" w:eastAsiaTheme="minorHAnsi" w:hAnsi="Cambria"/>
          <w:sz w:val="22"/>
          <w:szCs w:val="22"/>
        </w:rPr>
      </w:pPr>
      <w:r>
        <w:rPr>
          <w:rFonts w:ascii="Cambria" w:eastAsiaTheme="minorHAnsi" w:hAnsi="Cambria"/>
          <w:sz w:val="22"/>
          <w:szCs w:val="22"/>
        </w:rPr>
        <w:t>The</w:t>
      </w:r>
      <w:r w:rsidR="003871DC">
        <w:rPr>
          <w:rFonts w:ascii="Cambria" w:eastAsiaTheme="minorHAnsi" w:hAnsi="Cambria"/>
          <w:sz w:val="22"/>
          <w:szCs w:val="22"/>
        </w:rPr>
        <w:t xml:space="preserve"> Basin</w:t>
      </w:r>
      <w:r>
        <w:rPr>
          <w:rFonts w:ascii="Cambria" w:eastAsiaTheme="minorHAnsi" w:hAnsi="Cambria"/>
          <w:sz w:val="22"/>
          <w:szCs w:val="22"/>
        </w:rPr>
        <w:t xml:space="preserve"> states </w:t>
      </w:r>
      <w:r w:rsidR="003871DC">
        <w:rPr>
          <w:rFonts w:ascii="Cambria" w:eastAsiaTheme="minorHAnsi" w:hAnsi="Cambria"/>
          <w:sz w:val="22"/>
          <w:szCs w:val="22"/>
        </w:rPr>
        <w:t>have responded</w:t>
      </w:r>
      <w:r w:rsidR="00DD4E07">
        <w:rPr>
          <w:rFonts w:ascii="Cambria" w:eastAsiaTheme="minorHAnsi" w:hAnsi="Cambria"/>
          <w:sz w:val="22"/>
          <w:szCs w:val="22"/>
        </w:rPr>
        <w:t xml:space="preserve"> positively to the ACCC inquiry, and the feedback</w:t>
      </w:r>
      <w:r w:rsidR="00EE39D1">
        <w:rPr>
          <w:rFonts w:ascii="Cambria" w:eastAsiaTheme="minorHAnsi" w:hAnsi="Cambria"/>
          <w:sz w:val="22"/>
          <w:szCs w:val="22"/>
        </w:rPr>
        <w:t xml:space="preserve"> to this roadmap process from all parties so far has </w:t>
      </w:r>
      <w:r w:rsidR="00A64D82">
        <w:rPr>
          <w:rFonts w:ascii="Cambria" w:eastAsiaTheme="minorHAnsi" w:hAnsi="Cambria"/>
          <w:sz w:val="22"/>
          <w:szCs w:val="22"/>
        </w:rPr>
        <w:t>support</w:t>
      </w:r>
      <w:r w:rsidR="00361190">
        <w:rPr>
          <w:rFonts w:ascii="Cambria" w:eastAsiaTheme="minorHAnsi" w:hAnsi="Cambria"/>
          <w:sz w:val="22"/>
          <w:szCs w:val="22"/>
        </w:rPr>
        <w:t>ed</w:t>
      </w:r>
      <w:r w:rsidR="00A64D82">
        <w:rPr>
          <w:rFonts w:ascii="Cambria" w:eastAsiaTheme="minorHAnsi" w:hAnsi="Cambria"/>
          <w:sz w:val="22"/>
          <w:szCs w:val="22"/>
        </w:rPr>
        <w:t xml:space="preserve"> the Commission’s analysis and</w:t>
      </w:r>
    </w:p>
    <w:p w14:paraId="25A99BEC" w14:textId="778803F2" w:rsidR="00826696" w:rsidRDefault="00A64D82" w:rsidP="00C66F0F">
      <w:pPr>
        <w:spacing w:after="0" w:line="276" w:lineRule="auto"/>
        <w:rPr>
          <w:rFonts w:ascii="Cambria" w:eastAsiaTheme="minorHAnsi" w:hAnsi="Cambria"/>
          <w:sz w:val="22"/>
          <w:szCs w:val="22"/>
        </w:rPr>
      </w:pPr>
      <w:r>
        <w:rPr>
          <w:rFonts w:ascii="Cambria" w:eastAsiaTheme="minorHAnsi" w:hAnsi="Cambria"/>
          <w:sz w:val="22"/>
          <w:szCs w:val="22"/>
        </w:rPr>
        <w:t>its propos</w:t>
      </w:r>
      <w:r w:rsidR="001F5A5E">
        <w:rPr>
          <w:rFonts w:ascii="Cambria" w:eastAsiaTheme="minorHAnsi" w:hAnsi="Cambria"/>
          <w:sz w:val="22"/>
          <w:szCs w:val="22"/>
        </w:rPr>
        <w:t>ed reforms</w:t>
      </w:r>
      <w:r w:rsidR="00361190">
        <w:rPr>
          <w:rFonts w:ascii="Cambria" w:eastAsiaTheme="minorHAnsi" w:hAnsi="Cambria"/>
          <w:sz w:val="22"/>
          <w:szCs w:val="22"/>
        </w:rPr>
        <w:t xml:space="preserve"> generally</w:t>
      </w:r>
      <w:r w:rsidR="001F5A5E">
        <w:rPr>
          <w:rFonts w:ascii="Cambria" w:eastAsiaTheme="minorHAnsi" w:hAnsi="Cambria"/>
          <w:sz w:val="22"/>
          <w:szCs w:val="22"/>
        </w:rPr>
        <w:t>.</w:t>
      </w:r>
      <w:r w:rsidR="0035084C">
        <w:rPr>
          <w:rFonts w:ascii="Cambria" w:eastAsiaTheme="minorHAnsi" w:hAnsi="Cambria"/>
          <w:sz w:val="22"/>
          <w:szCs w:val="22"/>
        </w:rPr>
        <w:t xml:space="preserve">  </w:t>
      </w:r>
      <w:r w:rsidR="009425B7">
        <w:rPr>
          <w:rFonts w:ascii="Cambria" w:eastAsiaTheme="minorHAnsi" w:hAnsi="Cambria"/>
          <w:sz w:val="22"/>
          <w:szCs w:val="22"/>
        </w:rPr>
        <w:t>The concern this process will need to address</w:t>
      </w:r>
      <w:r w:rsidR="00C11709">
        <w:rPr>
          <w:rFonts w:ascii="Cambria" w:eastAsiaTheme="minorHAnsi" w:hAnsi="Cambria"/>
          <w:sz w:val="22"/>
          <w:szCs w:val="22"/>
        </w:rPr>
        <w:t xml:space="preserve"> is whether </w:t>
      </w:r>
      <w:r w:rsidR="00294303">
        <w:rPr>
          <w:rFonts w:ascii="Cambria" w:eastAsiaTheme="minorHAnsi" w:hAnsi="Cambria"/>
          <w:sz w:val="22"/>
          <w:szCs w:val="22"/>
        </w:rPr>
        <w:t>the Commis</w:t>
      </w:r>
      <w:r w:rsidR="00CA0A70">
        <w:rPr>
          <w:rFonts w:ascii="Cambria" w:eastAsiaTheme="minorHAnsi" w:hAnsi="Cambria"/>
          <w:sz w:val="22"/>
          <w:szCs w:val="22"/>
        </w:rPr>
        <w:t>s</w:t>
      </w:r>
      <w:r w:rsidR="00294303">
        <w:rPr>
          <w:rFonts w:ascii="Cambria" w:eastAsiaTheme="minorHAnsi" w:hAnsi="Cambria"/>
          <w:sz w:val="22"/>
          <w:szCs w:val="22"/>
        </w:rPr>
        <w:t>ion</w:t>
      </w:r>
      <w:r w:rsidR="00150C3A">
        <w:rPr>
          <w:rFonts w:ascii="Cambria" w:eastAsiaTheme="minorHAnsi" w:hAnsi="Cambria"/>
          <w:sz w:val="22"/>
          <w:szCs w:val="22"/>
        </w:rPr>
        <w:t>’s</w:t>
      </w:r>
      <w:r w:rsidR="00CA0A70">
        <w:rPr>
          <w:rFonts w:ascii="Cambria" w:eastAsiaTheme="minorHAnsi" w:hAnsi="Cambria"/>
          <w:sz w:val="22"/>
          <w:szCs w:val="22"/>
        </w:rPr>
        <w:t xml:space="preserve"> recommended reforms are the most cost</w:t>
      </w:r>
      <w:r w:rsidR="0030254D">
        <w:rPr>
          <w:rFonts w:ascii="Cambria" w:eastAsiaTheme="minorHAnsi" w:hAnsi="Cambria"/>
          <w:sz w:val="22"/>
          <w:szCs w:val="22"/>
        </w:rPr>
        <w:t>-</w:t>
      </w:r>
      <w:r w:rsidR="00CA0A70">
        <w:rPr>
          <w:rFonts w:ascii="Cambria" w:eastAsiaTheme="minorHAnsi" w:hAnsi="Cambria"/>
          <w:sz w:val="22"/>
          <w:szCs w:val="22"/>
        </w:rPr>
        <w:t>effective</w:t>
      </w:r>
      <w:r w:rsidR="00FE3F0E">
        <w:rPr>
          <w:rFonts w:ascii="Cambria" w:eastAsiaTheme="minorHAnsi" w:hAnsi="Cambria"/>
          <w:sz w:val="22"/>
          <w:szCs w:val="22"/>
        </w:rPr>
        <w:t xml:space="preserve"> </w:t>
      </w:r>
      <w:r w:rsidR="00C0756F">
        <w:rPr>
          <w:rFonts w:ascii="Cambria" w:eastAsiaTheme="minorHAnsi" w:hAnsi="Cambria"/>
          <w:sz w:val="22"/>
          <w:szCs w:val="22"/>
        </w:rPr>
        <w:t>policy responses to the generally accepted</w:t>
      </w:r>
      <w:r w:rsidR="001E7255">
        <w:rPr>
          <w:rFonts w:ascii="Cambria" w:eastAsiaTheme="minorHAnsi" w:hAnsi="Cambria"/>
          <w:sz w:val="22"/>
          <w:szCs w:val="22"/>
        </w:rPr>
        <w:t xml:space="preserve"> problem analyses when resources are </w:t>
      </w:r>
      <w:proofErr w:type="gramStart"/>
      <w:r w:rsidR="001E7255">
        <w:rPr>
          <w:rFonts w:ascii="Cambria" w:eastAsiaTheme="minorHAnsi" w:hAnsi="Cambria"/>
          <w:sz w:val="22"/>
          <w:szCs w:val="22"/>
        </w:rPr>
        <w:t>limited</w:t>
      </w:r>
      <w:proofErr w:type="gramEnd"/>
      <w:r w:rsidR="001E7255">
        <w:rPr>
          <w:rFonts w:ascii="Cambria" w:eastAsiaTheme="minorHAnsi" w:hAnsi="Cambria"/>
          <w:sz w:val="22"/>
          <w:szCs w:val="22"/>
        </w:rPr>
        <w:t xml:space="preserve"> and </w:t>
      </w:r>
      <w:r w:rsidR="00311A1D">
        <w:rPr>
          <w:rFonts w:ascii="Cambria" w:eastAsiaTheme="minorHAnsi" w:hAnsi="Cambria"/>
          <w:sz w:val="22"/>
          <w:szCs w:val="22"/>
        </w:rPr>
        <w:t xml:space="preserve">the agreement of all Basin governments </w:t>
      </w:r>
      <w:r w:rsidR="00AA61F6">
        <w:rPr>
          <w:rFonts w:ascii="Cambria" w:eastAsiaTheme="minorHAnsi" w:hAnsi="Cambria"/>
          <w:sz w:val="22"/>
          <w:szCs w:val="22"/>
        </w:rPr>
        <w:t>is</w:t>
      </w:r>
      <w:r w:rsidR="00311A1D">
        <w:rPr>
          <w:rFonts w:ascii="Cambria" w:eastAsiaTheme="minorHAnsi" w:hAnsi="Cambria"/>
          <w:sz w:val="22"/>
          <w:szCs w:val="22"/>
        </w:rPr>
        <w:t xml:space="preserve"> required.</w:t>
      </w:r>
    </w:p>
    <w:p w14:paraId="77B6793C" w14:textId="1042A0DD" w:rsidR="001F5A5E" w:rsidRDefault="001F5A5E" w:rsidP="00C66F0F">
      <w:pPr>
        <w:spacing w:after="0" w:line="276" w:lineRule="auto"/>
        <w:rPr>
          <w:rFonts w:ascii="Cambria" w:eastAsiaTheme="minorHAnsi" w:hAnsi="Cambria"/>
          <w:sz w:val="22"/>
          <w:szCs w:val="22"/>
        </w:rPr>
      </w:pPr>
    </w:p>
    <w:p w14:paraId="1FBCCF8D" w14:textId="77777777" w:rsidR="00351B74" w:rsidRDefault="00351B74" w:rsidP="00351B74">
      <w:pPr>
        <w:spacing w:after="0" w:line="276" w:lineRule="auto"/>
        <w:rPr>
          <w:rFonts w:ascii="Cambria" w:eastAsiaTheme="minorHAnsi" w:hAnsi="Cambria"/>
          <w:sz w:val="22"/>
          <w:szCs w:val="22"/>
        </w:rPr>
      </w:pPr>
      <w:r>
        <w:rPr>
          <w:rFonts w:ascii="Cambria" w:eastAsiaTheme="minorHAnsi" w:hAnsi="Cambria"/>
          <w:sz w:val="22"/>
          <w:szCs w:val="22"/>
        </w:rPr>
        <w:t>Yours sincerely</w:t>
      </w:r>
    </w:p>
    <w:p w14:paraId="672208E9" w14:textId="77777777" w:rsidR="00351B74" w:rsidRDefault="00351B74" w:rsidP="00C66F0F">
      <w:pPr>
        <w:spacing w:after="0" w:line="276" w:lineRule="auto"/>
        <w:rPr>
          <w:rFonts w:ascii="Cambria" w:eastAsiaTheme="minorHAnsi" w:hAnsi="Cambria"/>
          <w:sz w:val="22"/>
          <w:szCs w:val="22"/>
        </w:rPr>
      </w:pPr>
    </w:p>
    <w:p w14:paraId="7C752FF2" w14:textId="70509F7E" w:rsidR="00257B74" w:rsidRDefault="00351B74" w:rsidP="0088155C">
      <w:pPr>
        <w:spacing w:after="0" w:line="276" w:lineRule="auto"/>
        <w:rPr>
          <w:rFonts w:ascii="Cambria" w:eastAsiaTheme="minorHAnsi" w:hAnsi="Cambria"/>
          <w:sz w:val="22"/>
          <w:szCs w:val="22"/>
        </w:rPr>
      </w:pPr>
      <w:r>
        <w:rPr>
          <w:rFonts w:ascii="Cambria" w:eastAsiaTheme="minorHAnsi" w:hAnsi="Cambria"/>
          <w:noProof/>
          <w:sz w:val="22"/>
          <w:szCs w:val="22"/>
        </w:rPr>
        <w:drawing>
          <wp:inline distT="0" distB="0" distL="0" distR="0" wp14:anchorId="6003A8DF" wp14:editId="66E422BE">
            <wp:extent cx="1731196" cy="518154"/>
            <wp:effectExtent l="0" t="0" r="2540" b="0"/>
            <wp:docPr id="3" name="Picture 3" descr="A black line drawn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line drawn on a white background&#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15361" t="9782" r="10468" b="20109"/>
                    <a:stretch/>
                  </pic:blipFill>
                  <pic:spPr bwMode="auto">
                    <a:xfrm>
                      <a:off x="0" y="0"/>
                      <a:ext cx="1797049" cy="537864"/>
                    </a:xfrm>
                    <a:prstGeom prst="rect">
                      <a:avLst/>
                    </a:prstGeom>
                    <a:ln>
                      <a:noFill/>
                    </a:ln>
                    <a:extLst>
                      <a:ext uri="{53640926-AAD7-44D8-BBD7-CCE9431645EC}">
                        <a14:shadowObscured xmlns:a14="http://schemas.microsoft.com/office/drawing/2010/main"/>
                      </a:ext>
                    </a:extLst>
                  </pic:spPr>
                </pic:pic>
              </a:graphicData>
            </a:graphic>
          </wp:inline>
        </w:drawing>
      </w:r>
    </w:p>
    <w:p w14:paraId="6108F070" w14:textId="72455D78" w:rsidR="00257B74" w:rsidRPr="00A8083C" w:rsidRDefault="00257B74" w:rsidP="00C66F0F">
      <w:pPr>
        <w:spacing w:after="0" w:line="276" w:lineRule="auto"/>
        <w:rPr>
          <w:rFonts w:ascii="Cambria" w:eastAsiaTheme="minorHAnsi" w:hAnsi="Cambria"/>
          <w:sz w:val="22"/>
          <w:szCs w:val="22"/>
        </w:rPr>
      </w:pPr>
      <w:r w:rsidRPr="00A8083C">
        <w:rPr>
          <w:rFonts w:ascii="Cambria" w:eastAsiaTheme="minorHAnsi" w:hAnsi="Cambria"/>
          <w:sz w:val="22"/>
          <w:szCs w:val="22"/>
        </w:rPr>
        <w:t xml:space="preserve">Daryl Quinlivan </w:t>
      </w:r>
    </w:p>
    <w:p w14:paraId="74D88866" w14:textId="77777777" w:rsidR="003D64EE" w:rsidRDefault="00257B74" w:rsidP="0088155C">
      <w:pPr>
        <w:spacing w:after="0" w:line="276" w:lineRule="auto"/>
        <w:rPr>
          <w:rFonts w:ascii="Cambria" w:eastAsiaTheme="minorHAnsi" w:hAnsi="Cambria"/>
          <w:sz w:val="22"/>
          <w:szCs w:val="22"/>
        </w:rPr>
      </w:pPr>
      <w:r w:rsidRPr="00A8083C">
        <w:rPr>
          <w:rFonts w:ascii="Cambria" w:eastAsiaTheme="minorHAnsi" w:hAnsi="Cambria"/>
          <w:sz w:val="22"/>
          <w:szCs w:val="22"/>
        </w:rPr>
        <w:t>Ind</w:t>
      </w:r>
      <w:r w:rsidRPr="00C66F0F">
        <w:rPr>
          <w:rFonts w:ascii="Cambria" w:eastAsiaTheme="minorHAnsi" w:hAnsi="Cambria"/>
          <w:sz w:val="22"/>
          <w:szCs w:val="22"/>
        </w:rPr>
        <w:t>ependent Principal Adviser</w:t>
      </w:r>
    </w:p>
    <w:p w14:paraId="5667AE8E" w14:textId="19FEE0EC" w:rsidR="002B25E1" w:rsidRDefault="00DF531F" w:rsidP="001A1A70">
      <w:pPr>
        <w:spacing w:after="0" w:line="276" w:lineRule="auto"/>
        <w:rPr>
          <w:rFonts w:ascii="Cambria" w:eastAsiaTheme="minorHAnsi" w:hAnsi="Cambria"/>
          <w:sz w:val="22"/>
          <w:szCs w:val="22"/>
        </w:rPr>
      </w:pPr>
      <w:r>
        <w:rPr>
          <w:rFonts w:ascii="Cambria" w:eastAsiaTheme="minorHAnsi" w:hAnsi="Cambria"/>
          <w:sz w:val="22"/>
          <w:szCs w:val="22"/>
        </w:rPr>
        <w:t>16 December 2021</w:t>
      </w:r>
    </w:p>
    <w:p w14:paraId="119F63EA" w14:textId="47496AFD" w:rsidR="00E15347" w:rsidRPr="00C66F0F" w:rsidRDefault="00E15347" w:rsidP="00C66F0F">
      <w:pPr>
        <w:rPr>
          <w:rFonts w:ascii="Cambria" w:eastAsiaTheme="minorHAnsi" w:hAnsi="Cambria"/>
          <w:sz w:val="22"/>
          <w:szCs w:val="22"/>
        </w:rPr>
      </w:pPr>
      <w:r>
        <w:rPr>
          <w:rFonts w:ascii="Calibri" w:eastAsiaTheme="minorHAnsi" w:hAnsi="Calibri"/>
          <w:color w:val="000000"/>
          <w:spacing w:val="5"/>
          <w:kern w:val="28"/>
          <w:sz w:val="56"/>
          <w:szCs w:val="56"/>
        </w:rPr>
        <w:br w:type="page"/>
      </w:r>
    </w:p>
    <w:sdt>
      <w:sdtPr>
        <w:rPr>
          <w:rFonts w:asciiTheme="minorHAnsi" w:eastAsiaTheme="minorEastAsia" w:hAnsiTheme="minorHAnsi" w:cstheme="minorHAnsi"/>
          <w:color w:val="auto"/>
          <w:sz w:val="56"/>
          <w:szCs w:val="56"/>
        </w:rPr>
        <w:id w:val="-1134015333"/>
        <w:docPartObj>
          <w:docPartGallery w:val="Table of Contents"/>
          <w:docPartUnique/>
        </w:docPartObj>
      </w:sdtPr>
      <w:sdtEndPr>
        <w:rPr>
          <w:rFonts w:ascii="Cambria" w:hAnsi="Cambria" w:cstheme="minorBidi"/>
          <w:noProof/>
          <w:sz w:val="22"/>
          <w:szCs w:val="22"/>
        </w:rPr>
      </w:sdtEndPr>
      <w:sdtContent>
        <w:p w14:paraId="31FA8DC9" w14:textId="4006C15C" w:rsidR="00F11B62" w:rsidRPr="007661F2" w:rsidRDefault="00F11B62">
          <w:pPr>
            <w:pStyle w:val="TOCHeading"/>
            <w:rPr>
              <w:rFonts w:asciiTheme="minorHAnsi" w:hAnsiTheme="minorHAnsi" w:cstheme="minorHAnsi"/>
              <w:color w:val="auto"/>
              <w:sz w:val="56"/>
              <w:szCs w:val="56"/>
            </w:rPr>
          </w:pPr>
          <w:r w:rsidRPr="007661F2">
            <w:rPr>
              <w:rFonts w:asciiTheme="minorHAnsi" w:hAnsiTheme="minorHAnsi" w:cstheme="minorHAnsi"/>
              <w:color w:val="auto"/>
              <w:sz w:val="56"/>
              <w:szCs w:val="56"/>
            </w:rPr>
            <w:t>Contents</w:t>
          </w:r>
        </w:p>
        <w:p w14:paraId="2D15D300" w14:textId="4D2DC2B2" w:rsidR="00F11B62" w:rsidRPr="00F11B62" w:rsidRDefault="00F11B62" w:rsidP="00F11B62">
          <w:pPr>
            <w:pStyle w:val="TOC1"/>
            <w:tabs>
              <w:tab w:val="right" w:leader="dot" w:pos="9016"/>
            </w:tabs>
            <w:rPr>
              <w:rFonts w:ascii="Cambria" w:hAnsi="Cambria"/>
              <w:noProof/>
              <w:sz w:val="22"/>
              <w:szCs w:val="22"/>
              <w:lang w:eastAsia="en-AU"/>
            </w:rPr>
          </w:pPr>
          <w:r w:rsidRPr="00F11B62">
            <w:rPr>
              <w:rFonts w:ascii="Cambria" w:hAnsi="Cambria"/>
              <w:sz w:val="22"/>
              <w:szCs w:val="22"/>
            </w:rPr>
            <w:fldChar w:fldCharType="begin"/>
          </w:r>
          <w:r w:rsidRPr="00F11B62">
            <w:rPr>
              <w:rFonts w:ascii="Cambria" w:hAnsi="Cambria"/>
              <w:sz w:val="22"/>
              <w:szCs w:val="22"/>
            </w:rPr>
            <w:instrText xml:space="preserve"> TOC \o "1-3" \h \z \u </w:instrText>
          </w:r>
          <w:r w:rsidRPr="00F11B62">
            <w:rPr>
              <w:rFonts w:ascii="Cambria" w:hAnsi="Cambria"/>
              <w:sz w:val="22"/>
              <w:szCs w:val="22"/>
            </w:rPr>
            <w:fldChar w:fldCharType="separate"/>
          </w:r>
        </w:p>
        <w:p w14:paraId="394C8470" w14:textId="72DC41DE" w:rsidR="00F11B62" w:rsidRPr="00B03B2C" w:rsidRDefault="007A2E4F" w:rsidP="00B03B2C">
          <w:pPr>
            <w:pStyle w:val="TOC2"/>
            <w:rPr>
              <w:lang w:eastAsia="en-AU"/>
            </w:rPr>
          </w:pPr>
          <w:hyperlink w:anchor="_Toc90470950" w:history="1">
            <w:r w:rsidR="00F11B62" w:rsidRPr="00B03B2C">
              <w:rPr>
                <w:rStyle w:val="Hyperlink"/>
              </w:rPr>
              <w:t>1</w:t>
            </w:r>
            <w:r w:rsidR="00F11B62" w:rsidRPr="00B03B2C">
              <w:rPr>
                <w:lang w:eastAsia="en-AU"/>
              </w:rPr>
              <w:tab/>
            </w:r>
            <w:r w:rsidR="00F11B62" w:rsidRPr="00B03B2C">
              <w:rPr>
                <w:rStyle w:val="Hyperlink"/>
              </w:rPr>
              <w:t>Introduction</w:t>
            </w:r>
            <w:r w:rsidR="00F11B62" w:rsidRPr="00B03B2C">
              <w:rPr>
                <w:webHidden/>
              </w:rPr>
              <w:tab/>
            </w:r>
            <w:r w:rsidR="00F11B62" w:rsidRPr="00B03B2C">
              <w:rPr>
                <w:webHidden/>
              </w:rPr>
              <w:fldChar w:fldCharType="begin"/>
            </w:r>
            <w:r w:rsidR="00F11B62" w:rsidRPr="00B03B2C">
              <w:rPr>
                <w:webHidden/>
              </w:rPr>
              <w:instrText xml:space="preserve"> PAGEREF _Toc90470950 \h </w:instrText>
            </w:r>
            <w:r w:rsidR="00F11B62" w:rsidRPr="00B03B2C">
              <w:rPr>
                <w:webHidden/>
              </w:rPr>
            </w:r>
            <w:r w:rsidR="00F11B62" w:rsidRPr="00B03B2C">
              <w:rPr>
                <w:webHidden/>
              </w:rPr>
              <w:fldChar w:fldCharType="separate"/>
            </w:r>
            <w:r w:rsidR="006E1EAC">
              <w:rPr>
                <w:webHidden/>
              </w:rPr>
              <w:t>1</w:t>
            </w:r>
            <w:r w:rsidR="00F11B62" w:rsidRPr="00B03B2C">
              <w:rPr>
                <w:webHidden/>
              </w:rPr>
              <w:fldChar w:fldCharType="end"/>
            </w:r>
          </w:hyperlink>
        </w:p>
        <w:p w14:paraId="47818392" w14:textId="09988768" w:rsidR="00F11B62" w:rsidRPr="00F11B62" w:rsidRDefault="007A2E4F">
          <w:pPr>
            <w:pStyle w:val="TOC3"/>
            <w:tabs>
              <w:tab w:val="left" w:pos="1100"/>
              <w:tab w:val="right" w:leader="dot" w:pos="9016"/>
            </w:tabs>
            <w:rPr>
              <w:rFonts w:ascii="Cambria" w:hAnsi="Cambria"/>
              <w:noProof/>
              <w:sz w:val="22"/>
              <w:szCs w:val="22"/>
              <w:lang w:eastAsia="en-AU"/>
            </w:rPr>
          </w:pPr>
          <w:hyperlink w:anchor="_Toc90470951" w:history="1">
            <w:r w:rsidR="00F11B62" w:rsidRPr="00F11B62">
              <w:rPr>
                <w:rStyle w:val="Hyperlink"/>
                <w:rFonts w:ascii="Cambria" w:eastAsia="Times New Roman" w:hAnsi="Cambria" w:cs="Times New Roman"/>
                <w:noProof/>
                <w:sz w:val="22"/>
                <w:szCs w:val="22"/>
              </w:rPr>
              <w:t>1.1</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Preamble</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_Toc90470951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1</w:t>
            </w:r>
            <w:r w:rsidR="00F11B62" w:rsidRPr="00F11B62">
              <w:rPr>
                <w:rFonts w:ascii="Cambria" w:hAnsi="Cambria"/>
                <w:noProof/>
                <w:webHidden/>
                <w:sz w:val="22"/>
                <w:szCs w:val="22"/>
              </w:rPr>
              <w:fldChar w:fldCharType="end"/>
            </w:r>
          </w:hyperlink>
        </w:p>
        <w:p w14:paraId="4EA14B6F" w14:textId="0532D30F" w:rsidR="00F11B62" w:rsidRPr="00F11B62" w:rsidRDefault="007A2E4F">
          <w:pPr>
            <w:pStyle w:val="TOC3"/>
            <w:tabs>
              <w:tab w:val="left" w:pos="1100"/>
              <w:tab w:val="right" w:leader="dot" w:pos="9016"/>
            </w:tabs>
            <w:rPr>
              <w:rFonts w:ascii="Cambria" w:hAnsi="Cambria"/>
              <w:noProof/>
              <w:sz w:val="22"/>
              <w:szCs w:val="22"/>
              <w:lang w:eastAsia="en-AU"/>
            </w:rPr>
          </w:pPr>
          <w:hyperlink w:anchor="_Toc90470952" w:history="1">
            <w:r w:rsidR="00F11B62" w:rsidRPr="00F11B62">
              <w:rPr>
                <w:rStyle w:val="Hyperlink"/>
                <w:rFonts w:ascii="Cambria" w:eastAsia="Times New Roman" w:hAnsi="Cambria" w:cs="Times New Roman"/>
                <w:noProof/>
                <w:sz w:val="22"/>
                <w:szCs w:val="22"/>
              </w:rPr>
              <w:t>1.2</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Context for the ACCC Inquiry</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_Toc90470952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2</w:t>
            </w:r>
            <w:r w:rsidR="00F11B62" w:rsidRPr="00F11B62">
              <w:rPr>
                <w:rFonts w:ascii="Cambria" w:hAnsi="Cambria"/>
                <w:noProof/>
                <w:webHidden/>
                <w:sz w:val="22"/>
                <w:szCs w:val="22"/>
              </w:rPr>
              <w:fldChar w:fldCharType="end"/>
            </w:r>
          </w:hyperlink>
        </w:p>
        <w:p w14:paraId="1CD7C189" w14:textId="2C676B3B" w:rsidR="00F11B62" w:rsidRPr="00F11B62" w:rsidRDefault="007A2E4F">
          <w:pPr>
            <w:pStyle w:val="TOC3"/>
            <w:tabs>
              <w:tab w:val="left" w:pos="1100"/>
              <w:tab w:val="right" w:leader="dot" w:pos="9016"/>
            </w:tabs>
            <w:rPr>
              <w:rFonts w:ascii="Cambria" w:hAnsi="Cambria"/>
              <w:noProof/>
              <w:sz w:val="22"/>
              <w:szCs w:val="22"/>
              <w:lang w:eastAsia="en-AU"/>
            </w:rPr>
          </w:pPr>
          <w:hyperlink w:anchor="_Toc90470953" w:history="1">
            <w:r w:rsidR="00F11B62" w:rsidRPr="00F11B62">
              <w:rPr>
                <w:rStyle w:val="Hyperlink"/>
                <w:rFonts w:ascii="Cambria" w:eastAsia="Times New Roman" w:hAnsi="Cambria" w:cs="Times New Roman"/>
                <w:noProof/>
                <w:sz w:val="22"/>
                <w:szCs w:val="22"/>
              </w:rPr>
              <w:t>1.3</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Why Basin water markets matter</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_Toc90470953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2</w:t>
            </w:r>
            <w:r w:rsidR="00F11B62" w:rsidRPr="00F11B62">
              <w:rPr>
                <w:rFonts w:ascii="Cambria" w:hAnsi="Cambria"/>
                <w:noProof/>
                <w:webHidden/>
                <w:sz w:val="22"/>
                <w:szCs w:val="22"/>
              </w:rPr>
              <w:fldChar w:fldCharType="end"/>
            </w:r>
          </w:hyperlink>
        </w:p>
        <w:p w14:paraId="1C2860F1" w14:textId="3628C256" w:rsidR="00F11B62" w:rsidRPr="00F11B62" w:rsidRDefault="007A2E4F">
          <w:pPr>
            <w:pStyle w:val="TOC3"/>
            <w:tabs>
              <w:tab w:val="left" w:pos="1100"/>
              <w:tab w:val="right" w:leader="dot" w:pos="9016"/>
            </w:tabs>
            <w:rPr>
              <w:rFonts w:ascii="Cambria" w:hAnsi="Cambria"/>
              <w:noProof/>
              <w:sz w:val="22"/>
              <w:szCs w:val="22"/>
              <w:lang w:eastAsia="en-AU"/>
            </w:rPr>
          </w:pPr>
          <w:hyperlink w:anchor="_Toc90470954" w:history="1">
            <w:r w:rsidR="00F11B62" w:rsidRPr="00F11B62">
              <w:rPr>
                <w:rStyle w:val="Hyperlink"/>
                <w:rFonts w:ascii="Cambria" w:eastAsia="Times New Roman" w:hAnsi="Cambria" w:cs="Times New Roman"/>
                <w:noProof/>
                <w:sz w:val="22"/>
                <w:szCs w:val="22"/>
              </w:rPr>
              <w:t>1.4</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What we learnt from the ACCC’s inquiry</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_Toc90470954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3</w:t>
            </w:r>
            <w:r w:rsidR="00F11B62" w:rsidRPr="00F11B62">
              <w:rPr>
                <w:rFonts w:ascii="Cambria" w:hAnsi="Cambria"/>
                <w:noProof/>
                <w:webHidden/>
                <w:sz w:val="22"/>
                <w:szCs w:val="22"/>
              </w:rPr>
              <w:fldChar w:fldCharType="end"/>
            </w:r>
          </w:hyperlink>
        </w:p>
        <w:p w14:paraId="541BAB8E" w14:textId="1ED1E7E7" w:rsidR="00F11B62" w:rsidRPr="00F11B62" w:rsidRDefault="007A2E4F">
          <w:pPr>
            <w:pStyle w:val="TOC3"/>
            <w:tabs>
              <w:tab w:val="left" w:pos="1100"/>
              <w:tab w:val="right" w:leader="dot" w:pos="9016"/>
            </w:tabs>
            <w:rPr>
              <w:rFonts w:ascii="Cambria" w:hAnsi="Cambria"/>
              <w:noProof/>
              <w:sz w:val="22"/>
              <w:szCs w:val="22"/>
              <w:lang w:eastAsia="en-AU"/>
            </w:rPr>
          </w:pPr>
          <w:hyperlink w:anchor="_Toc90470955" w:history="1">
            <w:r w:rsidR="00F11B62" w:rsidRPr="00F11B62">
              <w:rPr>
                <w:rStyle w:val="Hyperlink"/>
                <w:rFonts w:ascii="Cambria" w:eastAsia="Times New Roman" w:hAnsi="Cambria" w:cs="Times New Roman"/>
                <w:noProof/>
                <w:sz w:val="22"/>
                <w:szCs w:val="22"/>
              </w:rPr>
              <w:t>1.5</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The key task of developing the roadmap</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_Toc90470955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4</w:t>
            </w:r>
            <w:r w:rsidR="00F11B62" w:rsidRPr="00F11B62">
              <w:rPr>
                <w:rFonts w:ascii="Cambria" w:hAnsi="Cambria"/>
                <w:noProof/>
                <w:webHidden/>
                <w:sz w:val="22"/>
                <w:szCs w:val="22"/>
              </w:rPr>
              <w:fldChar w:fldCharType="end"/>
            </w:r>
          </w:hyperlink>
        </w:p>
        <w:p w14:paraId="449154A8" w14:textId="04416527" w:rsidR="00F11B62" w:rsidRPr="00B03B2C" w:rsidRDefault="007A2E4F" w:rsidP="00B03B2C">
          <w:pPr>
            <w:pStyle w:val="TOC2"/>
            <w:rPr>
              <w:lang w:eastAsia="en-AU"/>
            </w:rPr>
          </w:pPr>
          <w:hyperlink w:anchor="_Toc90470956" w:history="1">
            <w:r w:rsidR="00F11B62" w:rsidRPr="00B03B2C">
              <w:rPr>
                <w:rStyle w:val="Hyperlink"/>
              </w:rPr>
              <w:t>2</w:t>
            </w:r>
            <w:r w:rsidR="00F11B62" w:rsidRPr="00B03B2C">
              <w:rPr>
                <w:lang w:eastAsia="en-AU"/>
              </w:rPr>
              <w:tab/>
            </w:r>
            <w:r w:rsidR="00F11B62" w:rsidRPr="00B03B2C">
              <w:rPr>
                <w:rStyle w:val="Hyperlink"/>
              </w:rPr>
              <w:t>Developing the roadmap: work completed to date</w:t>
            </w:r>
            <w:r w:rsidR="00F11B62" w:rsidRPr="00B03B2C">
              <w:rPr>
                <w:webHidden/>
              </w:rPr>
              <w:tab/>
            </w:r>
            <w:r w:rsidR="00F11B62" w:rsidRPr="00B03B2C">
              <w:rPr>
                <w:webHidden/>
              </w:rPr>
              <w:fldChar w:fldCharType="begin"/>
            </w:r>
            <w:r w:rsidR="00F11B62" w:rsidRPr="00B03B2C">
              <w:rPr>
                <w:webHidden/>
              </w:rPr>
              <w:instrText xml:space="preserve"> PAGEREF _Toc90470956 \h </w:instrText>
            </w:r>
            <w:r w:rsidR="00F11B62" w:rsidRPr="00B03B2C">
              <w:rPr>
                <w:webHidden/>
              </w:rPr>
            </w:r>
            <w:r w:rsidR="00F11B62" w:rsidRPr="00B03B2C">
              <w:rPr>
                <w:webHidden/>
              </w:rPr>
              <w:fldChar w:fldCharType="separate"/>
            </w:r>
            <w:r w:rsidR="006E1EAC">
              <w:rPr>
                <w:webHidden/>
              </w:rPr>
              <w:t>6</w:t>
            </w:r>
            <w:r w:rsidR="00F11B62" w:rsidRPr="00B03B2C">
              <w:rPr>
                <w:webHidden/>
              </w:rPr>
              <w:fldChar w:fldCharType="end"/>
            </w:r>
          </w:hyperlink>
        </w:p>
        <w:p w14:paraId="1669845B" w14:textId="2B3999F1" w:rsidR="00F11B62" w:rsidRPr="00F11B62" w:rsidRDefault="007A2E4F">
          <w:pPr>
            <w:pStyle w:val="TOC3"/>
            <w:tabs>
              <w:tab w:val="left" w:pos="1100"/>
              <w:tab w:val="right" w:leader="dot" w:pos="9016"/>
            </w:tabs>
            <w:rPr>
              <w:rFonts w:ascii="Cambria" w:hAnsi="Cambria"/>
              <w:noProof/>
              <w:sz w:val="22"/>
              <w:szCs w:val="22"/>
              <w:lang w:eastAsia="en-AU"/>
            </w:rPr>
          </w:pPr>
          <w:hyperlink w:anchor="_Toc90470957" w:history="1">
            <w:r w:rsidR="00F11B62" w:rsidRPr="00F11B62">
              <w:rPr>
                <w:rStyle w:val="Hyperlink"/>
                <w:rFonts w:ascii="Cambria" w:eastAsia="Times New Roman" w:hAnsi="Cambria" w:cs="Times New Roman"/>
                <w:noProof/>
                <w:sz w:val="22"/>
                <w:szCs w:val="22"/>
              </w:rPr>
              <w:t>2.1</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A collaborative approach to developing the roadmap</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_Toc90470957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6</w:t>
            </w:r>
            <w:r w:rsidR="00F11B62" w:rsidRPr="00F11B62">
              <w:rPr>
                <w:rFonts w:ascii="Cambria" w:hAnsi="Cambria"/>
                <w:noProof/>
                <w:webHidden/>
                <w:sz w:val="22"/>
                <w:szCs w:val="22"/>
              </w:rPr>
              <w:fldChar w:fldCharType="end"/>
            </w:r>
          </w:hyperlink>
        </w:p>
        <w:p w14:paraId="690749EF" w14:textId="5D4AAF2C" w:rsidR="00F11B62" w:rsidRPr="00F11B62" w:rsidRDefault="007A2E4F">
          <w:pPr>
            <w:pStyle w:val="TOC3"/>
            <w:tabs>
              <w:tab w:val="left" w:pos="1100"/>
              <w:tab w:val="right" w:leader="dot" w:pos="9016"/>
            </w:tabs>
            <w:rPr>
              <w:rFonts w:ascii="Cambria" w:hAnsi="Cambria"/>
              <w:noProof/>
              <w:sz w:val="22"/>
              <w:szCs w:val="22"/>
              <w:lang w:eastAsia="en-AU"/>
            </w:rPr>
          </w:pPr>
          <w:hyperlink w:anchor="_Toc90470958" w:history="1">
            <w:r w:rsidR="00F11B62" w:rsidRPr="00F11B62">
              <w:rPr>
                <w:rStyle w:val="Hyperlink"/>
                <w:rFonts w:ascii="Cambria" w:eastAsia="Times New Roman" w:hAnsi="Cambria" w:cs="Times New Roman"/>
                <w:noProof/>
                <w:sz w:val="22"/>
                <w:szCs w:val="22"/>
              </w:rPr>
              <w:t>2.2</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Enhancing the evidence base for a water market reform roadmap</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_Toc90470958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6</w:t>
            </w:r>
            <w:r w:rsidR="00F11B62" w:rsidRPr="00F11B62">
              <w:rPr>
                <w:rFonts w:ascii="Cambria" w:hAnsi="Cambria"/>
                <w:noProof/>
                <w:webHidden/>
                <w:sz w:val="22"/>
                <w:szCs w:val="22"/>
              </w:rPr>
              <w:fldChar w:fldCharType="end"/>
            </w:r>
          </w:hyperlink>
        </w:p>
        <w:p w14:paraId="57AC3C7A" w14:textId="497C9171" w:rsidR="00F11B62" w:rsidRPr="00B03B2C" w:rsidRDefault="007A2E4F" w:rsidP="00B03B2C">
          <w:pPr>
            <w:pStyle w:val="TOC2"/>
            <w:rPr>
              <w:lang w:eastAsia="en-AU"/>
            </w:rPr>
          </w:pPr>
          <w:hyperlink w:anchor="_Toc90470959" w:history="1">
            <w:r w:rsidR="00F11B62" w:rsidRPr="00B03B2C">
              <w:rPr>
                <w:rStyle w:val="Hyperlink"/>
              </w:rPr>
              <w:t>3</w:t>
            </w:r>
            <w:r w:rsidR="00F11B62" w:rsidRPr="00B03B2C">
              <w:rPr>
                <w:lang w:eastAsia="en-AU"/>
              </w:rPr>
              <w:tab/>
            </w:r>
            <w:r w:rsidR="00F11B62" w:rsidRPr="00B03B2C">
              <w:rPr>
                <w:rStyle w:val="Hyperlink"/>
              </w:rPr>
              <w:t>Progress towards reform that is already in train</w:t>
            </w:r>
            <w:r w:rsidR="00F11B62" w:rsidRPr="00B03B2C">
              <w:rPr>
                <w:webHidden/>
              </w:rPr>
              <w:tab/>
            </w:r>
            <w:r w:rsidR="00F11B62" w:rsidRPr="00B03B2C">
              <w:rPr>
                <w:webHidden/>
              </w:rPr>
              <w:fldChar w:fldCharType="begin"/>
            </w:r>
            <w:r w:rsidR="00F11B62" w:rsidRPr="00B03B2C">
              <w:rPr>
                <w:webHidden/>
              </w:rPr>
              <w:instrText xml:space="preserve"> PAGEREF _Toc90470959 \h </w:instrText>
            </w:r>
            <w:r w:rsidR="00F11B62" w:rsidRPr="00B03B2C">
              <w:rPr>
                <w:webHidden/>
              </w:rPr>
            </w:r>
            <w:r w:rsidR="00F11B62" w:rsidRPr="00B03B2C">
              <w:rPr>
                <w:webHidden/>
              </w:rPr>
              <w:fldChar w:fldCharType="separate"/>
            </w:r>
            <w:r w:rsidR="006E1EAC">
              <w:rPr>
                <w:webHidden/>
              </w:rPr>
              <w:t>7</w:t>
            </w:r>
            <w:r w:rsidR="00F11B62" w:rsidRPr="00B03B2C">
              <w:rPr>
                <w:webHidden/>
              </w:rPr>
              <w:fldChar w:fldCharType="end"/>
            </w:r>
          </w:hyperlink>
        </w:p>
        <w:p w14:paraId="0598E852" w14:textId="3B4BE953" w:rsidR="00F11B62" w:rsidRPr="00F11B62" w:rsidRDefault="007A2E4F">
          <w:pPr>
            <w:pStyle w:val="TOC3"/>
            <w:tabs>
              <w:tab w:val="left" w:pos="1100"/>
              <w:tab w:val="right" w:leader="dot" w:pos="9016"/>
            </w:tabs>
            <w:rPr>
              <w:rFonts w:ascii="Cambria" w:hAnsi="Cambria"/>
              <w:noProof/>
              <w:sz w:val="22"/>
              <w:szCs w:val="22"/>
              <w:lang w:eastAsia="en-AU"/>
            </w:rPr>
          </w:pPr>
          <w:hyperlink w:anchor="_Toc90470960" w:history="1">
            <w:r w:rsidR="00F11B62" w:rsidRPr="00F11B62">
              <w:rPr>
                <w:rStyle w:val="Hyperlink"/>
                <w:rFonts w:ascii="Cambria" w:eastAsia="Times New Roman" w:hAnsi="Cambria" w:cs="Times New Roman"/>
                <w:noProof/>
                <w:sz w:val="22"/>
                <w:szCs w:val="22"/>
              </w:rPr>
              <w:t>3.1</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Improving transparency and enabling effective participation in water markets</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_Toc90470960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7</w:t>
            </w:r>
            <w:r w:rsidR="00F11B62" w:rsidRPr="00F11B62">
              <w:rPr>
                <w:rFonts w:ascii="Cambria" w:hAnsi="Cambria"/>
                <w:noProof/>
                <w:webHidden/>
                <w:sz w:val="22"/>
                <w:szCs w:val="22"/>
              </w:rPr>
              <w:fldChar w:fldCharType="end"/>
            </w:r>
          </w:hyperlink>
        </w:p>
        <w:p w14:paraId="561536A7" w14:textId="262A88B0" w:rsidR="00F11B62" w:rsidRPr="00F11B62" w:rsidRDefault="007A2E4F">
          <w:pPr>
            <w:pStyle w:val="TOC3"/>
            <w:tabs>
              <w:tab w:val="left" w:pos="1100"/>
              <w:tab w:val="right" w:leader="dot" w:pos="9016"/>
            </w:tabs>
            <w:rPr>
              <w:rFonts w:ascii="Cambria" w:hAnsi="Cambria"/>
              <w:noProof/>
              <w:sz w:val="22"/>
              <w:szCs w:val="22"/>
              <w:lang w:eastAsia="en-AU"/>
            </w:rPr>
          </w:pPr>
          <w:hyperlink w:anchor="_Toc90470961" w:history="1">
            <w:r w:rsidR="00F11B62" w:rsidRPr="00F11B62">
              <w:rPr>
                <w:rStyle w:val="Hyperlink"/>
                <w:rFonts w:ascii="Cambria" w:eastAsia="Times New Roman" w:hAnsi="Cambria" w:cs="Times New Roman"/>
                <w:noProof/>
                <w:sz w:val="22"/>
                <w:szCs w:val="22"/>
              </w:rPr>
              <w:t>3.2</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Improving data and systems for water trading</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_Toc90470961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7</w:t>
            </w:r>
            <w:r w:rsidR="00F11B62" w:rsidRPr="00F11B62">
              <w:rPr>
                <w:rFonts w:ascii="Cambria" w:hAnsi="Cambria"/>
                <w:noProof/>
                <w:webHidden/>
                <w:sz w:val="22"/>
                <w:szCs w:val="22"/>
              </w:rPr>
              <w:fldChar w:fldCharType="end"/>
            </w:r>
          </w:hyperlink>
        </w:p>
        <w:p w14:paraId="06DE8C99" w14:textId="1CB94E7D" w:rsidR="00F11B62" w:rsidRPr="00F11B62" w:rsidRDefault="007A2E4F">
          <w:pPr>
            <w:pStyle w:val="TOC3"/>
            <w:tabs>
              <w:tab w:val="left" w:pos="1100"/>
              <w:tab w:val="right" w:leader="dot" w:pos="9016"/>
            </w:tabs>
            <w:rPr>
              <w:rFonts w:ascii="Cambria" w:hAnsi="Cambria"/>
              <w:noProof/>
              <w:sz w:val="22"/>
              <w:szCs w:val="22"/>
              <w:lang w:eastAsia="en-AU"/>
            </w:rPr>
          </w:pPr>
          <w:hyperlink w:anchor="_Toc90470962" w:history="1">
            <w:r w:rsidR="00F11B62" w:rsidRPr="00F11B62">
              <w:rPr>
                <w:rStyle w:val="Hyperlink"/>
                <w:rFonts w:ascii="Cambria" w:eastAsia="Times New Roman" w:hAnsi="Cambria" w:cs="Times New Roman"/>
                <w:noProof/>
                <w:sz w:val="22"/>
                <w:szCs w:val="22"/>
              </w:rPr>
              <w:t>3.3</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Improving administration of interzone trade</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_Toc90470962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7</w:t>
            </w:r>
            <w:r w:rsidR="00F11B62" w:rsidRPr="00F11B62">
              <w:rPr>
                <w:rFonts w:ascii="Cambria" w:hAnsi="Cambria"/>
                <w:noProof/>
                <w:webHidden/>
                <w:sz w:val="22"/>
                <w:szCs w:val="22"/>
              </w:rPr>
              <w:fldChar w:fldCharType="end"/>
            </w:r>
          </w:hyperlink>
        </w:p>
        <w:p w14:paraId="22C47A96" w14:textId="329C951D" w:rsidR="00F11B62" w:rsidRPr="00F11B62" w:rsidRDefault="007A2E4F">
          <w:pPr>
            <w:pStyle w:val="TOC3"/>
            <w:tabs>
              <w:tab w:val="left" w:pos="1100"/>
              <w:tab w:val="right" w:leader="dot" w:pos="9016"/>
            </w:tabs>
            <w:rPr>
              <w:rFonts w:ascii="Cambria" w:hAnsi="Cambria"/>
              <w:noProof/>
              <w:sz w:val="22"/>
              <w:szCs w:val="22"/>
              <w:lang w:eastAsia="en-AU"/>
            </w:rPr>
          </w:pPr>
          <w:hyperlink w:anchor="_Toc90470963" w:history="1">
            <w:r w:rsidR="00F11B62" w:rsidRPr="00F11B62">
              <w:rPr>
                <w:rStyle w:val="Hyperlink"/>
                <w:rFonts w:ascii="Cambria" w:eastAsia="Times New Roman" w:hAnsi="Cambria" w:cs="Times New Roman"/>
                <w:noProof/>
                <w:sz w:val="22"/>
                <w:szCs w:val="22"/>
              </w:rPr>
              <w:t>3.4</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Improving metering and monitoring of water take</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_Toc90470963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8</w:t>
            </w:r>
            <w:r w:rsidR="00F11B62" w:rsidRPr="00F11B62">
              <w:rPr>
                <w:rFonts w:ascii="Cambria" w:hAnsi="Cambria"/>
                <w:noProof/>
                <w:webHidden/>
                <w:sz w:val="22"/>
                <w:szCs w:val="22"/>
              </w:rPr>
              <w:fldChar w:fldCharType="end"/>
            </w:r>
          </w:hyperlink>
        </w:p>
        <w:p w14:paraId="669F9E63" w14:textId="7F67DF2A" w:rsidR="00F11B62" w:rsidRPr="00F11B62" w:rsidRDefault="007A2E4F">
          <w:pPr>
            <w:pStyle w:val="TOC3"/>
            <w:tabs>
              <w:tab w:val="left" w:pos="1100"/>
              <w:tab w:val="right" w:leader="dot" w:pos="9016"/>
            </w:tabs>
            <w:rPr>
              <w:rFonts w:ascii="Cambria" w:hAnsi="Cambria"/>
              <w:noProof/>
              <w:sz w:val="22"/>
              <w:szCs w:val="22"/>
              <w:lang w:eastAsia="en-AU"/>
            </w:rPr>
          </w:pPr>
          <w:hyperlink w:anchor="_Toc90470964" w:history="1">
            <w:r w:rsidR="00F11B62" w:rsidRPr="00F11B62">
              <w:rPr>
                <w:rStyle w:val="Hyperlink"/>
                <w:rFonts w:ascii="Cambria" w:eastAsia="Times New Roman" w:hAnsi="Cambria" w:cs="Times New Roman"/>
                <w:noProof/>
                <w:sz w:val="22"/>
                <w:szCs w:val="22"/>
              </w:rPr>
              <w:t>3.5</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Improving river operations and interactions with water markets</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_Toc90470964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8</w:t>
            </w:r>
            <w:r w:rsidR="00F11B62" w:rsidRPr="00F11B62">
              <w:rPr>
                <w:rFonts w:ascii="Cambria" w:hAnsi="Cambria"/>
                <w:noProof/>
                <w:webHidden/>
                <w:sz w:val="22"/>
                <w:szCs w:val="22"/>
              </w:rPr>
              <w:fldChar w:fldCharType="end"/>
            </w:r>
          </w:hyperlink>
        </w:p>
        <w:p w14:paraId="148C2A43" w14:textId="676E16DF" w:rsidR="00F11B62" w:rsidRPr="00F11B62" w:rsidRDefault="007A2E4F">
          <w:pPr>
            <w:pStyle w:val="TOC3"/>
            <w:tabs>
              <w:tab w:val="left" w:pos="1100"/>
              <w:tab w:val="right" w:leader="dot" w:pos="9016"/>
            </w:tabs>
            <w:rPr>
              <w:rFonts w:ascii="Cambria" w:hAnsi="Cambria"/>
              <w:noProof/>
              <w:sz w:val="22"/>
              <w:szCs w:val="22"/>
              <w:lang w:eastAsia="en-AU"/>
            </w:rPr>
          </w:pPr>
          <w:hyperlink w:anchor="_Toc90470965" w:history="1">
            <w:r w:rsidR="00F11B62" w:rsidRPr="00F11B62">
              <w:rPr>
                <w:rStyle w:val="Hyperlink"/>
                <w:rFonts w:ascii="Cambria" w:eastAsia="Times New Roman" w:hAnsi="Cambria" w:cs="Times New Roman"/>
                <w:noProof/>
                <w:sz w:val="22"/>
                <w:szCs w:val="22"/>
              </w:rPr>
              <w:t>3.6</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Improving integration of environmental water delivery and trade</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_Toc90470965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9</w:t>
            </w:r>
            <w:r w:rsidR="00F11B62" w:rsidRPr="00F11B62">
              <w:rPr>
                <w:rFonts w:ascii="Cambria" w:hAnsi="Cambria"/>
                <w:noProof/>
                <w:webHidden/>
                <w:sz w:val="22"/>
                <w:szCs w:val="22"/>
              </w:rPr>
              <w:fldChar w:fldCharType="end"/>
            </w:r>
          </w:hyperlink>
        </w:p>
        <w:p w14:paraId="603E0E33" w14:textId="40F7BD64" w:rsidR="00F11B62" w:rsidRPr="00F11B62" w:rsidRDefault="007A2E4F">
          <w:pPr>
            <w:pStyle w:val="TOC3"/>
            <w:tabs>
              <w:tab w:val="left" w:pos="1100"/>
              <w:tab w:val="right" w:leader="dot" w:pos="9016"/>
            </w:tabs>
            <w:rPr>
              <w:rFonts w:ascii="Cambria" w:hAnsi="Cambria"/>
              <w:noProof/>
              <w:sz w:val="22"/>
              <w:szCs w:val="22"/>
              <w:lang w:eastAsia="en-AU"/>
            </w:rPr>
          </w:pPr>
          <w:hyperlink w:anchor="_Toc90470966" w:history="1">
            <w:r w:rsidR="00F11B62" w:rsidRPr="00F11B62">
              <w:rPr>
                <w:rStyle w:val="Hyperlink"/>
                <w:rFonts w:ascii="Cambria" w:eastAsia="Times New Roman" w:hAnsi="Cambria" w:cs="Times New Roman"/>
                <w:noProof/>
                <w:sz w:val="22"/>
                <w:szCs w:val="22"/>
              </w:rPr>
              <w:t>3.7</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Improving the evidence base for water market policy: research and development</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_Toc90470966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9</w:t>
            </w:r>
            <w:r w:rsidR="00F11B62" w:rsidRPr="00F11B62">
              <w:rPr>
                <w:rFonts w:ascii="Cambria" w:hAnsi="Cambria"/>
                <w:noProof/>
                <w:webHidden/>
                <w:sz w:val="22"/>
                <w:szCs w:val="22"/>
              </w:rPr>
              <w:fldChar w:fldCharType="end"/>
            </w:r>
          </w:hyperlink>
        </w:p>
        <w:p w14:paraId="47B3ADC4" w14:textId="010091CF" w:rsidR="00F11B62" w:rsidRPr="00B03B2C" w:rsidRDefault="007A2E4F" w:rsidP="00B03B2C">
          <w:pPr>
            <w:pStyle w:val="TOC2"/>
            <w:rPr>
              <w:lang w:eastAsia="en-AU"/>
            </w:rPr>
          </w:pPr>
          <w:hyperlink w:anchor="_Toc90470967" w:history="1">
            <w:r w:rsidR="00F11B62" w:rsidRPr="00B03B2C">
              <w:rPr>
                <w:rStyle w:val="Hyperlink"/>
              </w:rPr>
              <w:t>4</w:t>
            </w:r>
            <w:r w:rsidR="00F11B62" w:rsidRPr="00B03B2C">
              <w:rPr>
                <w:lang w:eastAsia="en-AU"/>
              </w:rPr>
              <w:tab/>
            </w:r>
            <w:r w:rsidR="00F11B62" w:rsidRPr="00B03B2C">
              <w:rPr>
                <w:rStyle w:val="Hyperlink"/>
              </w:rPr>
              <w:t>New commitments: in-principle support to new water market reform measures</w:t>
            </w:r>
            <w:r w:rsidR="00F11B62" w:rsidRPr="00B03B2C">
              <w:rPr>
                <w:webHidden/>
              </w:rPr>
              <w:tab/>
            </w:r>
            <w:r w:rsidR="00F11B62" w:rsidRPr="00B03B2C">
              <w:rPr>
                <w:webHidden/>
              </w:rPr>
              <w:fldChar w:fldCharType="begin"/>
            </w:r>
            <w:r w:rsidR="00F11B62" w:rsidRPr="00B03B2C">
              <w:rPr>
                <w:webHidden/>
              </w:rPr>
              <w:instrText xml:space="preserve"> PAGEREF _Toc90470967 \h </w:instrText>
            </w:r>
            <w:r w:rsidR="00F11B62" w:rsidRPr="00B03B2C">
              <w:rPr>
                <w:webHidden/>
              </w:rPr>
            </w:r>
            <w:r w:rsidR="00F11B62" w:rsidRPr="00B03B2C">
              <w:rPr>
                <w:webHidden/>
              </w:rPr>
              <w:fldChar w:fldCharType="separate"/>
            </w:r>
            <w:r w:rsidR="006E1EAC">
              <w:rPr>
                <w:webHidden/>
              </w:rPr>
              <w:t>10</w:t>
            </w:r>
            <w:r w:rsidR="00F11B62" w:rsidRPr="00B03B2C">
              <w:rPr>
                <w:webHidden/>
              </w:rPr>
              <w:fldChar w:fldCharType="end"/>
            </w:r>
          </w:hyperlink>
        </w:p>
        <w:p w14:paraId="531E1FFA" w14:textId="58424D44" w:rsidR="00F11B62" w:rsidRPr="00F11B62" w:rsidRDefault="007A2E4F">
          <w:pPr>
            <w:pStyle w:val="TOC3"/>
            <w:tabs>
              <w:tab w:val="left" w:pos="1100"/>
              <w:tab w:val="right" w:leader="dot" w:pos="9016"/>
            </w:tabs>
            <w:rPr>
              <w:rFonts w:ascii="Cambria" w:hAnsi="Cambria"/>
              <w:noProof/>
              <w:sz w:val="22"/>
              <w:szCs w:val="22"/>
              <w:lang w:eastAsia="en-AU"/>
            </w:rPr>
          </w:pPr>
          <w:hyperlink w:anchor="_Toc90470968" w:history="1">
            <w:r w:rsidR="00F11B62" w:rsidRPr="00F11B62">
              <w:rPr>
                <w:rStyle w:val="Hyperlink"/>
                <w:rFonts w:ascii="Cambria" w:eastAsia="Times New Roman" w:hAnsi="Cambria" w:cs="Times New Roman"/>
                <w:noProof/>
                <w:sz w:val="22"/>
                <w:szCs w:val="22"/>
              </w:rPr>
              <w:t>4.1</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Introduce Commonwealth legislation to establish a Basin-wide mandatory water market intermediaries’ code</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_Toc90470968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10</w:t>
            </w:r>
            <w:r w:rsidR="00F11B62" w:rsidRPr="00F11B62">
              <w:rPr>
                <w:rFonts w:ascii="Cambria" w:hAnsi="Cambria"/>
                <w:noProof/>
                <w:webHidden/>
                <w:sz w:val="22"/>
                <w:szCs w:val="22"/>
              </w:rPr>
              <w:fldChar w:fldCharType="end"/>
            </w:r>
          </w:hyperlink>
        </w:p>
        <w:p w14:paraId="45BDA99D" w14:textId="0FDC8D88" w:rsidR="00F11B62" w:rsidRPr="00F11B62" w:rsidRDefault="007A2E4F">
          <w:pPr>
            <w:pStyle w:val="TOC3"/>
            <w:tabs>
              <w:tab w:val="left" w:pos="1100"/>
              <w:tab w:val="right" w:leader="dot" w:pos="9016"/>
            </w:tabs>
            <w:rPr>
              <w:rFonts w:ascii="Cambria" w:hAnsi="Cambria"/>
              <w:noProof/>
              <w:sz w:val="22"/>
              <w:szCs w:val="22"/>
              <w:lang w:eastAsia="en-AU"/>
            </w:rPr>
          </w:pPr>
          <w:hyperlink w:anchor="_Toc90470969" w:history="1">
            <w:r w:rsidR="00F11B62" w:rsidRPr="00F11B62">
              <w:rPr>
                <w:rStyle w:val="Hyperlink"/>
                <w:rFonts w:ascii="Cambria" w:eastAsia="Times New Roman" w:hAnsi="Cambria" w:cs="Times New Roman"/>
                <w:noProof/>
                <w:sz w:val="22"/>
                <w:szCs w:val="22"/>
              </w:rPr>
              <w:t>4.2</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Introduce Commonwealth legislation to prohibit insider trading and market manipulation across the Murray Darling Basin.</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_Toc90470969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11</w:t>
            </w:r>
            <w:r w:rsidR="00F11B62" w:rsidRPr="00F11B62">
              <w:rPr>
                <w:rFonts w:ascii="Cambria" w:hAnsi="Cambria"/>
                <w:noProof/>
                <w:webHidden/>
                <w:sz w:val="22"/>
                <w:szCs w:val="22"/>
              </w:rPr>
              <w:fldChar w:fldCharType="end"/>
            </w:r>
          </w:hyperlink>
        </w:p>
        <w:p w14:paraId="1820C62D" w14:textId="5C6E68C1" w:rsidR="00F11B62" w:rsidRPr="00F11B62" w:rsidRDefault="007A2E4F">
          <w:pPr>
            <w:pStyle w:val="TOC3"/>
            <w:tabs>
              <w:tab w:val="left" w:pos="1100"/>
              <w:tab w:val="right" w:leader="dot" w:pos="9016"/>
            </w:tabs>
            <w:rPr>
              <w:rFonts w:ascii="Cambria" w:hAnsi="Cambria"/>
              <w:noProof/>
              <w:sz w:val="22"/>
              <w:szCs w:val="22"/>
              <w:lang w:eastAsia="en-AU"/>
            </w:rPr>
          </w:pPr>
          <w:hyperlink w:anchor="_Toc90470970" w:history="1">
            <w:r w:rsidR="00F11B62" w:rsidRPr="00F11B62">
              <w:rPr>
                <w:rStyle w:val="Hyperlink"/>
                <w:rFonts w:ascii="Cambria" w:eastAsia="Times New Roman" w:hAnsi="Cambria" w:cs="Times New Roman"/>
                <w:noProof/>
                <w:sz w:val="22"/>
                <w:szCs w:val="22"/>
              </w:rPr>
              <w:t>4.3</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Collect and publish further trade data, such as reasons for trade and ‘strike-date’ information</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_Toc90470970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12</w:t>
            </w:r>
            <w:r w:rsidR="00F11B62" w:rsidRPr="00F11B62">
              <w:rPr>
                <w:rFonts w:ascii="Cambria" w:hAnsi="Cambria"/>
                <w:noProof/>
                <w:webHidden/>
                <w:sz w:val="22"/>
                <w:szCs w:val="22"/>
              </w:rPr>
              <w:fldChar w:fldCharType="end"/>
            </w:r>
          </w:hyperlink>
        </w:p>
        <w:p w14:paraId="3C5F7388" w14:textId="5DB4118A" w:rsidR="00F11B62" w:rsidRPr="00F11B62" w:rsidRDefault="007A2E4F">
          <w:pPr>
            <w:pStyle w:val="TOC3"/>
            <w:tabs>
              <w:tab w:val="left" w:pos="1100"/>
              <w:tab w:val="right" w:leader="dot" w:pos="9016"/>
            </w:tabs>
            <w:rPr>
              <w:rFonts w:ascii="Cambria" w:hAnsi="Cambria"/>
              <w:noProof/>
              <w:sz w:val="22"/>
              <w:szCs w:val="22"/>
              <w:lang w:eastAsia="en-AU"/>
            </w:rPr>
          </w:pPr>
          <w:hyperlink w:anchor="_Toc90470971" w:history="1">
            <w:r w:rsidR="00F11B62" w:rsidRPr="00F11B62">
              <w:rPr>
                <w:rStyle w:val="Hyperlink"/>
                <w:rFonts w:ascii="Cambria" w:eastAsia="Times New Roman" w:hAnsi="Cambria" w:cs="Times New Roman"/>
                <w:noProof/>
                <w:sz w:val="22"/>
                <w:szCs w:val="22"/>
              </w:rPr>
              <w:t>4.4</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Develop and deliver a Commonwealth led Basin-wide water markets education program</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_Toc90470971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13</w:t>
            </w:r>
            <w:r w:rsidR="00F11B62" w:rsidRPr="00F11B62">
              <w:rPr>
                <w:rFonts w:ascii="Cambria" w:hAnsi="Cambria"/>
                <w:noProof/>
                <w:webHidden/>
                <w:sz w:val="22"/>
                <w:szCs w:val="22"/>
              </w:rPr>
              <w:fldChar w:fldCharType="end"/>
            </w:r>
          </w:hyperlink>
        </w:p>
        <w:p w14:paraId="34DFF150" w14:textId="2404D2DD" w:rsidR="00F11B62" w:rsidRPr="00F11B62" w:rsidRDefault="007A2E4F">
          <w:pPr>
            <w:pStyle w:val="TOC3"/>
            <w:tabs>
              <w:tab w:val="left" w:pos="1100"/>
              <w:tab w:val="right" w:leader="dot" w:pos="9016"/>
            </w:tabs>
            <w:rPr>
              <w:rFonts w:ascii="Cambria" w:hAnsi="Cambria"/>
              <w:noProof/>
              <w:sz w:val="22"/>
              <w:szCs w:val="22"/>
              <w:lang w:eastAsia="en-AU"/>
            </w:rPr>
          </w:pPr>
          <w:hyperlink w:anchor="_Toc90470972" w:history="1">
            <w:r w:rsidR="00F11B62" w:rsidRPr="00F11B62">
              <w:rPr>
                <w:rStyle w:val="Hyperlink"/>
                <w:rFonts w:ascii="Cambria" w:eastAsia="Times New Roman" w:hAnsi="Cambria" w:cs="Times New Roman"/>
                <w:noProof/>
                <w:sz w:val="22"/>
                <w:szCs w:val="22"/>
              </w:rPr>
              <w:t>4.5</w:t>
            </w:r>
            <w:r w:rsidR="00F11B62" w:rsidRPr="00F11B62">
              <w:rPr>
                <w:rFonts w:ascii="Cambria" w:hAnsi="Cambria"/>
                <w:noProof/>
                <w:sz w:val="22"/>
                <w:szCs w:val="22"/>
                <w:lang w:eastAsia="en-AU"/>
              </w:rPr>
              <w:tab/>
            </w:r>
            <w:r w:rsidR="00F11B62" w:rsidRPr="00F11B62">
              <w:rPr>
                <w:rStyle w:val="Hyperlink"/>
                <w:rFonts w:ascii="Cambria" w:eastAsia="Times New Roman" w:hAnsi="Cambria" w:cs="Times New Roman"/>
                <w:noProof/>
                <w:sz w:val="22"/>
                <w:szCs w:val="22"/>
              </w:rPr>
              <w:t>Amend the Basin Plan to remove grandfathered tags exemption at the next available opportunity</w:t>
            </w:r>
            <w:r w:rsidR="00F11B62" w:rsidRPr="00F11B62">
              <w:rPr>
                <w:rFonts w:ascii="Cambria" w:hAnsi="Cambria"/>
                <w:noProof/>
                <w:webHidden/>
                <w:sz w:val="22"/>
                <w:szCs w:val="22"/>
              </w:rPr>
              <w:tab/>
            </w:r>
            <w:r w:rsidR="00F11B62" w:rsidRPr="00F11B62">
              <w:rPr>
                <w:rFonts w:ascii="Cambria" w:hAnsi="Cambria"/>
                <w:noProof/>
                <w:webHidden/>
                <w:sz w:val="22"/>
                <w:szCs w:val="22"/>
              </w:rPr>
              <w:fldChar w:fldCharType="begin"/>
            </w:r>
            <w:r w:rsidR="00F11B62" w:rsidRPr="00F11B62">
              <w:rPr>
                <w:rFonts w:ascii="Cambria" w:hAnsi="Cambria"/>
                <w:noProof/>
                <w:webHidden/>
                <w:sz w:val="22"/>
                <w:szCs w:val="22"/>
              </w:rPr>
              <w:instrText xml:space="preserve"> PAGEREF _Toc90470972 \h </w:instrText>
            </w:r>
            <w:r w:rsidR="00F11B62" w:rsidRPr="00F11B62">
              <w:rPr>
                <w:rFonts w:ascii="Cambria" w:hAnsi="Cambria"/>
                <w:noProof/>
                <w:webHidden/>
                <w:sz w:val="22"/>
                <w:szCs w:val="22"/>
              </w:rPr>
            </w:r>
            <w:r w:rsidR="00F11B62" w:rsidRPr="00F11B62">
              <w:rPr>
                <w:rFonts w:ascii="Cambria" w:hAnsi="Cambria"/>
                <w:noProof/>
                <w:webHidden/>
                <w:sz w:val="22"/>
                <w:szCs w:val="22"/>
              </w:rPr>
              <w:fldChar w:fldCharType="separate"/>
            </w:r>
            <w:r w:rsidR="006E1EAC">
              <w:rPr>
                <w:rFonts w:ascii="Cambria" w:hAnsi="Cambria"/>
                <w:noProof/>
                <w:webHidden/>
                <w:sz w:val="22"/>
                <w:szCs w:val="22"/>
              </w:rPr>
              <w:t>14</w:t>
            </w:r>
            <w:r w:rsidR="00F11B62" w:rsidRPr="00F11B62">
              <w:rPr>
                <w:rFonts w:ascii="Cambria" w:hAnsi="Cambria"/>
                <w:noProof/>
                <w:webHidden/>
                <w:sz w:val="22"/>
                <w:szCs w:val="22"/>
              </w:rPr>
              <w:fldChar w:fldCharType="end"/>
            </w:r>
          </w:hyperlink>
        </w:p>
        <w:p w14:paraId="0E3959CA" w14:textId="4C8DFAAD" w:rsidR="00F11B62" w:rsidRPr="00B03B2C" w:rsidRDefault="007A2E4F" w:rsidP="00B03B2C">
          <w:pPr>
            <w:pStyle w:val="TOC2"/>
            <w:rPr>
              <w:lang w:eastAsia="en-AU"/>
            </w:rPr>
          </w:pPr>
          <w:hyperlink w:anchor="_Toc90470973" w:history="1">
            <w:r w:rsidR="00F11B62" w:rsidRPr="00B03B2C">
              <w:rPr>
                <w:rStyle w:val="Hyperlink"/>
              </w:rPr>
              <w:t>5</w:t>
            </w:r>
            <w:r w:rsidR="00F11B62" w:rsidRPr="00B03B2C">
              <w:rPr>
                <w:lang w:eastAsia="en-AU"/>
              </w:rPr>
              <w:tab/>
            </w:r>
            <w:r w:rsidR="00F11B62" w:rsidRPr="00B03B2C">
              <w:rPr>
                <w:rStyle w:val="Hyperlink"/>
              </w:rPr>
              <w:t>Further development of the roadmap</w:t>
            </w:r>
            <w:r w:rsidR="00F11B62" w:rsidRPr="00B03B2C">
              <w:rPr>
                <w:webHidden/>
              </w:rPr>
              <w:tab/>
            </w:r>
            <w:r w:rsidR="00F11B62" w:rsidRPr="00B03B2C">
              <w:rPr>
                <w:webHidden/>
              </w:rPr>
              <w:fldChar w:fldCharType="begin"/>
            </w:r>
            <w:r w:rsidR="00F11B62" w:rsidRPr="00B03B2C">
              <w:rPr>
                <w:webHidden/>
              </w:rPr>
              <w:instrText xml:space="preserve"> PAGEREF _Toc90470973 \h </w:instrText>
            </w:r>
            <w:r w:rsidR="00F11B62" w:rsidRPr="00B03B2C">
              <w:rPr>
                <w:webHidden/>
              </w:rPr>
            </w:r>
            <w:r w:rsidR="00F11B62" w:rsidRPr="00B03B2C">
              <w:rPr>
                <w:webHidden/>
              </w:rPr>
              <w:fldChar w:fldCharType="separate"/>
            </w:r>
            <w:r w:rsidR="006E1EAC">
              <w:rPr>
                <w:webHidden/>
              </w:rPr>
              <w:t>15</w:t>
            </w:r>
            <w:r w:rsidR="00F11B62" w:rsidRPr="00B03B2C">
              <w:rPr>
                <w:webHidden/>
              </w:rPr>
              <w:fldChar w:fldCharType="end"/>
            </w:r>
          </w:hyperlink>
        </w:p>
        <w:p w14:paraId="4936580C" w14:textId="2C6A4C96" w:rsidR="00F11B62" w:rsidRPr="00B03B2C" w:rsidRDefault="007A2E4F">
          <w:pPr>
            <w:pStyle w:val="TOC1"/>
            <w:tabs>
              <w:tab w:val="right" w:leader="dot" w:pos="9016"/>
            </w:tabs>
            <w:rPr>
              <w:rFonts w:ascii="Cambria" w:hAnsi="Cambria"/>
              <w:b/>
              <w:bCs/>
              <w:noProof/>
              <w:sz w:val="22"/>
              <w:szCs w:val="22"/>
              <w:lang w:eastAsia="en-AU"/>
            </w:rPr>
          </w:pPr>
          <w:hyperlink w:anchor="_Toc90470974" w:history="1">
            <w:r w:rsidR="00F11B62" w:rsidRPr="00B03B2C">
              <w:rPr>
                <w:rStyle w:val="Hyperlink"/>
                <w:rFonts w:ascii="Cambria" w:hAnsi="Cambria" w:cstheme="minorHAnsi"/>
                <w:b/>
                <w:bCs/>
                <w:noProof/>
                <w:sz w:val="22"/>
                <w:szCs w:val="22"/>
              </w:rPr>
              <w:t>Appendix A</w:t>
            </w:r>
            <w:r w:rsidR="007661F2" w:rsidRPr="00B03B2C">
              <w:rPr>
                <w:rStyle w:val="Hyperlink"/>
                <w:rFonts w:ascii="Cambria" w:hAnsi="Cambria" w:cstheme="minorHAnsi"/>
                <w:b/>
                <w:bCs/>
                <w:noProof/>
                <w:sz w:val="22"/>
                <w:szCs w:val="22"/>
              </w:rPr>
              <w:t>: Scope of Work</w:t>
            </w:r>
            <w:r w:rsidR="00F11B62" w:rsidRPr="00B03B2C">
              <w:rPr>
                <w:rFonts w:ascii="Cambria" w:hAnsi="Cambria"/>
                <w:b/>
                <w:bCs/>
                <w:noProof/>
                <w:webHidden/>
                <w:sz w:val="22"/>
                <w:szCs w:val="22"/>
              </w:rPr>
              <w:tab/>
            </w:r>
            <w:r w:rsidR="00F11B62" w:rsidRPr="00B03B2C">
              <w:rPr>
                <w:rFonts w:ascii="Cambria" w:hAnsi="Cambria"/>
                <w:b/>
                <w:bCs/>
                <w:noProof/>
                <w:webHidden/>
                <w:sz w:val="22"/>
                <w:szCs w:val="22"/>
              </w:rPr>
              <w:fldChar w:fldCharType="begin"/>
            </w:r>
            <w:r w:rsidR="00F11B62" w:rsidRPr="00B03B2C">
              <w:rPr>
                <w:rFonts w:ascii="Cambria" w:hAnsi="Cambria"/>
                <w:b/>
                <w:bCs/>
                <w:noProof/>
                <w:webHidden/>
                <w:sz w:val="22"/>
                <w:szCs w:val="22"/>
              </w:rPr>
              <w:instrText xml:space="preserve"> PAGEREF _Toc90470974 \h </w:instrText>
            </w:r>
            <w:r w:rsidR="00F11B62" w:rsidRPr="00B03B2C">
              <w:rPr>
                <w:rFonts w:ascii="Cambria" w:hAnsi="Cambria"/>
                <w:b/>
                <w:bCs/>
                <w:noProof/>
                <w:webHidden/>
                <w:sz w:val="22"/>
                <w:szCs w:val="22"/>
              </w:rPr>
            </w:r>
            <w:r w:rsidR="00F11B62" w:rsidRPr="00B03B2C">
              <w:rPr>
                <w:rFonts w:ascii="Cambria" w:hAnsi="Cambria"/>
                <w:b/>
                <w:bCs/>
                <w:noProof/>
                <w:webHidden/>
                <w:sz w:val="22"/>
                <w:szCs w:val="22"/>
              </w:rPr>
              <w:fldChar w:fldCharType="separate"/>
            </w:r>
            <w:r w:rsidR="006E1EAC">
              <w:rPr>
                <w:rFonts w:ascii="Cambria" w:hAnsi="Cambria"/>
                <w:b/>
                <w:bCs/>
                <w:noProof/>
                <w:webHidden/>
                <w:sz w:val="22"/>
                <w:szCs w:val="22"/>
              </w:rPr>
              <w:t>17</w:t>
            </w:r>
            <w:r w:rsidR="00F11B62" w:rsidRPr="00B03B2C">
              <w:rPr>
                <w:rFonts w:ascii="Cambria" w:hAnsi="Cambria"/>
                <w:b/>
                <w:bCs/>
                <w:noProof/>
                <w:webHidden/>
                <w:sz w:val="22"/>
                <w:szCs w:val="22"/>
              </w:rPr>
              <w:fldChar w:fldCharType="end"/>
            </w:r>
          </w:hyperlink>
        </w:p>
        <w:p w14:paraId="5653DE3D" w14:textId="3FDF623F" w:rsidR="007B544A" w:rsidRPr="00F11B62" w:rsidRDefault="007A2E4F" w:rsidP="00F11B62">
          <w:pPr>
            <w:pStyle w:val="TOC1"/>
            <w:tabs>
              <w:tab w:val="right" w:leader="dot" w:pos="9016"/>
            </w:tabs>
            <w:rPr>
              <w:rFonts w:ascii="Cambria" w:hAnsi="Cambria"/>
              <w:noProof/>
              <w:sz w:val="22"/>
              <w:szCs w:val="22"/>
              <w:lang w:eastAsia="en-AU"/>
            </w:rPr>
            <w:sectPr w:rsidR="007B544A" w:rsidRPr="00F11B62" w:rsidSect="005B0032">
              <w:headerReference w:type="default" r:id="rId12"/>
              <w:footerReference w:type="default" r:id="rId13"/>
              <w:headerReference w:type="first" r:id="rId14"/>
              <w:footerReference w:type="first" r:id="rId15"/>
              <w:pgSz w:w="11906" w:h="16838"/>
              <w:pgMar w:top="1418" w:right="1440" w:bottom="1134" w:left="1440" w:header="851" w:footer="708" w:gutter="0"/>
              <w:cols w:space="708"/>
              <w:titlePg/>
              <w:docGrid w:linePitch="360"/>
            </w:sectPr>
          </w:pPr>
          <w:hyperlink w:anchor="_Toc90470982" w:history="1">
            <w:r w:rsidR="00F11B62" w:rsidRPr="00B03B2C">
              <w:rPr>
                <w:rStyle w:val="Hyperlink"/>
                <w:rFonts w:ascii="Cambria" w:hAnsi="Cambria" w:cstheme="minorHAnsi"/>
                <w:b/>
                <w:bCs/>
                <w:noProof/>
                <w:sz w:val="22"/>
                <w:szCs w:val="22"/>
              </w:rPr>
              <w:t>Appendix B: Actions underway to improve water markets and address issues identified by the ACCC</w:t>
            </w:r>
            <w:r w:rsidR="00F11B62" w:rsidRPr="00B03B2C">
              <w:rPr>
                <w:rFonts w:ascii="Cambria" w:hAnsi="Cambria"/>
                <w:b/>
                <w:bCs/>
                <w:noProof/>
                <w:webHidden/>
                <w:sz w:val="22"/>
                <w:szCs w:val="22"/>
              </w:rPr>
              <w:tab/>
            </w:r>
            <w:r w:rsidR="00F11B62" w:rsidRPr="00B03B2C">
              <w:rPr>
                <w:rFonts w:ascii="Cambria" w:hAnsi="Cambria"/>
                <w:b/>
                <w:bCs/>
                <w:noProof/>
                <w:webHidden/>
                <w:sz w:val="22"/>
                <w:szCs w:val="22"/>
              </w:rPr>
              <w:fldChar w:fldCharType="begin"/>
            </w:r>
            <w:r w:rsidR="00F11B62" w:rsidRPr="00B03B2C">
              <w:rPr>
                <w:rFonts w:ascii="Cambria" w:hAnsi="Cambria"/>
                <w:b/>
                <w:bCs/>
                <w:noProof/>
                <w:webHidden/>
                <w:sz w:val="22"/>
                <w:szCs w:val="22"/>
              </w:rPr>
              <w:instrText xml:space="preserve"> PAGEREF _Toc90470982 \h </w:instrText>
            </w:r>
            <w:r w:rsidR="00F11B62" w:rsidRPr="00B03B2C">
              <w:rPr>
                <w:rFonts w:ascii="Cambria" w:hAnsi="Cambria"/>
                <w:b/>
                <w:bCs/>
                <w:noProof/>
                <w:webHidden/>
                <w:sz w:val="22"/>
                <w:szCs w:val="22"/>
              </w:rPr>
            </w:r>
            <w:r w:rsidR="00F11B62" w:rsidRPr="00B03B2C">
              <w:rPr>
                <w:rFonts w:ascii="Cambria" w:hAnsi="Cambria"/>
                <w:b/>
                <w:bCs/>
                <w:noProof/>
                <w:webHidden/>
                <w:sz w:val="22"/>
                <w:szCs w:val="22"/>
              </w:rPr>
              <w:fldChar w:fldCharType="separate"/>
            </w:r>
            <w:r w:rsidR="006E1EAC">
              <w:rPr>
                <w:rFonts w:ascii="Cambria" w:hAnsi="Cambria"/>
                <w:b/>
                <w:bCs/>
                <w:noProof/>
                <w:webHidden/>
                <w:sz w:val="22"/>
                <w:szCs w:val="22"/>
              </w:rPr>
              <w:t>19</w:t>
            </w:r>
            <w:r w:rsidR="00F11B62" w:rsidRPr="00B03B2C">
              <w:rPr>
                <w:rFonts w:ascii="Cambria" w:hAnsi="Cambria"/>
                <w:b/>
                <w:bCs/>
                <w:noProof/>
                <w:webHidden/>
                <w:sz w:val="22"/>
                <w:szCs w:val="22"/>
              </w:rPr>
              <w:fldChar w:fldCharType="end"/>
            </w:r>
          </w:hyperlink>
          <w:r w:rsidR="00F11B62" w:rsidRPr="00F11B62">
            <w:rPr>
              <w:rFonts w:ascii="Cambria" w:hAnsi="Cambria"/>
              <w:noProof/>
              <w:sz w:val="22"/>
              <w:szCs w:val="22"/>
            </w:rPr>
            <w:fldChar w:fldCharType="end"/>
          </w:r>
        </w:p>
      </w:sdtContent>
    </w:sdt>
    <w:p w14:paraId="0F7691A7" w14:textId="15022C06" w:rsidR="00F74601" w:rsidRPr="00F11B62" w:rsidRDefault="00875DA1" w:rsidP="00F11B62">
      <w:pPr>
        <w:pStyle w:val="Heading2"/>
        <w:keepNext w:val="0"/>
        <w:keepLines w:val="0"/>
        <w:pageBreakBefore/>
        <w:spacing w:before="0" w:after="240"/>
        <w:ind w:left="720" w:hanging="720"/>
        <w:rPr>
          <w:rFonts w:ascii="Calibri" w:eastAsiaTheme="minorEastAsia" w:hAnsi="Calibri" w:cstheme="minorBidi"/>
          <w:bCs/>
          <w:color w:val="000000"/>
          <w:sz w:val="56"/>
          <w:lang w:eastAsia="ja-JP"/>
        </w:rPr>
      </w:pPr>
      <w:bookmarkStart w:id="2" w:name="_Toc90470950"/>
      <w:r w:rsidRPr="00F11B62">
        <w:rPr>
          <w:rFonts w:ascii="Calibri" w:eastAsiaTheme="minorEastAsia" w:hAnsi="Calibri" w:cstheme="minorBidi"/>
          <w:bCs/>
          <w:color w:val="000000"/>
          <w:sz w:val="56"/>
          <w:lang w:eastAsia="ja-JP"/>
        </w:rPr>
        <w:lastRenderedPageBreak/>
        <w:t>1</w:t>
      </w:r>
      <w:r w:rsidR="00A66C57" w:rsidRPr="00F11B62">
        <w:rPr>
          <w:rFonts w:ascii="Calibri" w:eastAsiaTheme="minorEastAsia" w:hAnsi="Calibri" w:cstheme="minorBidi"/>
          <w:bCs/>
          <w:color w:val="000000"/>
          <w:sz w:val="56"/>
          <w:lang w:eastAsia="ja-JP"/>
        </w:rPr>
        <w:tab/>
      </w:r>
      <w:r w:rsidR="008E5658" w:rsidRPr="00F11B62">
        <w:rPr>
          <w:rFonts w:ascii="Calibri" w:eastAsiaTheme="minorEastAsia" w:hAnsi="Calibri" w:cstheme="minorBidi"/>
          <w:bCs/>
          <w:color w:val="000000"/>
          <w:sz w:val="56"/>
          <w:lang w:eastAsia="ja-JP"/>
        </w:rPr>
        <w:t>Introduction</w:t>
      </w:r>
      <w:bookmarkEnd w:id="2"/>
    </w:p>
    <w:p w14:paraId="79DCF101" w14:textId="3646C8E9" w:rsidR="00875DA1" w:rsidRPr="00C66F0F" w:rsidRDefault="000721C1" w:rsidP="00C66F0F">
      <w:pPr>
        <w:pStyle w:val="Heading3"/>
        <w:spacing w:before="0"/>
        <w:ind w:left="964" w:hanging="964"/>
        <w:rPr>
          <w:rFonts w:ascii="Calibri" w:eastAsia="Times New Roman" w:hAnsi="Calibri" w:cs="Times New Roman"/>
          <w:b/>
          <w:bCs/>
          <w:color w:val="auto"/>
          <w:sz w:val="36"/>
        </w:rPr>
      </w:pPr>
      <w:bookmarkStart w:id="3" w:name="_Toc90470951"/>
      <w:r w:rsidRPr="00C66F0F">
        <w:rPr>
          <w:rFonts w:ascii="Calibri" w:eastAsia="Times New Roman" w:hAnsi="Calibri" w:cs="Times New Roman"/>
          <w:b/>
          <w:bCs/>
          <w:color w:val="auto"/>
          <w:sz w:val="36"/>
        </w:rPr>
        <w:t>1.1</w:t>
      </w:r>
      <w:r w:rsidR="008C17EB">
        <w:rPr>
          <w:rFonts w:ascii="Calibri" w:eastAsia="Times New Roman" w:hAnsi="Calibri" w:cs="Times New Roman"/>
          <w:b/>
          <w:bCs/>
          <w:color w:val="auto"/>
          <w:sz w:val="36"/>
        </w:rPr>
        <w:tab/>
      </w:r>
      <w:r w:rsidR="00875DA1" w:rsidRPr="00C66F0F">
        <w:rPr>
          <w:rFonts w:ascii="Calibri" w:eastAsia="Times New Roman" w:hAnsi="Calibri" w:cs="Times New Roman"/>
          <w:b/>
          <w:bCs/>
          <w:color w:val="auto"/>
          <w:sz w:val="36"/>
        </w:rPr>
        <w:t>Preamble</w:t>
      </w:r>
      <w:bookmarkEnd w:id="3"/>
    </w:p>
    <w:p w14:paraId="541AEC72" w14:textId="4BF302B3" w:rsidR="00E7729D" w:rsidRPr="00B364AD" w:rsidRDefault="006B4C4E" w:rsidP="00DE7EB7">
      <w:pPr>
        <w:spacing w:after="200" w:line="276" w:lineRule="auto"/>
        <w:rPr>
          <w:rFonts w:ascii="Cambria" w:hAnsi="Cambria"/>
          <w:sz w:val="22"/>
          <w:szCs w:val="22"/>
        </w:rPr>
      </w:pPr>
      <w:r w:rsidRPr="00946BDF">
        <w:rPr>
          <w:rFonts w:ascii="Cambria" w:hAnsi="Cambria"/>
          <w:sz w:val="22"/>
          <w:szCs w:val="22"/>
        </w:rPr>
        <w:t>The Murray</w:t>
      </w:r>
      <w:r w:rsidR="009426B6">
        <w:rPr>
          <w:rFonts w:ascii="Cambria" w:hAnsi="Cambria"/>
          <w:sz w:val="22"/>
          <w:szCs w:val="22"/>
        </w:rPr>
        <w:t>–</w:t>
      </w:r>
      <w:r w:rsidRPr="00946BDF">
        <w:rPr>
          <w:rFonts w:ascii="Cambria" w:hAnsi="Cambria"/>
          <w:sz w:val="22"/>
          <w:szCs w:val="22"/>
        </w:rPr>
        <w:t>Darling Basin</w:t>
      </w:r>
      <w:r w:rsidR="005B0505" w:rsidRPr="00946BDF">
        <w:rPr>
          <w:rFonts w:ascii="Cambria" w:hAnsi="Cambria"/>
          <w:sz w:val="22"/>
          <w:szCs w:val="22"/>
        </w:rPr>
        <w:t xml:space="preserve"> </w:t>
      </w:r>
      <w:r w:rsidR="00026EA5">
        <w:rPr>
          <w:rFonts w:ascii="Cambria" w:hAnsi="Cambria"/>
          <w:sz w:val="22"/>
          <w:szCs w:val="22"/>
        </w:rPr>
        <w:t xml:space="preserve">(the Basin) </w:t>
      </w:r>
      <w:r w:rsidR="005B0505" w:rsidRPr="00946BDF">
        <w:rPr>
          <w:rFonts w:ascii="Cambria" w:hAnsi="Cambria"/>
          <w:sz w:val="22"/>
          <w:szCs w:val="22"/>
        </w:rPr>
        <w:t>is</w:t>
      </w:r>
      <w:r w:rsidRPr="00946BDF">
        <w:rPr>
          <w:rFonts w:ascii="Cambria" w:hAnsi="Cambria"/>
          <w:sz w:val="22"/>
          <w:szCs w:val="22"/>
        </w:rPr>
        <w:t xml:space="preserve"> Australia’s largest river system,</w:t>
      </w:r>
      <w:r w:rsidR="00E30E4E" w:rsidRPr="00946BDF">
        <w:rPr>
          <w:rFonts w:ascii="Cambria" w:hAnsi="Cambria"/>
          <w:sz w:val="22"/>
          <w:szCs w:val="22"/>
        </w:rPr>
        <w:t xml:space="preserve"> home to 2.2 million people</w:t>
      </w:r>
      <w:r w:rsidR="005B0505" w:rsidRPr="00946BDF">
        <w:rPr>
          <w:rFonts w:ascii="Cambria" w:hAnsi="Cambria"/>
          <w:sz w:val="22"/>
          <w:szCs w:val="22"/>
        </w:rPr>
        <w:t xml:space="preserve"> and produc</w:t>
      </w:r>
      <w:r w:rsidR="00610AEC">
        <w:rPr>
          <w:rFonts w:ascii="Cambria" w:hAnsi="Cambria"/>
          <w:sz w:val="22"/>
          <w:szCs w:val="22"/>
        </w:rPr>
        <w:t>ing</w:t>
      </w:r>
      <w:r w:rsidR="005B0505" w:rsidRPr="00946BDF">
        <w:rPr>
          <w:rFonts w:ascii="Cambria" w:hAnsi="Cambria"/>
          <w:sz w:val="22"/>
          <w:szCs w:val="22"/>
        </w:rPr>
        <w:t xml:space="preserve"> around </w:t>
      </w:r>
      <w:r w:rsidR="00A21414" w:rsidRPr="00946BDF">
        <w:rPr>
          <w:rFonts w:ascii="Cambria" w:hAnsi="Cambria"/>
          <w:sz w:val="22"/>
          <w:szCs w:val="22"/>
        </w:rPr>
        <w:t>40</w:t>
      </w:r>
      <w:r w:rsidR="005B0505" w:rsidRPr="00946BDF">
        <w:rPr>
          <w:rFonts w:ascii="Cambria" w:hAnsi="Cambria"/>
          <w:sz w:val="22"/>
          <w:szCs w:val="22"/>
        </w:rPr>
        <w:t>% of our</w:t>
      </w:r>
      <w:r w:rsidR="00E67FAA" w:rsidRPr="00946BDF">
        <w:rPr>
          <w:rFonts w:ascii="Cambria" w:hAnsi="Cambria"/>
          <w:sz w:val="22"/>
          <w:szCs w:val="22"/>
        </w:rPr>
        <w:t xml:space="preserve"> national food and fibre</w:t>
      </w:r>
      <w:r w:rsidR="001D4EDF" w:rsidRPr="00946BDF">
        <w:rPr>
          <w:rFonts w:ascii="Cambria" w:hAnsi="Cambria"/>
          <w:sz w:val="22"/>
          <w:szCs w:val="22"/>
        </w:rPr>
        <w:t>.</w:t>
      </w:r>
      <w:r w:rsidR="00A21414" w:rsidRPr="00946BDF">
        <w:rPr>
          <w:rStyle w:val="FootnoteReference"/>
          <w:rFonts w:ascii="Cambria" w:hAnsi="Cambria"/>
          <w:sz w:val="22"/>
          <w:szCs w:val="22"/>
        </w:rPr>
        <w:footnoteReference w:id="2"/>
      </w:r>
      <w:r w:rsidR="001D4EDF" w:rsidRPr="00946BDF">
        <w:rPr>
          <w:rFonts w:ascii="Cambria" w:hAnsi="Cambria"/>
          <w:sz w:val="22"/>
          <w:szCs w:val="22"/>
        </w:rPr>
        <w:t xml:space="preserve"> But w</w:t>
      </w:r>
      <w:r w:rsidR="009F1BE1" w:rsidRPr="00946BDF">
        <w:rPr>
          <w:rFonts w:ascii="Cambria" w:hAnsi="Cambria"/>
          <w:sz w:val="22"/>
          <w:szCs w:val="22"/>
        </w:rPr>
        <w:t>ater in the Basin is scarce</w:t>
      </w:r>
      <w:r w:rsidR="001D4EDF" w:rsidRPr="00946BDF">
        <w:rPr>
          <w:rFonts w:ascii="Cambria" w:hAnsi="Cambria"/>
          <w:sz w:val="22"/>
          <w:szCs w:val="22"/>
        </w:rPr>
        <w:t>,</w:t>
      </w:r>
      <w:r w:rsidR="009F1BE1" w:rsidRPr="00946BDF">
        <w:rPr>
          <w:rFonts w:ascii="Cambria" w:hAnsi="Cambria"/>
          <w:sz w:val="22"/>
          <w:szCs w:val="22"/>
        </w:rPr>
        <w:t xml:space="preserve"> </w:t>
      </w:r>
      <w:r w:rsidR="00924827" w:rsidRPr="00196F14">
        <w:rPr>
          <w:rFonts w:ascii="Cambria" w:hAnsi="Cambria"/>
          <w:sz w:val="22"/>
          <w:szCs w:val="22"/>
        </w:rPr>
        <w:t xml:space="preserve">becoming more so over time, </w:t>
      </w:r>
      <w:r w:rsidR="009F1BE1" w:rsidRPr="002D0794">
        <w:rPr>
          <w:rFonts w:ascii="Cambria" w:hAnsi="Cambria"/>
          <w:sz w:val="22"/>
          <w:szCs w:val="22"/>
        </w:rPr>
        <w:t>and where it is valued most change</w:t>
      </w:r>
      <w:r w:rsidR="005276E5" w:rsidRPr="002D0794">
        <w:rPr>
          <w:rFonts w:ascii="Cambria" w:hAnsi="Cambria"/>
          <w:sz w:val="22"/>
          <w:szCs w:val="22"/>
        </w:rPr>
        <w:t>s</w:t>
      </w:r>
      <w:r w:rsidR="009F1BE1" w:rsidRPr="002D0794">
        <w:rPr>
          <w:rFonts w:ascii="Cambria" w:hAnsi="Cambria"/>
          <w:sz w:val="22"/>
          <w:szCs w:val="22"/>
        </w:rPr>
        <w:t xml:space="preserve"> </w:t>
      </w:r>
      <w:r w:rsidR="005276E5" w:rsidRPr="002D0794">
        <w:rPr>
          <w:rFonts w:ascii="Cambria" w:hAnsi="Cambria"/>
          <w:sz w:val="22"/>
          <w:szCs w:val="22"/>
        </w:rPr>
        <w:t>over time</w:t>
      </w:r>
      <w:r w:rsidR="009F1BE1" w:rsidRPr="004E56A1">
        <w:rPr>
          <w:rFonts w:ascii="Cambria" w:hAnsi="Cambria"/>
          <w:sz w:val="22"/>
          <w:szCs w:val="22"/>
        </w:rPr>
        <w:t xml:space="preserve">. </w:t>
      </w:r>
      <w:r w:rsidR="00924827" w:rsidRPr="00EB7CDA">
        <w:rPr>
          <w:rFonts w:ascii="Cambria" w:hAnsi="Cambria"/>
          <w:sz w:val="22"/>
          <w:szCs w:val="22"/>
        </w:rPr>
        <w:t xml:space="preserve">  </w:t>
      </w:r>
    </w:p>
    <w:p w14:paraId="6E54E37E" w14:textId="791B6038" w:rsidR="00175B3E" w:rsidRDefault="00342EEA" w:rsidP="00DE7EB7">
      <w:pPr>
        <w:spacing w:after="200" w:line="276" w:lineRule="auto"/>
        <w:rPr>
          <w:rFonts w:ascii="Cambria" w:hAnsi="Cambria"/>
          <w:sz w:val="22"/>
          <w:szCs w:val="22"/>
        </w:rPr>
      </w:pPr>
      <w:r w:rsidRPr="00196F14">
        <w:rPr>
          <w:rFonts w:ascii="Cambria" w:hAnsi="Cambria"/>
          <w:sz w:val="22"/>
          <w:szCs w:val="22"/>
        </w:rPr>
        <w:t xml:space="preserve">Despite current </w:t>
      </w:r>
      <w:r w:rsidR="00807354" w:rsidRPr="00196F14">
        <w:rPr>
          <w:rFonts w:ascii="Cambria" w:hAnsi="Cambria"/>
          <w:sz w:val="22"/>
          <w:szCs w:val="22"/>
        </w:rPr>
        <w:t>La Nina conditions being experienced in many parts of the Basin, t</w:t>
      </w:r>
      <w:r w:rsidR="00E356A9" w:rsidRPr="00196F14">
        <w:rPr>
          <w:rFonts w:ascii="Cambria" w:hAnsi="Cambria"/>
          <w:sz w:val="22"/>
          <w:szCs w:val="22"/>
        </w:rPr>
        <w:t>here is</w:t>
      </w:r>
      <w:r w:rsidR="00A974FA" w:rsidRPr="00196F14">
        <w:rPr>
          <w:rFonts w:ascii="Cambria" w:hAnsi="Cambria"/>
          <w:sz w:val="22"/>
          <w:szCs w:val="22"/>
        </w:rPr>
        <w:t xml:space="preserve"> inescapable</w:t>
      </w:r>
      <w:r w:rsidR="0035706A" w:rsidRPr="00196F14">
        <w:rPr>
          <w:rFonts w:ascii="Cambria" w:hAnsi="Cambria"/>
          <w:sz w:val="22"/>
          <w:szCs w:val="22"/>
        </w:rPr>
        <w:t xml:space="preserve"> evidence of a very large reduction in the </w:t>
      </w:r>
      <w:r w:rsidR="00E74B19" w:rsidRPr="00196F14">
        <w:rPr>
          <w:rFonts w:ascii="Cambria" w:hAnsi="Cambria"/>
          <w:sz w:val="22"/>
          <w:szCs w:val="22"/>
        </w:rPr>
        <w:t xml:space="preserve">Basin’s </w:t>
      </w:r>
      <w:r w:rsidR="0035706A" w:rsidRPr="00196F14">
        <w:rPr>
          <w:rFonts w:ascii="Cambria" w:hAnsi="Cambria"/>
          <w:sz w:val="22"/>
          <w:szCs w:val="22"/>
        </w:rPr>
        <w:t>water ‘</w:t>
      </w:r>
      <w:r w:rsidR="00340E43" w:rsidRPr="00196F14">
        <w:rPr>
          <w:rFonts w:ascii="Cambria" w:hAnsi="Cambria"/>
          <w:sz w:val="22"/>
          <w:szCs w:val="22"/>
        </w:rPr>
        <w:t>yield</w:t>
      </w:r>
      <w:r w:rsidR="0035706A" w:rsidRPr="00196F14">
        <w:rPr>
          <w:rFonts w:ascii="Cambria" w:hAnsi="Cambria"/>
          <w:sz w:val="22"/>
          <w:szCs w:val="22"/>
        </w:rPr>
        <w:t>’</w:t>
      </w:r>
      <w:r w:rsidR="009565FE" w:rsidRPr="00196F14">
        <w:rPr>
          <w:rFonts w:ascii="Cambria" w:hAnsi="Cambria"/>
          <w:sz w:val="22"/>
          <w:szCs w:val="22"/>
        </w:rPr>
        <w:t xml:space="preserve"> </w:t>
      </w:r>
      <w:r w:rsidR="00340E43" w:rsidRPr="00196F14">
        <w:rPr>
          <w:rFonts w:ascii="Cambria" w:hAnsi="Cambria"/>
          <w:sz w:val="22"/>
          <w:szCs w:val="22"/>
        </w:rPr>
        <w:t>over the last 20 years</w:t>
      </w:r>
      <w:r w:rsidR="00A974FA" w:rsidRPr="00196F14">
        <w:rPr>
          <w:rFonts w:ascii="Cambria" w:hAnsi="Cambria"/>
          <w:sz w:val="22"/>
          <w:szCs w:val="22"/>
        </w:rPr>
        <w:t xml:space="preserve">, </w:t>
      </w:r>
      <w:r w:rsidR="00FA3B0D" w:rsidRPr="00196F14">
        <w:rPr>
          <w:rFonts w:ascii="Cambria" w:hAnsi="Cambria"/>
          <w:sz w:val="22"/>
          <w:szCs w:val="22"/>
        </w:rPr>
        <w:t>50</w:t>
      </w:r>
      <w:r w:rsidR="00A974FA" w:rsidRPr="00196F14">
        <w:rPr>
          <w:rFonts w:ascii="Cambria" w:hAnsi="Cambria"/>
          <w:sz w:val="22"/>
          <w:szCs w:val="22"/>
        </w:rPr>
        <w:t>%</w:t>
      </w:r>
      <w:r w:rsidR="009D2226" w:rsidRPr="00196F14">
        <w:rPr>
          <w:rFonts w:ascii="Cambria" w:hAnsi="Cambria"/>
          <w:sz w:val="22"/>
          <w:szCs w:val="22"/>
        </w:rPr>
        <w:t xml:space="preserve"> by some estimates</w:t>
      </w:r>
      <w:r w:rsidR="00A974FA" w:rsidRPr="00196F14">
        <w:rPr>
          <w:rFonts w:ascii="Cambria" w:hAnsi="Cambria"/>
          <w:sz w:val="22"/>
          <w:szCs w:val="22"/>
        </w:rPr>
        <w:t>.</w:t>
      </w:r>
      <w:r w:rsidR="00C859E6" w:rsidRPr="00C859E6">
        <w:rPr>
          <w:rStyle w:val="FootnoteReference"/>
          <w:rFonts w:ascii="Cambria" w:hAnsi="Cambria"/>
          <w:sz w:val="22"/>
          <w:szCs w:val="22"/>
        </w:rPr>
        <w:t xml:space="preserve"> </w:t>
      </w:r>
      <w:r w:rsidR="00C859E6" w:rsidRPr="00196F14">
        <w:rPr>
          <w:rStyle w:val="FootnoteReference"/>
          <w:rFonts w:ascii="Cambria" w:hAnsi="Cambria"/>
          <w:sz w:val="22"/>
          <w:szCs w:val="22"/>
        </w:rPr>
        <w:footnoteReference w:id="3"/>
      </w:r>
      <w:r w:rsidR="00A974FA" w:rsidRPr="00196F14">
        <w:rPr>
          <w:rFonts w:ascii="Cambria" w:hAnsi="Cambria"/>
          <w:sz w:val="22"/>
          <w:szCs w:val="22"/>
        </w:rPr>
        <w:t xml:space="preserve">  </w:t>
      </w:r>
      <w:r w:rsidR="00CC5D49">
        <w:rPr>
          <w:rFonts w:ascii="Cambria" w:hAnsi="Cambria"/>
          <w:sz w:val="22"/>
          <w:szCs w:val="22"/>
        </w:rPr>
        <w:t>G</w:t>
      </w:r>
      <w:r w:rsidR="00827544">
        <w:rPr>
          <w:rFonts w:ascii="Cambria" w:hAnsi="Cambria"/>
          <w:sz w:val="22"/>
          <w:szCs w:val="22"/>
        </w:rPr>
        <w:t xml:space="preserve">overnments have </w:t>
      </w:r>
      <w:r w:rsidR="00CC5D49">
        <w:rPr>
          <w:rFonts w:ascii="Cambria" w:hAnsi="Cambria"/>
          <w:sz w:val="22"/>
          <w:szCs w:val="22"/>
        </w:rPr>
        <w:t>also</w:t>
      </w:r>
      <w:r w:rsidR="00827544">
        <w:rPr>
          <w:rFonts w:ascii="Cambria" w:hAnsi="Cambria"/>
          <w:sz w:val="22"/>
          <w:szCs w:val="22"/>
        </w:rPr>
        <w:t xml:space="preserve"> reduce</w:t>
      </w:r>
      <w:r w:rsidR="00CC5D49">
        <w:rPr>
          <w:rFonts w:ascii="Cambria" w:hAnsi="Cambria"/>
          <w:sz w:val="22"/>
          <w:szCs w:val="22"/>
        </w:rPr>
        <w:t>d</w:t>
      </w:r>
      <w:r w:rsidR="00827544">
        <w:rPr>
          <w:rFonts w:ascii="Cambria" w:hAnsi="Cambria"/>
          <w:sz w:val="22"/>
          <w:szCs w:val="22"/>
        </w:rPr>
        <w:t xml:space="preserve"> the </w:t>
      </w:r>
      <w:r w:rsidR="00F60EEA">
        <w:rPr>
          <w:rFonts w:ascii="Cambria" w:hAnsi="Cambria"/>
          <w:sz w:val="22"/>
          <w:szCs w:val="22"/>
        </w:rPr>
        <w:t xml:space="preserve">volume of </w:t>
      </w:r>
      <w:r w:rsidR="002F1C3C">
        <w:rPr>
          <w:rFonts w:ascii="Cambria" w:hAnsi="Cambria"/>
          <w:sz w:val="22"/>
          <w:szCs w:val="22"/>
        </w:rPr>
        <w:t xml:space="preserve">water </w:t>
      </w:r>
      <w:r w:rsidR="00CC5D49">
        <w:rPr>
          <w:rFonts w:ascii="Cambria" w:hAnsi="Cambria"/>
          <w:sz w:val="22"/>
          <w:szCs w:val="22"/>
        </w:rPr>
        <w:t xml:space="preserve">available for consumption within </w:t>
      </w:r>
      <w:r w:rsidR="00827544">
        <w:rPr>
          <w:rFonts w:ascii="Cambria" w:hAnsi="Cambria"/>
          <w:sz w:val="22"/>
          <w:szCs w:val="22"/>
        </w:rPr>
        <w:t xml:space="preserve">the </w:t>
      </w:r>
      <w:r w:rsidR="00E74B19">
        <w:rPr>
          <w:rFonts w:ascii="Cambria" w:hAnsi="Cambria"/>
          <w:sz w:val="22"/>
          <w:szCs w:val="22"/>
        </w:rPr>
        <w:t>Basin</w:t>
      </w:r>
      <w:r w:rsidR="00994CAA">
        <w:rPr>
          <w:rFonts w:ascii="Cambria" w:hAnsi="Cambria"/>
          <w:sz w:val="22"/>
          <w:szCs w:val="22"/>
        </w:rPr>
        <w:t xml:space="preserve">, </w:t>
      </w:r>
      <w:r w:rsidR="006E7FC5">
        <w:rPr>
          <w:rFonts w:ascii="Cambria" w:hAnsi="Cambria"/>
          <w:sz w:val="22"/>
          <w:szCs w:val="22"/>
        </w:rPr>
        <w:t>with</w:t>
      </w:r>
      <w:r w:rsidR="00994CAA">
        <w:rPr>
          <w:rFonts w:ascii="Cambria" w:hAnsi="Cambria"/>
          <w:sz w:val="22"/>
          <w:szCs w:val="22"/>
        </w:rPr>
        <w:t xml:space="preserve"> </w:t>
      </w:r>
      <w:r w:rsidR="00994CAA" w:rsidRPr="00994CAA">
        <w:rPr>
          <w:rFonts w:ascii="Cambria" w:hAnsi="Cambria"/>
          <w:sz w:val="22"/>
          <w:szCs w:val="22"/>
        </w:rPr>
        <w:t>2,10</w:t>
      </w:r>
      <w:r w:rsidR="00CC5D49">
        <w:rPr>
          <w:rFonts w:ascii="Cambria" w:hAnsi="Cambria"/>
          <w:sz w:val="22"/>
          <w:szCs w:val="22"/>
        </w:rPr>
        <w:t>0</w:t>
      </w:r>
      <w:r w:rsidR="00994CAA" w:rsidRPr="00994CAA">
        <w:rPr>
          <w:rFonts w:ascii="Cambria" w:hAnsi="Cambria"/>
          <w:sz w:val="22"/>
          <w:szCs w:val="22"/>
        </w:rPr>
        <w:t xml:space="preserve"> GL/y</w:t>
      </w:r>
      <w:r w:rsidR="00994CAA">
        <w:rPr>
          <w:rFonts w:ascii="Cambria" w:hAnsi="Cambria"/>
          <w:sz w:val="22"/>
          <w:szCs w:val="22"/>
        </w:rPr>
        <w:t xml:space="preserve"> </w:t>
      </w:r>
      <w:r w:rsidR="00A95B16">
        <w:rPr>
          <w:rFonts w:ascii="Cambria" w:hAnsi="Cambria"/>
          <w:sz w:val="22"/>
          <w:szCs w:val="22"/>
        </w:rPr>
        <w:t xml:space="preserve">of surface water and </w:t>
      </w:r>
      <w:r w:rsidR="00F3629C">
        <w:rPr>
          <w:rFonts w:ascii="Cambria" w:hAnsi="Cambria"/>
          <w:sz w:val="22"/>
          <w:szCs w:val="22"/>
        </w:rPr>
        <w:t>35.2 GL/y of groundwater recovered for the environment</w:t>
      </w:r>
      <w:r w:rsidR="003F5B7D">
        <w:rPr>
          <w:rStyle w:val="FootnoteReference"/>
          <w:rFonts w:ascii="Cambria" w:hAnsi="Cambria"/>
          <w:sz w:val="22"/>
          <w:szCs w:val="22"/>
        </w:rPr>
        <w:footnoteReference w:id="4"/>
      </w:r>
      <w:r w:rsidR="00CC5D49">
        <w:rPr>
          <w:rFonts w:ascii="Cambria" w:hAnsi="Cambria"/>
          <w:sz w:val="22"/>
          <w:szCs w:val="22"/>
        </w:rPr>
        <w:t xml:space="preserve"> </w:t>
      </w:r>
      <w:r w:rsidR="00175B3E">
        <w:rPr>
          <w:rFonts w:ascii="Cambria" w:hAnsi="Cambria"/>
          <w:sz w:val="22"/>
          <w:szCs w:val="22"/>
        </w:rPr>
        <w:t>t</w:t>
      </w:r>
      <w:r w:rsidR="00CC5D49">
        <w:rPr>
          <w:rFonts w:ascii="Cambria" w:hAnsi="Cambria"/>
          <w:sz w:val="22"/>
          <w:szCs w:val="22"/>
        </w:rPr>
        <w:t>o date</w:t>
      </w:r>
      <w:r w:rsidR="00175B3E">
        <w:rPr>
          <w:rFonts w:ascii="Cambria" w:hAnsi="Cambria"/>
          <w:sz w:val="22"/>
          <w:szCs w:val="22"/>
        </w:rPr>
        <w:t xml:space="preserve">, </w:t>
      </w:r>
      <w:r w:rsidR="006F5A3D">
        <w:rPr>
          <w:rFonts w:ascii="Cambria" w:hAnsi="Cambria"/>
          <w:sz w:val="22"/>
          <w:szCs w:val="22"/>
        </w:rPr>
        <w:t xml:space="preserve">targeting a total of </w:t>
      </w:r>
      <w:r w:rsidR="00175B3E">
        <w:rPr>
          <w:rFonts w:ascii="Cambria" w:hAnsi="Cambria"/>
          <w:sz w:val="22"/>
          <w:szCs w:val="22"/>
        </w:rPr>
        <w:t>2750</w:t>
      </w:r>
      <w:r w:rsidR="006F5A3D">
        <w:rPr>
          <w:rFonts w:ascii="Cambria" w:hAnsi="Cambria"/>
          <w:sz w:val="22"/>
          <w:szCs w:val="22"/>
        </w:rPr>
        <w:t xml:space="preserve"> GL </w:t>
      </w:r>
      <w:r w:rsidR="00175B3E">
        <w:rPr>
          <w:rFonts w:ascii="Cambria" w:hAnsi="Cambria"/>
          <w:sz w:val="22"/>
          <w:szCs w:val="22"/>
        </w:rPr>
        <w:t xml:space="preserve">by 2024 under the Basin Plan.  </w:t>
      </w:r>
      <w:r w:rsidR="00F3629C">
        <w:rPr>
          <w:rFonts w:ascii="Cambria" w:hAnsi="Cambria"/>
          <w:sz w:val="22"/>
          <w:szCs w:val="22"/>
        </w:rPr>
        <w:t xml:space="preserve"> </w:t>
      </w:r>
    </w:p>
    <w:p w14:paraId="4D00C2B6" w14:textId="10D54E28" w:rsidR="00944EB0" w:rsidRDefault="00920189" w:rsidP="00DE7EB7">
      <w:pPr>
        <w:spacing w:after="200" w:line="276" w:lineRule="auto"/>
        <w:rPr>
          <w:rFonts w:ascii="Cambria" w:hAnsi="Cambria"/>
          <w:sz w:val="22"/>
          <w:szCs w:val="22"/>
        </w:rPr>
      </w:pPr>
      <w:r w:rsidRPr="00946BDF">
        <w:rPr>
          <w:rFonts w:ascii="Cambria" w:hAnsi="Cambria"/>
          <w:sz w:val="22"/>
          <w:szCs w:val="22"/>
        </w:rPr>
        <w:t>We are also seeing strong</w:t>
      </w:r>
      <w:r w:rsidR="001758EA" w:rsidRPr="00946BDF">
        <w:rPr>
          <w:rFonts w:ascii="Cambria" w:hAnsi="Cambria"/>
          <w:sz w:val="22"/>
          <w:szCs w:val="22"/>
        </w:rPr>
        <w:t xml:space="preserve"> </w:t>
      </w:r>
      <w:r w:rsidRPr="00946BDF">
        <w:rPr>
          <w:rFonts w:ascii="Cambria" w:hAnsi="Cambria"/>
          <w:sz w:val="22"/>
          <w:szCs w:val="22"/>
        </w:rPr>
        <w:t>d</w:t>
      </w:r>
      <w:r w:rsidR="001758EA" w:rsidRPr="00946BDF">
        <w:rPr>
          <w:rFonts w:ascii="Cambria" w:hAnsi="Cambria"/>
          <w:sz w:val="22"/>
          <w:szCs w:val="22"/>
        </w:rPr>
        <w:t xml:space="preserve">emand for </w:t>
      </w:r>
      <w:r w:rsidR="00B7375D" w:rsidRPr="00946BDF">
        <w:rPr>
          <w:rFonts w:ascii="Cambria" w:hAnsi="Cambria"/>
          <w:sz w:val="22"/>
          <w:szCs w:val="22"/>
        </w:rPr>
        <w:t>A</w:t>
      </w:r>
      <w:r w:rsidR="001758EA" w:rsidRPr="00946BDF">
        <w:rPr>
          <w:rFonts w:ascii="Cambria" w:hAnsi="Cambria"/>
          <w:sz w:val="22"/>
          <w:szCs w:val="22"/>
        </w:rPr>
        <w:t>ustralia’s food products</w:t>
      </w:r>
      <w:r w:rsidR="00610AEC">
        <w:rPr>
          <w:rFonts w:ascii="Cambria" w:hAnsi="Cambria"/>
          <w:sz w:val="22"/>
          <w:szCs w:val="22"/>
        </w:rPr>
        <w:t>,</w:t>
      </w:r>
      <w:r w:rsidR="001758EA" w:rsidRPr="00946BDF">
        <w:rPr>
          <w:rFonts w:ascii="Cambria" w:hAnsi="Cambria"/>
          <w:sz w:val="22"/>
          <w:szCs w:val="22"/>
        </w:rPr>
        <w:t xml:space="preserve"> and therefore</w:t>
      </w:r>
      <w:r w:rsidR="00E356A9" w:rsidRPr="00946BDF">
        <w:rPr>
          <w:rFonts w:ascii="Cambria" w:hAnsi="Cambria"/>
          <w:sz w:val="22"/>
          <w:szCs w:val="22"/>
        </w:rPr>
        <w:t xml:space="preserve"> critical inputs such as water</w:t>
      </w:r>
      <w:r w:rsidR="00542659" w:rsidRPr="00946BDF">
        <w:rPr>
          <w:rFonts w:ascii="Cambria" w:hAnsi="Cambria"/>
          <w:sz w:val="22"/>
          <w:szCs w:val="22"/>
        </w:rPr>
        <w:t>, and the highest levels of profitability in</w:t>
      </w:r>
      <w:r w:rsidR="00F32457" w:rsidRPr="00946BDF">
        <w:rPr>
          <w:rFonts w:ascii="Cambria" w:hAnsi="Cambria"/>
          <w:sz w:val="22"/>
          <w:szCs w:val="22"/>
        </w:rPr>
        <w:t xml:space="preserve"> agriculture for many years.</w:t>
      </w:r>
      <w:r w:rsidR="00175B3E">
        <w:rPr>
          <w:rFonts w:ascii="Cambria" w:hAnsi="Cambria"/>
          <w:sz w:val="22"/>
          <w:szCs w:val="22"/>
        </w:rPr>
        <w:t xml:space="preserve">  Together</w:t>
      </w:r>
      <w:r w:rsidR="00610AEC">
        <w:rPr>
          <w:rFonts w:ascii="Cambria" w:hAnsi="Cambria"/>
          <w:sz w:val="22"/>
          <w:szCs w:val="22"/>
        </w:rPr>
        <w:t>,</w:t>
      </w:r>
      <w:r w:rsidR="00175B3E">
        <w:rPr>
          <w:rFonts w:ascii="Cambria" w:hAnsi="Cambria"/>
          <w:sz w:val="22"/>
          <w:szCs w:val="22"/>
        </w:rPr>
        <w:t xml:space="preserve"> these trends have seen substantial increases in water and rural land values.</w:t>
      </w:r>
    </w:p>
    <w:p w14:paraId="14A648D1" w14:textId="4262F3D9" w:rsidR="00924827" w:rsidRDefault="00FE04B1" w:rsidP="00DE7EB7">
      <w:pPr>
        <w:spacing w:after="200" w:line="276" w:lineRule="auto"/>
        <w:rPr>
          <w:rFonts w:ascii="Cambria" w:hAnsi="Cambria"/>
          <w:sz w:val="22"/>
          <w:szCs w:val="22"/>
        </w:rPr>
      </w:pPr>
      <w:r w:rsidRPr="00946BDF">
        <w:rPr>
          <w:rFonts w:ascii="Cambria" w:hAnsi="Cambria"/>
          <w:sz w:val="22"/>
          <w:szCs w:val="22"/>
        </w:rPr>
        <w:t xml:space="preserve">There is good reason to believe </w:t>
      </w:r>
      <w:r w:rsidR="00F32457" w:rsidRPr="00946BDF">
        <w:rPr>
          <w:rFonts w:ascii="Cambria" w:hAnsi="Cambria"/>
          <w:sz w:val="22"/>
          <w:szCs w:val="22"/>
        </w:rPr>
        <w:t>these trends</w:t>
      </w:r>
      <w:r w:rsidR="00816132" w:rsidRPr="00946BDF">
        <w:rPr>
          <w:rFonts w:ascii="Cambria" w:hAnsi="Cambria"/>
          <w:sz w:val="22"/>
          <w:szCs w:val="22"/>
        </w:rPr>
        <w:t xml:space="preserve"> will be sustained for</w:t>
      </w:r>
      <w:r w:rsidR="009429A3" w:rsidRPr="00946BDF">
        <w:rPr>
          <w:rFonts w:ascii="Cambria" w:hAnsi="Cambria"/>
          <w:sz w:val="22"/>
          <w:szCs w:val="22"/>
        </w:rPr>
        <w:t xml:space="preserve"> some time</w:t>
      </w:r>
      <w:r w:rsidR="00D348B0">
        <w:rPr>
          <w:rFonts w:ascii="Cambria" w:hAnsi="Cambria"/>
          <w:sz w:val="22"/>
          <w:szCs w:val="22"/>
        </w:rPr>
        <w:t>. Therefore</w:t>
      </w:r>
      <w:r w:rsidR="00944EB0">
        <w:rPr>
          <w:rFonts w:ascii="Cambria" w:hAnsi="Cambria"/>
          <w:sz w:val="22"/>
          <w:szCs w:val="22"/>
        </w:rPr>
        <w:t>,</w:t>
      </w:r>
      <w:r w:rsidR="009429A3" w:rsidRPr="00946BDF">
        <w:rPr>
          <w:rFonts w:ascii="Cambria" w:hAnsi="Cambria"/>
          <w:sz w:val="22"/>
          <w:szCs w:val="22"/>
        </w:rPr>
        <w:t xml:space="preserve"> an efficient </w:t>
      </w:r>
      <w:r w:rsidR="007B7CCC" w:rsidRPr="00946BDF">
        <w:rPr>
          <w:rFonts w:ascii="Cambria" w:hAnsi="Cambria"/>
          <w:sz w:val="22"/>
          <w:szCs w:val="22"/>
        </w:rPr>
        <w:t xml:space="preserve">market for trading and accessing </w:t>
      </w:r>
      <w:r w:rsidR="00E74B19">
        <w:rPr>
          <w:rFonts w:ascii="Cambria" w:hAnsi="Cambria"/>
          <w:sz w:val="22"/>
          <w:szCs w:val="22"/>
        </w:rPr>
        <w:t xml:space="preserve">Basin </w:t>
      </w:r>
      <w:r w:rsidR="007B7CCC" w:rsidRPr="00946BDF">
        <w:rPr>
          <w:rFonts w:ascii="Cambria" w:hAnsi="Cambria"/>
          <w:sz w:val="22"/>
          <w:szCs w:val="22"/>
        </w:rPr>
        <w:t>water is</w:t>
      </w:r>
      <w:r w:rsidR="0077087E" w:rsidRPr="00946BDF">
        <w:rPr>
          <w:rFonts w:ascii="Cambria" w:hAnsi="Cambria"/>
          <w:sz w:val="22"/>
          <w:szCs w:val="22"/>
        </w:rPr>
        <w:t xml:space="preserve"> a high priority</w:t>
      </w:r>
      <w:r w:rsidR="00F60EEA">
        <w:rPr>
          <w:rFonts w:ascii="Cambria" w:hAnsi="Cambria"/>
          <w:sz w:val="22"/>
          <w:szCs w:val="22"/>
        </w:rPr>
        <w:t xml:space="preserve">, to ensure that </w:t>
      </w:r>
      <w:r w:rsidR="00175B3E">
        <w:rPr>
          <w:rFonts w:ascii="Cambria" w:hAnsi="Cambria"/>
          <w:sz w:val="22"/>
          <w:szCs w:val="22"/>
        </w:rPr>
        <w:t xml:space="preserve">Australia makes </w:t>
      </w:r>
      <w:r w:rsidR="00F60EEA">
        <w:rPr>
          <w:rFonts w:ascii="Cambria" w:hAnsi="Cambria"/>
          <w:sz w:val="22"/>
          <w:szCs w:val="22"/>
        </w:rPr>
        <w:t>the most</w:t>
      </w:r>
      <w:r w:rsidR="00175B3E">
        <w:rPr>
          <w:rFonts w:ascii="Cambria" w:hAnsi="Cambria"/>
          <w:sz w:val="22"/>
          <w:szCs w:val="22"/>
        </w:rPr>
        <w:t xml:space="preserve"> of this frequently scarce asset,</w:t>
      </w:r>
      <w:r w:rsidR="008A5B2C">
        <w:rPr>
          <w:rFonts w:ascii="Cambria" w:hAnsi="Cambria"/>
          <w:sz w:val="22"/>
          <w:szCs w:val="22"/>
        </w:rPr>
        <w:t xml:space="preserve"> and that</w:t>
      </w:r>
      <w:r w:rsidR="000902A3">
        <w:rPr>
          <w:rFonts w:ascii="Cambria" w:hAnsi="Cambria"/>
          <w:sz w:val="22"/>
          <w:szCs w:val="22"/>
        </w:rPr>
        <w:t xml:space="preserve"> the water</w:t>
      </w:r>
      <w:r w:rsidR="008A5B2C">
        <w:rPr>
          <w:rFonts w:ascii="Cambria" w:hAnsi="Cambria"/>
          <w:sz w:val="22"/>
          <w:szCs w:val="22"/>
        </w:rPr>
        <w:t xml:space="preserve"> </w:t>
      </w:r>
      <w:r w:rsidR="00FE5CD1">
        <w:rPr>
          <w:rFonts w:ascii="Cambria" w:hAnsi="Cambria"/>
          <w:sz w:val="22"/>
          <w:szCs w:val="22"/>
        </w:rPr>
        <w:t>market remains robust and resilient to support water users and communities throughout all stages of climatic cycles</w:t>
      </w:r>
      <w:r w:rsidR="0077087E" w:rsidRPr="00946BDF">
        <w:rPr>
          <w:rFonts w:ascii="Cambria" w:hAnsi="Cambria"/>
          <w:sz w:val="22"/>
          <w:szCs w:val="22"/>
        </w:rPr>
        <w:t>.</w:t>
      </w:r>
    </w:p>
    <w:p w14:paraId="2746D1CF" w14:textId="2663EC4D" w:rsidR="001244A9" w:rsidRDefault="001244A9" w:rsidP="001244A9">
      <w:pPr>
        <w:spacing w:after="200" w:line="276" w:lineRule="auto"/>
        <w:rPr>
          <w:rFonts w:ascii="Cambria" w:hAnsi="Cambria"/>
          <w:sz w:val="22"/>
          <w:szCs w:val="22"/>
        </w:rPr>
      </w:pPr>
      <w:r>
        <w:rPr>
          <w:rFonts w:ascii="Cambria" w:hAnsi="Cambria"/>
          <w:sz w:val="22"/>
          <w:szCs w:val="22"/>
        </w:rPr>
        <w:t>This advice is largely a progress update on work completed to date to develop a water market reform roadmap for the Murray–Darling Basin</w:t>
      </w:r>
      <w:r w:rsidR="00077B5B">
        <w:rPr>
          <w:rFonts w:ascii="Cambria" w:hAnsi="Cambria"/>
          <w:sz w:val="22"/>
          <w:szCs w:val="22"/>
        </w:rPr>
        <w:t xml:space="preserve"> since the appointment of the Principal Adviser on 25 October 2021. It also includes </w:t>
      </w:r>
      <w:r w:rsidR="00955492">
        <w:rPr>
          <w:rFonts w:ascii="Cambria" w:hAnsi="Cambria"/>
          <w:sz w:val="22"/>
          <w:szCs w:val="22"/>
        </w:rPr>
        <w:t xml:space="preserve">an outline of progress </w:t>
      </w:r>
      <w:r w:rsidR="009C0A49">
        <w:rPr>
          <w:rFonts w:ascii="Cambria" w:hAnsi="Cambria"/>
          <w:sz w:val="22"/>
          <w:szCs w:val="22"/>
        </w:rPr>
        <w:t xml:space="preserve">outside </w:t>
      </w:r>
      <w:r w:rsidR="00610AEC">
        <w:rPr>
          <w:rFonts w:ascii="Cambria" w:hAnsi="Cambria"/>
          <w:sz w:val="22"/>
          <w:szCs w:val="22"/>
        </w:rPr>
        <w:t xml:space="preserve">of </w:t>
      </w:r>
      <w:r w:rsidR="009C0A49">
        <w:rPr>
          <w:rFonts w:ascii="Cambria" w:hAnsi="Cambria"/>
          <w:sz w:val="22"/>
          <w:szCs w:val="22"/>
        </w:rPr>
        <w:t>this process, which has been pursued by Basin governments</w:t>
      </w:r>
      <w:r w:rsidR="00B714A8">
        <w:rPr>
          <w:rFonts w:ascii="Cambria" w:hAnsi="Cambria"/>
          <w:sz w:val="22"/>
          <w:szCs w:val="22"/>
        </w:rPr>
        <w:t>,</w:t>
      </w:r>
      <w:r w:rsidR="009C0A49">
        <w:rPr>
          <w:rFonts w:ascii="Cambria" w:hAnsi="Cambria"/>
          <w:sz w:val="22"/>
          <w:szCs w:val="22"/>
        </w:rPr>
        <w:t xml:space="preserve"> to address the findings of the </w:t>
      </w:r>
      <w:r w:rsidR="009C0A49" w:rsidRPr="00B40EAF">
        <w:rPr>
          <w:rFonts w:ascii="Cambria" w:hAnsi="Cambria"/>
          <w:sz w:val="22"/>
          <w:szCs w:val="22"/>
        </w:rPr>
        <w:t>Australian Competition and Consumer Commission</w:t>
      </w:r>
      <w:r w:rsidR="009C0A49">
        <w:rPr>
          <w:rFonts w:ascii="Cambria" w:hAnsi="Cambria"/>
          <w:sz w:val="22"/>
          <w:szCs w:val="22"/>
        </w:rPr>
        <w:t xml:space="preserve"> (</w:t>
      </w:r>
      <w:r w:rsidR="009C0A49" w:rsidRPr="00946BDF">
        <w:rPr>
          <w:rFonts w:ascii="Cambria" w:hAnsi="Cambria"/>
          <w:sz w:val="22"/>
          <w:szCs w:val="22"/>
        </w:rPr>
        <w:t>ACCC</w:t>
      </w:r>
      <w:r w:rsidR="009C0A49">
        <w:rPr>
          <w:rFonts w:ascii="Cambria" w:hAnsi="Cambria"/>
          <w:sz w:val="22"/>
          <w:szCs w:val="22"/>
        </w:rPr>
        <w:t>)</w:t>
      </w:r>
      <w:r w:rsidR="005E59FF">
        <w:rPr>
          <w:rFonts w:ascii="Cambria" w:hAnsi="Cambria"/>
          <w:sz w:val="22"/>
          <w:szCs w:val="22"/>
        </w:rPr>
        <w:t xml:space="preserve"> Inquiry since </w:t>
      </w:r>
      <w:r w:rsidR="00B714A8">
        <w:rPr>
          <w:rFonts w:ascii="Cambria" w:hAnsi="Cambria"/>
          <w:sz w:val="22"/>
          <w:szCs w:val="22"/>
        </w:rPr>
        <w:t xml:space="preserve">the release of </w:t>
      </w:r>
      <w:r w:rsidR="005E59FF">
        <w:rPr>
          <w:rFonts w:ascii="Cambria" w:hAnsi="Cambria"/>
          <w:sz w:val="22"/>
          <w:szCs w:val="22"/>
        </w:rPr>
        <w:t xml:space="preserve">its </w:t>
      </w:r>
      <w:r w:rsidR="00B714A8">
        <w:rPr>
          <w:rFonts w:ascii="Cambria" w:hAnsi="Cambria"/>
          <w:sz w:val="22"/>
          <w:szCs w:val="22"/>
        </w:rPr>
        <w:t xml:space="preserve">report </w:t>
      </w:r>
      <w:r w:rsidR="005E59FF">
        <w:rPr>
          <w:rFonts w:ascii="Cambria" w:hAnsi="Cambria"/>
          <w:sz w:val="22"/>
          <w:szCs w:val="22"/>
        </w:rPr>
        <w:t xml:space="preserve">in March 2021. </w:t>
      </w:r>
      <w:r w:rsidR="00DB7D45">
        <w:rPr>
          <w:rFonts w:ascii="Cambria" w:hAnsi="Cambria"/>
          <w:sz w:val="22"/>
          <w:szCs w:val="22"/>
        </w:rPr>
        <w:t>I</w:t>
      </w:r>
      <w:r w:rsidR="00122E17">
        <w:rPr>
          <w:rFonts w:ascii="Cambria" w:hAnsi="Cambria"/>
          <w:sz w:val="22"/>
          <w:szCs w:val="22"/>
        </w:rPr>
        <w:t xml:space="preserve">t </w:t>
      </w:r>
      <w:r w:rsidR="00DB7D45">
        <w:rPr>
          <w:rFonts w:ascii="Cambria" w:hAnsi="Cambria"/>
          <w:sz w:val="22"/>
          <w:szCs w:val="22"/>
        </w:rPr>
        <w:t xml:space="preserve">also </w:t>
      </w:r>
      <w:r w:rsidR="00122E17">
        <w:rPr>
          <w:rFonts w:ascii="Cambria" w:hAnsi="Cambria"/>
          <w:sz w:val="22"/>
          <w:szCs w:val="22"/>
        </w:rPr>
        <w:t xml:space="preserve">includes new </w:t>
      </w:r>
      <w:r w:rsidR="005F5F19">
        <w:rPr>
          <w:rFonts w:ascii="Cambria" w:hAnsi="Cambria"/>
          <w:sz w:val="22"/>
          <w:szCs w:val="22"/>
        </w:rPr>
        <w:t xml:space="preserve">measures, supported by Basin states, that can be </w:t>
      </w:r>
      <w:r w:rsidR="00403EFE">
        <w:rPr>
          <w:rFonts w:ascii="Cambria" w:hAnsi="Cambria"/>
          <w:sz w:val="22"/>
          <w:szCs w:val="22"/>
        </w:rPr>
        <w:t xml:space="preserve">implemented </w:t>
      </w:r>
      <w:r w:rsidR="005F5F19">
        <w:rPr>
          <w:rFonts w:ascii="Cambria" w:hAnsi="Cambria"/>
          <w:sz w:val="22"/>
          <w:szCs w:val="22"/>
        </w:rPr>
        <w:t xml:space="preserve">quickly </w:t>
      </w:r>
      <w:r w:rsidR="00DB7D45">
        <w:rPr>
          <w:rFonts w:ascii="Cambria" w:hAnsi="Cambria"/>
          <w:sz w:val="22"/>
          <w:szCs w:val="22"/>
        </w:rPr>
        <w:t>as evidence of Governments’ commitment to improving the functioning of our water markets and to increase</w:t>
      </w:r>
      <w:r w:rsidR="00403EFE" w:rsidRPr="00403EFE">
        <w:rPr>
          <w:rFonts w:ascii="Cambria" w:hAnsi="Cambria"/>
          <w:sz w:val="22"/>
          <w:szCs w:val="22"/>
        </w:rPr>
        <w:t xml:space="preserve"> confidence in </w:t>
      </w:r>
      <w:r w:rsidR="00403EFE">
        <w:rPr>
          <w:rFonts w:ascii="Cambria" w:hAnsi="Cambria"/>
          <w:sz w:val="22"/>
          <w:szCs w:val="22"/>
        </w:rPr>
        <w:t xml:space="preserve">Basin </w:t>
      </w:r>
      <w:r w:rsidR="00403EFE" w:rsidRPr="00403EFE">
        <w:rPr>
          <w:rFonts w:ascii="Cambria" w:hAnsi="Cambria"/>
          <w:sz w:val="22"/>
          <w:szCs w:val="22"/>
        </w:rPr>
        <w:t>water markets</w:t>
      </w:r>
      <w:r w:rsidR="00403EFE">
        <w:rPr>
          <w:rFonts w:ascii="Cambria" w:hAnsi="Cambria"/>
          <w:sz w:val="22"/>
          <w:szCs w:val="22"/>
        </w:rPr>
        <w:t>.</w:t>
      </w:r>
    </w:p>
    <w:p w14:paraId="0BA7339B" w14:textId="28FA427E" w:rsidR="00B714A8" w:rsidRDefault="002C1EA0" w:rsidP="001244A9">
      <w:pPr>
        <w:spacing w:after="200" w:line="276" w:lineRule="auto"/>
        <w:rPr>
          <w:rFonts w:ascii="Cambria" w:hAnsi="Cambria"/>
          <w:sz w:val="22"/>
          <w:szCs w:val="22"/>
        </w:rPr>
      </w:pPr>
      <w:r>
        <w:rPr>
          <w:noProof/>
        </w:rPr>
        <w:drawing>
          <wp:anchor distT="0" distB="0" distL="114300" distR="114300" simplePos="0" relativeHeight="251658240" behindDoc="0" locked="0" layoutInCell="1" allowOverlap="1" wp14:anchorId="75B1A48A" wp14:editId="3D263FB9">
            <wp:simplePos x="0" y="0"/>
            <wp:positionH relativeFrom="column">
              <wp:posOffset>-83127</wp:posOffset>
            </wp:positionH>
            <wp:positionV relativeFrom="paragraph">
              <wp:posOffset>842356</wp:posOffset>
            </wp:positionV>
            <wp:extent cx="4529860" cy="1184564"/>
            <wp:effectExtent l="0" t="0" r="4445" b="0"/>
            <wp:wrapNone/>
            <wp:docPr id="2" name="Picture 2"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49421" cy="1189679"/>
                    </a:xfrm>
                    <a:prstGeom prst="rect">
                      <a:avLst/>
                    </a:prstGeom>
                  </pic:spPr>
                </pic:pic>
              </a:graphicData>
            </a:graphic>
            <wp14:sizeRelH relativeFrom="page">
              <wp14:pctWidth>0</wp14:pctWidth>
            </wp14:sizeRelH>
            <wp14:sizeRelV relativeFrom="page">
              <wp14:pctHeight>0</wp14:pctHeight>
            </wp14:sizeRelV>
          </wp:anchor>
        </w:drawing>
      </w:r>
      <w:r w:rsidR="00B714A8">
        <w:rPr>
          <w:rFonts w:ascii="Cambria" w:hAnsi="Cambria"/>
          <w:sz w:val="22"/>
          <w:szCs w:val="22"/>
        </w:rPr>
        <w:t xml:space="preserve">Final advice </w:t>
      </w:r>
      <w:r w:rsidR="00A43126">
        <w:rPr>
          <w:rFonts w:ascii="Cambria" w:hAnsi="Cambria"/>
          <w:sz w:val="22"/>
          <w:szCs w:val="22"/>
        </w:rPr>
        <w:t xml:space="preserve">in the form of a roadmap will be provided in accordance with the </w:t>
      </w:r>
      <w:r w:rsidR="00426378">
        <w:rPr>
          <w:rFonts w:ascii="Cambria" w:hAnsi="Cambria"/>
          <w:sz w:val="22"/>
          <w:szCs w:val="22"/>
        </w:rPr>
        <w:t>Principal Adviser’s scope of work</w:t>
      </w:r>
      <w:r w:rsidR="004903AC">
        <w:rPr>
          <w:rFonts w:ascii="Cambria" w:hAnsi="Cambria"/>
          <w:sz w:val="22"/>
          <w:szCs w:val="22"/>
        </w:rPr>
        <w:t xml:space="preserve"> (see Appendix A)</w:t>
      </w:r>
      <w:r w:rsidR="00426378">
        <w:rPr>
          <w:rFonts w:ascii="Cambria" w:hAnsi="Cambria"/>
          <w:sz w:val="22"/>
          <w:szCs w:val="22"/>
        </w:rPr>
        <w:t xml:space="preserve"> in June 2022. </w:t>
      </w:r>
      <w:r w:rsidR="00E41DB2">
        <w:rPr>
          <w:rFonts w:ascii="Cambria" w:hAnsi="Cambria"/>
          <w:sz w:val="22"/>
          <w:szCs w:val="22"/>
        </w:rPr>
        <w:t xml:space="preserve">It will then be up to Basin governments to confirm and support these </w:t>
      </w:r>
      <w:r w:rsidR="007A2E4F">
        <w:rPr>
          <w:rFonts w:ascii="Cambria" w:hAnsi="Cambria"/>
          <w:sz w:val="22"/>
          <w:szCs w:val="22"/>
        </w:rPr>
        <w:t>initiatives and</w:t>
      </w:r>
      <w:r w:rsidR="00E41DB2">
        <w:rPr>
          <w:rFonts w:ascii="Cambria" w:hAnsi="Cambria"/>
          <w:sz w:val="22"/>
          <w:szCs w:val="22"/>
        </w:rPr>
        <w:t xml:space="preserve"> continue to work closely with stakeholders and communities to implement the reforms.</w:t>
      </w:r>
      <w:r w:rsidRPr="002C1EA0">
        <w:rPr>
          <w:noProof/>
        </w:rPr>
        <w:t xml:space="preserve"> </w:t>
      </w:r>
    </w:p>
    <w:p w14:paraId="62EBBED9" w14:textId="33D880CD" w:rsidR="001244A9" w:rsidRDefault="001244A9" w:rsidP="00EE0928">
      <w:pPr>
        <w:spacing w:after="200" w:line="276" w:lineRule="auto"/>
        <w:jc w:val="center"/>
        <w:rPr>
          <w:rFonts w:ascii="Cambria" w:hAnsi="Cambria"/>
          <w:sz w:val="22"/>
          <w:szCs w:val="22"/>
        </w:rPr>
      </w:pPr>
    </w:p>
    <w:p w14:paraId="638959CC" w14:textId="23D5959F" w:rsidR="001244A9" w:rsidRDefault="001244A9" w:rsidP="00DE7EB7">
      <w:pPr>
        <w:spacing w:after="200" w:line="276" w:lineRule="auto"/>
        <w:rPr>
          <w:rFonts w:ascii="Cambria" w:hAnsi="Cambria"/>
          <w:sz w:val="22"/>
          <w:szCs w:val="22"/>
        </w:rPr>
      </w:pPr>
    </w:p>
    <w:p w14:paraId="53D9B0EE" w14:textId="61656ED4" w:rsidR="007A2E4F" w:rsidRDefault="007A2E4F" w:rsidP="00DE7EB7">
      <w:pPr>
        <w:spacing w:after="200" w:line="276" w:lineRule="auto"/>
        <w:rPr>
          <w:rFonts w:ascii="Cambria" w:hAnsi="Cambria"/>
          <w:sz w:val="22"/>
          <w:szCs w:val="22"/>
        </w:rPr>
      </w:pPr>
    </w:p>
    <w:p w14:paraId="6548C6CC" w14:textId="77777777" w:rsidR="007A2E4F" w:rsidRDefault="007A2E4F" w:rsidP="007A2E4F">
      <w:pPr>
        <w:pStyle w:val="Heading3"/>
        <w:ind w:left="964" w:hanging="964"/>
        <w:rPr>
          <w:lang w:eastAsia="ja-JP"/>
        </w:rPr>
      </w:pPr>
      <w:r>
        <w:rPr>
          <w:lang w:eastAsia="ja-JP"/>
        </w:rPr>
        <w:lastRenderedPageBreak/>
        <w:t>Timeline:</w:t>
      </w:r>
    </w:p>
    <w:p w14:paraId="052B8376" w14:textId="5DC143D0" w:rsidR="007A2E4F" w:rsidRDefault="007A2E4F" w:rsidP="008606C2">
      <w:pPr>
        <w:pStyle w:val="ListParagraph"/>
        <w:numPr>
          <w:ilvl w:val="0"/>
          <w:numId w:val="25"/>
        </w:numPr>
        <w:spacing w:after="200" w:line="276" w:lineRule="auto"/>
      </w:pPr>
      <w:r>
        <w:t>ACCC delivered inquiry final report in 2021</w:t>
      </w:r>
    </w:p>
    <w:p w14:paraId="5E941693" w14:textId="2A27400C" w:rsidR="007A2E4F" w:rsidRDefault="007A2E4F" w:rsidP="007A2E4F">
      <w:pPr>
        <w:pStyle w:val="ListParagraph"/>
        <w:numPr>
          <w:ilvl w:val="0"/>
          <w:numId w:val="25"/>
        </w:numPr>
        <w:spacing w:after="200" w:line="276" w:lineRule="auto"/>
      </w:pPr>
      <w:r>
        <w:t>Appointment of principal adviser and advisory group</w:t>
      </w:r>
    </w:p>
    <w:p w14:paraId="7232F5DE" w14:textId="77777777" w:rsidR="007A2E4F" w:rsidRDefault="007A2E4F" w:rsidP="007A2E4F">
      <w:pPr>
        <w:ind w:left="360"/>
      </w:pPr>
      <w:r>
        <w:t xml:space="preserve">We are here in the process. </w:t>
      </w:r>
    </w:p>
    <w:p w14:paraId="280F3824" w14:textId="77777777" w:rsidR="007A2E4F" w:rsidRDefault="007A2E4F" w:rsidP="007A2E4F">
      <w:pPr>
        <w:pStyle w:val="ListParagraph"/>
        <w:numPr>
          <w:ilvl w:val="0"/>
          <w:numId w:val="25"/>
        </w:numPr>
        <w:spacing w:after="200" w:line="276" w:lineRule="auto"/>
      </w:pPr>
      <w:r>
        <w:t>December advice</w:t>
      </w:r>
    </w:p>
    <w:p w14:paraId="6AE98588" w14:textId="77777777" w:rsidR="007A2E4F" w:rsidRDefault="007A2E4F" w:rsidP="007A2E4F">
      <w:pPr>
        <w:pStyle w:val="ListParagraph"/>
        <w:numPr>
          <w:ilvl w:val="0"/>
          <w:numId w:val="25"/>
        </w:numPr>
        <w:spacing w:after="200" w:line="276" w:lineRule="auto"/>
      </w:pPr>
      <w:r>
        <w:t>Final Roadmap June 2022</w:t>
      </w:r>
    </w:p>
    <w:p w14:paraId="1BB4A50D" w14:textId="77777777" w:rsidR="007A2E4F" w:rsidRDefault="007A2E4F" w:rsidP="007A2E4F">
      <w:pPr>
        <w:pStyle w:val="ListParagraph"/>
        <w:numPr>
          <w:ilvl w:val="0"/>
          <w:numId w:val="25"/>
        </w:numPr>
        <w:spacing w:after="200" w:line="276" w:lineRule="auto"/>
      </w:pPr>
      <w:r>
        <w:t>Government budget processes</w:t>
      </w:r>
    </w:p>
    <w:p w14:paraId="0B59A917" w14:textId="108F80EF" w:rsidR="007A2E4F" w:rsidRPr="007A2E4F" w:rsidRDefault="007A2E4F" w:rsidP="007A2E4F">
      <w:pPr>
        <w:pStyle w:val="ListParagraph"/>
        <w:numPr>
          <w:ilvl w:val="0"/>
          <w:numId w:val="25"/>
        </w:numPr>
        <w:spacing w:after="200" w:line="276" w:lineRule="auto"/>
      </w:pPr>
      <w:r>
        <w:t>Implementation of reform across the Basin</w:t>
      </w:r>
    </w:p>
    <w:p w14:paraId="52D9CF19" w14:textId="58ED732A" w:rsidR="00224650" w:rsidRPr="00C66F0F" w:rsidRDefault="000721C1" w:rsidP="00C66F0F">
      <w:pPr>
        <w:pStyle w:val="Heading3"/>
        <w:spacing w:before="0"/>
        <w:ind w:left="964" w:hanging="964"/>
        <w:rPr>
          <w:rFonts w:ascii="Calibri" w:eastAsia="Times New Roman" w:hAnsi="Calibri" w:cs="Times New Roman"/>
          <w:b/>
          <w:bCs/>
          <w:color w:val="auto"/>
          <w:sz w:val="36"/>
        </w:rPr>
      </w:pPr>
      <w:bookmarkStart w:id="4" w:name="_Toc90470952"/>
      <w:r w:rsidRPr="00C66F0F">
        <w:rPr>
          <w:rFonts w:ascii="Calibri" w:eastAsia="Times New Roman" w:hAnsi="Calibri" w:cs="Times New Roman"/>
          <w:b/>
          <w:bCs/>
          <w:color w:val="auto"/>
          <w:sz w:val="36"/>
        </w:rPr>
        <w:t>1.2</w:t>
      </w:r>
      <w:r w:rsidR="008C17EB">
        <w:rPr>
          <w:rFonts w:ascii="Calibri" w:eastAsia="Times New Roman" w:hAnsi="Calibri" w:cs="Times New Roman"/>
          <w:b/>
          <w:bCs/>
          <w:color w:val="auto"/>
          <w:sz w:val="36"/>
        </w:rPr>
        <w:tab/>
      </w:r>
      <w:r w:rsidR="00E17DBC" w:rsidRPr="00C66F0F">
        <w:rPr>
          <w:rFonts w:ascii="Calibri" w:eastAsia="Times New Roman" w:hAnsi="Calibri" w:cs="Times New Roman"/>
          <w:b/>
          <w:bCs/>
          <w:color w:val="auto"/>
          <w:sz w:val="36"/>
        </w:rPr>
        <w:t>Context for the ACCC Inquiry</w:t>
      </w:r>
      <w:bookmarkEnd w:id="4"/>
    </w:p>
    <w:p w14:paraId="08C63988" w14:textId="30EFE04B" w:rsidR="00890AA7" w:rsidRDefault="00890AA7" w:rsidP="00DE7EB7">
      <w:pPr>
        <w:spacing w:after="200" w:line="276" w:lineRule="auto"/>
        <w:rPr>
          <w:rFonts w:ascii="Cambria" w:hAnsi="Cambria"/>
          <w:sz w:val="22"/>
          <w:szCs w:val="22"/>
        </w:rPr>
      </w:pPr>
      <w:r w:rsidRPr="00946BDF">
        <w:rPr>
          <w:rFonts w:ascii="Cambria" w:hAnsi="Cambria"/>
          <w:sz w:val="22"/>
          <w:szCs w:val="22"/>
        </w:rPr>
        <w:t>There have been long standing</w:t>
      </w:r>
      <w:r w:rsidR="0078446C" w:rsidRPr="00946BDF">
        <w:rPr>
          <w:rFonts w:ascii="Cambria" w:hAnsi="Cambria"/>
          <w:sz w:val="22"/>
          <w:szCs w:val="22"/>
        </w:rPr>
        <w:t xml:space="preserve"> concerns about the performance of </w:t>
      </w:r>
      <w:r w:rsidR="00380928">
        <w:rPr>
          <w:rFonts w:ascii="Cambria" w:hAnsi="Cambria"/>
          <w:sz w:val="22"/>
          <w:szCs w:val="22"/>
        </w:rPr>
        <w:t>Basin water markets</w:t>
      </w:r>
      <w:r w:rsidR="00497979" w:rsidRPr="00946BDF">
        <w:rPr>
          <w:rFonts w:ascii="Cambria" w:hAnsi="Cambria"/>
          <w:sz w:val="22"/>
          <w:szCs w:val="22"/>
        </w:rPr>
        <w:t xml:space="preserve">, </w:t>
      </w:r>
      <w:r w:rsidR="003703D7" w:rsidRPr="00946BDF">
        <w:rPr>
          <w:rFonts w:ascii="Cambria" w:hAnsi="Cambria"/>
          <w:sz w:val="22"/>
          <w:szCs w:val="22"/>
        </w:rPr>
        <w:t xml:space="preserve">the conduct of its participants and </w:t>
      </w:r>
      <w:r w:rsidR="00497979" w:rsidRPr="00946BDF">
        <w:rPr>
          <w:rFonts w:ascii="Cambria" w:hAnsi="Cambria"/>
          <w:sz w:val="22"/>
          <w:szCs w:val="22"/>
        </w:rPr>
        <w:t>the</w:t>
      </w:r>
      <w:r w:rsidR="00491C68" w:rsidRPr="00946BDF">
        <w:rPr>
          <w:rFonts w:ascii="Cambria" w:hAnsi="Cambria"/>
          <w:sz w:val="22"/>
          <w:szCs w:val="22"/>
        </w:rPr>
        <w:t xml:space="preserve"> systems that support it,</w:t>
      </w:r>
      <w:r w:rsidR="006B5ABF" w:rsidRPr="00946BDF">
        <w:rPr>
          <w:rFonts w:ascii="Cambria" w:hAnsi="Cambria"/>
          <w:sz w:val="22"/>
          <w:szCs w:val="22"/>
        </w:rPr>
        <w:t xml:space="preserve"> </w:t>
      </w:r>
      <w:r w:rsidR="00F2176E" w:rsidRPr="00946BDF">
        <w:rPr>
          <w:rFonts w:ascii="Cambria" w:hAnsi="Cambria"/>
          <w:sz w:val="22"/>
          <w:szCs w:val="22"/>
        </w:rPr>
        <w:t>despite</w:t>
      </w:r>
      <w:r w:rsidR="007C445D" w:rsidRPr="00946BDF">
        <w:rPr>
          <w:rFonts w:ascii="Cambria" w:hAnsi="Cambria"/>
          <w:sz w:val="22"/>
          <w:szCs w:val="22"/>
        </w:rPr>
        <w:t xml:space="preserve"> little</w:t>
      </w:r>
      <w:r w:rsidR="000A367C" w:rsidRPr="00946BDF">
        <w:rPr>
          <w:rFonts w:ascii="Cambria" w:hAnsi="Cambria"/>
          <w:sz w:val="22"/>
          <w:szCs w:val="22"/>
        </w:rPr>
        <w:t xml:space="preserve"> tangible evidence</w:t>
      </w:r>
      <w:r w:rsidR="009E1B53" w:rsidRPr="00946BDF">
        <w:rPr>
          <w:rFonts w:ascii="Cambria" w:hAnsi="Cambria"/>
          <w:sz w:val="22"/>
          <w:szCs w:val="22"/>
        </w:rPr>
        <w:t xml:space="preserve"> </w:t>
      </w:r>
      <w:r w:rsidR="00FE0A32" w:rsidRPr="00946BDF">
        <w:rPr>
          <w:rFonts w:ascii="Cambria" w:hAnsi="Cambria"/>
          <w:sz w:val="22"/>
          <w:szCs w:val="22"/>
        </w:rPr>
        <w:t>to support these concerns</w:t>
      </w:r>
      <w:r w:rsidR="003703D7" w:rsidRPr="00946BDF">
        <w:rPr>
          <w:rFonts w:ascii="Cambria" w:hAnsi="Cambria"/>
          <w:sz w:val="22"/>
          <w:szCs w:val="22"/>
        </w:rPr>
        <w:t xml:space="preserve"> on the first two issues</w:t>
      </w:r>
      <w:r w:rsidR="008E5658">
        <w:rPr>
          <w:rFonts w:ascii="Cambria" w:hAnsi="Cambria"/>
          <w:sz w:val="22"/>
          <w:szCs w:val="22"/>
        </w:rPr>
        <w:t>.</w:t>
      </w:r>
      <w:r w:rsidR="00FE0A32" w:rsidRPr="00946BDF">
        <w:rPr>
          <w:rFonts w:ascii="Cambria" w:hAnsi="Cambria"/>
          <w:sz w:val="22"/>
          <w:szCs w:val="22"/>
        </w:rPr>
        <w:t xml:space="preserve"> </w:t>
      </w:r>
      <w:r w:rsidR="00697196" w:rsidRPr="00946BDF">
        <w:rPr>
          <w:rFonts w:ascii="Cambria" w:hAnsi="Cambria"/>
          <w:sz w:val="22"/>
          <w:szCs w:val="22"/>
        </w:rPr>
        <w:t xml:space="preserve">This reflects similar concerns about the efficacy of the </w:t>
      </w:r>
      <w:r w:rsidR="009C0A49">
        <w:rPr>
          <w:rFonts w:ascii="Cambria" w:hAnsi="Cambria"/>
          <w:sz w:val="22"/>
          <w:szCs w:val="22"/>
        </w:rPr>
        <w:t>Basin</w:t>
      </w:r>
      <w:r w:rsidR="009C0A49" w:rsidRPr="00946BDF">
        <w:rPr>
          <w:rFonts w:ascii="Cambria" w:hAnsi="Cambria"/>
          <w:sz w:val="22"/>
          <w:szCs w:val="22"/>
        </w:rPr>
        <w:t xml:space="preserve"> </w:t>
      </w:r>
      <w:r w:rsidR="00697196" w:rsidRPr="00946BDF">
        <w:rPr>
          <w:rFonts w:ascii="Cambria" w:hAnsi="Cambria"/>
          <w:sz w:val="22"/>
          <w:szCs w:val="22"/>
        </w:rPr>
        <w:t>reforms generally</w:t>
      </w:r>
      <w:r w:rsidR="00EF16E3">
        <w:rPr>
          <w:rFonts w:ascii="Cambria" w:hAnsi="Cambria"/>
          <w:sz w:val="22"/>
          <w:szCs w:val="22"/>
        </w:rPr>
        <w:t>,</w:t>
      </w:r>
      <w:r w:rsidR="00047FB4" w:rsidRPr="00946BDF">
        <w:rPr>
          <w:rFonts w:ascii="Cambria" w:hAnsi="Cambria"/>
          <w:sz w:val="22"/>
          <w:szCs w:val="22"/>
        </w:rPr>
        <w:t xml:space="preserve"> and the difficulty </w:t>
      </w:r>
      <w:r w:rsidR="002C1EA0">
        <w:rPr>
          <w:rFonts w:ascii="Cambria" w:hAnsi="Cambria"/>
          <w:sz w:val="22"/>
          <w:szCs w:val="22"/>
        </w:rPr>
        <w:t xml:space="preserve">that </w:t>
      </w:r>
      <w:r w:rsidR="00047FB4" w:rsidRPr="00946BDF">
        <w:rPr>
          <w:rFonts w:ascii="Cambria" w:hAnsi="Cambria"/>
          <w:sz w:val="22"/>
          <w:szCs w:val="22"/>
        </w:rPr>
        <w:t xml:space="preserve">many have had distinguishing </w:t>
      </w:r>
      <w:r w:rsidR="00203AD4">
        <w:rPr>
          <w:rFonts w:ascii="Cambria" w:hAnsi="Cambria"/>
          <w:sz w:val="22"/>
          <w:szCs w:val="22"/>
        </w:rPr>
        <w:t xml:space="preserve">between </w:t>
      </w:r>
      <w:r w:rsidR="002C1EA0">
        <w:rPr>
          <w:rFonts w:ascii="Cambria" w:hAnsi="Cambria"/>
          <w:sz w:val="22"/>
          <w:szCs w:val="22"/>
        </w:rPr>
        <w:t>the</w:t>
      </w:r>
      <w:r w:rsidR="00047FB4" w:rsidRPr="00946BDF">
        <w:rPr>
          <w:rFonts w:ascii="Cambria" w:hAnsi="Cambria"/>
          <w:sz w:val="22"/>
          <w:szCs w:val="22"/>
        </w:rPr>
        <w:t xml:space="preserve"> </w:t>
      </w:r>
      <w:r w:rsidR="009B3985" w:rsidRPr="00946BDF">
        <w:rPr>
          <w:rFonts w:ascii="Cambria" w:hAnsi="Cambria"/>
          <w:sz w:val="22"/>
          <w:szCs w:val="22"/>
        </w:rPr>
        <w:t>impacts and efficacy of water reforms</w:t>
      </w:r>
      <w:r w:rsidR="00203AD4">
        <w:rPr>
          <w:rFonts w:ascii="Cambria" w:hAnsi="Cambria"/>
          <w:sz w:val="22"/>
          <w:szCs w:val="22"/>
        </w:rPr>
        <w:t>,</w:t>
      </w:r>
      <w:r w:rsidR="002C1EA0">
        <w:rPr>
          <w:rFonts w:ascii="Cambria" w:hAnsi="Cambria"/>
          <w:sz w:val="22"/>
          <w:szCs w:val="22"/>
        </w:rPr>
        <w:t xml:space="preserve"> </w:t>
      </w:r>
      <w:r w:rsidR="009B3985" w:rsidRPr="00946BDF">
        <w:rPr>
          <w:rFonts w:ascii="Cambria" w:hAnsi="Cambria"/>
          <w:sz w:val="22"/>
          <w:szCs w:val="22"/>
        </w:rPr>
        <w:t>the operation of the water</w:t>
      </w:r>
      <w:r w:rsidR="003B6223" w:rsidRPr="00946BDF">
        <w:rPr>
          <w:rFonts w:ascii="Cambria" w:hAnsi="Cambria"/>
          <w:sz w:val="22"/>
          <w:szCs w:val="22"/>
        </w:rPr>
        <w:t xml:space="preserve"> market, reduced water supplies and significantly higher entitlement</w:t>
      </w:r>
      <w:r w:rsidR="00345C3E" w:rsidRPr="00946BDF">
        <w:rPr>
          <w:rFonts w:ascii="Cambria" w:hAnsi="Cambria"/>
          <w:sz w:val="22"/>
          <w:szCs w:val="22"/>
        </w:rPr>
        <w:t xml:space="preserve"> and allocation prices.</w:t>
      </w:r>
    </w:p>
    <w:p w14:paraId="349A3481" w14:textId="275C0817" w:rsidR="00295E40" w:rsidRDefault="007E6DD9" w:rsidP="00DE7EB7">
      <w:pPr>
        <w:spacing w:after="200" w:line="276" w:lineRule="auto"/>
        <w:rPr>
          <w:rFonts w:ascii="Cambria" w:hAnsi="Cambria"/>
          <w:sz w:val="22"/>
          <w:szCs w:val="22"/>
        </w:rPr>
      </w:pPr>
      <w:r>
        <w:rPr>
          <w:rFonts w:ascii="Cambria" w:hAnsi="Cambria"/>
          <w:sz w:val="22"/>
          <w:szCs w:val="22"/>
        </w:rPr>
        <w:t xml:space="preserve">Water markets are still relatively new, with uptake of allocation and entitlement trade only becoming significant during and since the millennium drought. The regulatory system to facilitate trading is similarly new. </w:t>
      </w:r>
      <w:r w:rsidR="00295E40">
        <w:rPr>
          <w:rFonts w:ascii="Cambria" w:hAnsi="Cambria"/>
          <w:sz w:val="22"/>
          <w:szCs w:val="22"/>
        </w:rPr>
        <w:t>It</w:t>
      </w:r>
      <w:r w:rsidR="00380928">
        <w:rPr>
          <w:rFonts w:ascii="Cambria" w:hAnsi="Cambria"/>
          <w:sz w:val="22"/>
          <w:szCs w:val="22"/>
        </w:rPr>
        <w:t xml:space="preserve"> i</w:t>
      </w:r>
      <w:r w:rsidR="00295E40">
        <w:rPr>
          <w:rFonts w:ascii="Cambria" w:hAnsi="Cambria"/>
          <w:sz w:val="22"/>
          <w:szCs w:val="22"/>
        </w:rPr>
        <w:t xml:space="preserve">s </w:t>
      </w:r>
      <w:r w:rsidR="00203AD4">
        <w:rPr>
          <w:rFonts w:ascii="Cambria" w:hAnsi="Cambria"/>
          <w:sz w:val="22"/>
          <w:szCs w:val="22"/>
        </w:rPr>
        <w:t xml:space="preserve">therefore </w:t>
      </w:r>
      <w:r w:rsidR="00295E40">
        <w:rPr>
          <w:rFonts w:ascii="Cambria" w:hAnsi="Cambria"/>
          <w:sz w:val="22"/>
          <w:szCs w:val="22"/>
        </w:rPr>
        <w:t xml:space="preserve">not surprising that there was a perceived need </w:t>
      </w:r>
      <w:r w:rsidR="00203AD4">
        <w:rPr>
          <w:rFonts w:ascii="Cambria" w:hAnsi="Cambria"/>
          <w:sz w:val="22"/>
          <w:szCs w:val="22"/>
        </w:rPr>
        <w:t xml:space="preserve">to </w:t>
      </w:r>
      <w:r w:rsidR="00295E40">
        <w:rPr>
          <w:rFonts w:ascii="Cambria" w:hAnsi="Cambria"/>
          <w:sz w:val="22"/>
          <w:szCs w:val="22"/>
        </w:rPr>
        <w:t xml:space="preserve">review that system with the benefit of some </w:t>
      </w:r>
      <w:r w:rsidR="00DB3E36">
        <w:rPr>
          <w:rFonts w:ascii="Cambria" w:hAnsi="Cambria"/>
          <w:sz w:val="22"/>
          <w:szCs w:val="22"/>
        </w:rPr>
        <w:t>experience with its operation in practice.</w:t>
      </w:r>
    </w:p>
    <w:p w14:paraId="56EDE878" w14:textId="1D48291C" w:rsidR="00A44617" w:rsidRPr="00946BDF" w:rsidRDefault="00203AD4" w:rsidP="00DE7EB7">
      <w:pPr>
        <w:spacing w:after="200" w:line="276" w:lineRule="auto"/>
        <w:rPr>
          <w:rFonts w:ascii="Cambria" w:hAnsi="Cambria"/>
          <w:sz w:val="22"/>
          <w:szCs w:val="22"/>
        </w:rPr>
      </w:pPr>
      <w:r>
        <w:rPr>
          <w:rFonts w:ascii="Cambria" w:hAnsi="Cambria"/>
          <w:sz w:val="22"/>
          <w:szCs w:val="22"/>
        </w:rPr>
        <w:t>T</w:t>
      </w:r>
      <w:r w:rsidR="00DB3E36">
        <w:rPr>
          <w:rFonts w:ascii="Cambria" w:hAnsi="Cambria"/>
          <w:sz w:val="22"/>
          <w:szCs w:val="22"/>
        </w:rPr>
        <w:t xml:space="preserve">he </w:t>
      </w:r>
      <w:r>
        <w:rPr>
          <w:rFonts w:ascii="Cambria" w:hAnsi="Cambria"/>
          <w:sz w:val="22"/>
          <w:szCs w:val="22"/>
        </w:rPr>
        <w:t xml:space="preserve">regulatory </w:t>
      </w:r>
      <w:r w:rsidR="00DB3E36">
        <w:rPr>
          <w:rFonts w:ascii="Cambria" w:hAnsi="Cambria"/>
          <w:sz w:val="22"/>
          <w:szCs w:val="22"/>
        </w:rPr>
        <w:t xml:space="preserve">system’s development was in part a response to the pressures of the millennium drought, </w:t>
      </w:r>
      <w:r>
        <w:rPr>
          <w:rFonts w:ascii="Cambria" w:hAnsi="Cambria"/>
          <w:sz w:val="22"/>
          <w:szCs w:val="22"/>
        </w:rPr>
        <w:t xml:space="preserve">and it </w:t>
      </w:r>
      <w:r w:rsidR="00DB3E36">
        <w:rPr>
          <w:rFonts w:ascii="Cambria" w:hAnsi="Cambria"/>
          <w:sz w:val="22"/>
          <w:szCs w:val="22"/>
        </w:rPr>
        <w:t xml:space="preserve">has been </w:t>
      </w:r>
      <w:r>
        <w:rPr>
          <w:rFonts w:ascii="Cambria" w:hAnsi="Cambria"/>
          <w:sz w:val="22"/>
          <w:szCs w:val="22"/>
        </w:rPr>
        <w:t xml:space="preserve">further </w:t>
      </w:r>
      <w:r w:rsidR="00DB3E36">
        <w:rPr>
          <w:rFonts w:ascii="Cambria" w:hAnsi="Cambria"/>
          <w:sz w:val="22"/>
          <w:szCs w:val="22"/>
        </w:rPr>
        <w:t xml:space="preserve">tested by more recent supply stresses.  </w:t>
      </w:r>
      <w:r w:rsidR="00A44617">
        <w:rPr>
          <w:rFonts w:ascii="Cambria" w:hAnsi="Cambria"/>
          <w:sz w:val="22"/>
          <w:szCs w:val="22"/>
        </w:rPr>
        <w:t>T</w:t>
      </w:r>
      <w:r w:rsidR="00A44617" w:rsidRPr="008E046C">
        <w:rPr>
          <w:rFonts w:ascii="Cambria" w:hAnsi="Cambria"/>
          <w:sz w:val="22"/>
          <w:szCs w:val="22"/>
        </w:rPr>
        <w:t>he three years from January 2017 to December 2019 were the driest on record for any 36-month period.</w:t>
      </w:r>
      <w:r w:rsidR="00A44617">
        <w:rPr>
          <w:rStyle w:val="FootnoteReference"/>
          <w:rFonts w:ascii="Cambria" w:hAnsi="Cambria"/>
          <w:sz w:val="22"/>
          <w:szCs w:val="22"/>
        </w:rPr>
        <w:footnoteReference w:id="5"/>
      </w:r>
      <w:r w:rsidR="00A44617" w:rsidRPr="008E046C">
        <w:rPr>
          <w:rFonts w:ascii="Cambria" w:hAnsi="Cambria"/>
          <w:sz w:val="22"/>
          <w:szCs w:val="22"/>
        </w:rPr>
        <w:t xml:space="preserve"> </w:t>
      </w:r>
      <w:r w:rsidR="00A44617">
        <w:rPr>
          <w:rFonts w:ascii="Cambria" w:hAnsi="Cambria"/>
          <w:sz w:val="22"/>
          <w:szCs w:val="22"/>
        </w:rPr>
        <w:t>During this time, the price of water</w:t>
      </w:r>
      <w:r w:rsidR="00E129CB">
        <w:rPr>
          <w:rFonts w:ascii="Cambria" w:hAnsi="Cambria"/>
          <w:sz w:val="22"/>
          <w:szCs w:val="22"/>
        </w:rPr>
        <w:t xml:space="preserve"> across the Basin</w:t>
      </w:r>
      <w:r w:rsidR="00A44617">
        <w:rPr>
          <w:rFonts w:ascii="Cambria" w:hAnsi="Cambria"/>
          <w:sz w:val="22"/>
          <w:szCs w:val="22"/>
        </w:rPr>
        <w:t xml:space="preserve"> reflected limited suppl</w:t>
      </w:r>
      <w:r w:rsidR="00DB3E36">
        <w:rPr>
          <w:rFonts w:ascii="Cambria" w:hAnsi="Cambria"/>
          <w:sz w:val="22"/>
          <w:szCs w:val="22"/>
        </w:rPr>
        <w:t>ies</w:t>
      </w:r>
      <w:r w:rsidR="00A44617">
        <w:rPr>
          <w:rFonts w:ascii="Cambria" w:hAnsi="Cambria"/>
          <w:sz w:val="22"/>
          <w:szCs w:val="22"/>
        </w:rPr>
        <w:t xml:space="preserve"> and </w:t>
      </w:r>
      <w:r w:rsidR="00DB3E36">
        <w:rPr>
          <w:rFonts w:ascii="Cambria" w:hAnsi="Cambria"/>
          <w:sz w:val="22"/>
          <w:szCs w:val="22"/>
        </w:rPr>
        <w:t xml:space="preserve">raised </w:t>
      </w:r>
      <w:r w:rsidR="00A44617">
        <w:rPr>
          <w:rFonts w:ascii="Cambria" w:hAnsi="Cambria"/>
          <w:sz w:val="22"/>
          <w:szCs w:val="22"/>
        </w:rPr>
        <w:t xml:space="preserve">concerns about the performance of </w:t>
      </w:r>
      <w:r>
        <w:rPr>
          <w:rFonts w:ascii="Cambria" w:hAnsi="Cambria"/>
          <w:sz w:val="22"/>
          <w:szCs w:val="22"/>
        </w:rPr>
        <w:t xml:space="preserve">Basin </w:t>
      </w:r>
      <w:r w:rsidR="00A44617">
        <w:rPr>
          <w:rFonts w:ascii="Cambria" w:hAnsi="Cambria"/>
          <w:sz w:val="22"/>
          <w:szCs w:val="22"/>
        </w:rPr>
        <w:t>water markets.</w:t>
      </w:r>
    </w:p>
    <w:p w14:paraId="6F9A18B6" w14:textId="64F71AB9" w:rsidR="00345C3E" w:rsidRPr="000B1390" w:rsidRDefault="00203AD4" w:rsidP="00DE7EB7">
      <w:pPr>
        <w:spacing w:after="200" w:line="276" w:lineRule="auto"/>
        <w:rPr>
          <w:rFonts w:ascii="Cambria" w:hAnsi="Cambria"/>
          <w:sz w:val="22"/>
          <w:szCs w:val="22"/>
        </w:rPr>
      </w:pPr>
      <w:r>
        <w:rPr>
          <w:rFonts w:ascii="Cambria" w:hAnsi="Cambria"/>
          <w:sz w:val="22"/>
          <w:szCs w:val="22"/>
        </w:rPr>
        <w:t>In recognition of t</w:t>
      </w:r>
      <w:r w:rsidRPr="00946BDF">
        <w:rPr>
          <w:rFonts w:ascii="Cambria" w:hAnsi="Cambria"/>
          <w:sz w:val="22"/>
          <w:szCs w:val="22"/>
        </w:rPr>
        <w:t xml:space="preserve">hese </w:t>
      </w:r>
      <w:r w:rsidR="001A1A32" w:rsidRPr="00946BDF">
        <w:rPr>
          <w:rFonts w:ascii="Cambria" w:hAnsi="Cambria"/>
          <w:sz w:val="22"/>
          <w:szCs w:val="22"/>
        </w:rPr>
        <w:t>concerns and the importance of a well</w:t>
      </w:r>
      <w:r w:rsidR="00F21893">
        <w:rPr>
          <w:rFonts w:ascii="Cambria" w:hAnsi="Cambria"/>
          <w:sz w:val="22"/>
          <w:szCs w:val="22"/>
        </w:rPr>
        <w:t>-</w:t>
      </w:r>
      <w:r w:rsidR="001A1A32" w:rsidRPr="00946BDF">
        <w:rPr>
          <w:rFonts w:ascii="Cambria" w:hAnsi="Cambria"/>
          <w:sz w:val="22"/>
          <w:szCs w:val="22"/>
        </w:rPr>
        <w:t>functioning water market</w:t>
      </w:r>
      <w:r>
        <w:rPr>
          <w:rFonts w:ascii="Cambria" w:hAnsi="Cambria"/>
          <w:sz w:val="22"/>
          <w:szCs w:val="22"/>
        </w:rPr>
        <w:t>,</w:t>
      </w:r>
      <w:r w:rsidR="001A1A32" w:rsidRPr="00946BDF">
        <w:rPr>
          <w:rFonts w:ascii="Cambria" w:hAnsi="Cambria"/>
          <w:sz w:val="22"/>
          <w:szCs w:val="22"/>
        </w:rPr>
        <w:t xml:space="preserve"> </w:t>
      </w:r>
      <w:r w:rsidR="008A6935">
        <w:rPr>
          <w:rFonts w:ascii="Cambria" w:hAnsi="Cambria"/>
          <w:sz w:val="22"/>
          <w:szCs w:val="22"/>
        </w:rPr>
        <w:t xml:space="preserve">the </w:t>
      </w:r>
      <w:r w:rsidR="008A6935" w:rsidRPr="00026EA5">
        <w:rPr>
          <w:rFonts w:ascii="Cambria" w:hAnsi="Cambria"/>
          <w:sz w:val="22"/>
          <w:szCs w:val="22"/>
        </w:rPr>
        <w:t xml:space="preserve">Treasurer, the Hon Josh Frydenberg MP, </w:t>
      </w:r>
      <w:r w:rsidR="008A6935">
        <w:rPr>
          <w:rFonts w:ascii="Cambria" w:hAnsi="Cambria"/>
          <w:sz w:val="22"/>
          <w:szCs w:val="22"/>
        </w:rPr>
        <w:t>direct</w:t>
      </w:r>
      <w:r w:rsidR="005F6674">
        <w:rPr>
          <w:rFonts w:ascii="Cambria" w:hAnsi="Cambria"/>
          <w:sz w:val="22"/>
          <w:szCs w:val="22"/>
        </w:rPr>
        <w:t>ed</w:t>
      </w:r>
      <w:r w:rsidR="008A6935">
        <w:rPr>
          <w:rFonts w:ascii="Cambria" w:hAnsi="Cambria"/>
          <w:sz w:val="22"/>
          <w:szCs w:val="22"/>
        </w:rPr>
        <w:t xml:space="preserve"> </w:t>
      </w:r>
      <w:r w:rsidR="001A1A32" w:rsidRPr="00946BDF">
        <w:rPr>
          <w:rFonts w:ascii="Cambria" w:hAnsi="Cambria"/>
          <w:sz w:val="22"/>
          <w:szCs w:val="22"/>
        </w:rPr>
        <w:t xml:space="preserve">the </w:t>
      </w:r>
      <w:r w:rsidR="009C0A49">
        <w:rPr>
          <w:rFonts w:ascii="Cambria" w:hAnsi="Cambria"/>
          <w:sz w:val="22"/>
          <w:szCs w:val="22"/>
        </w:rPr>
        <w:t>ACCC</w:t>
      </w:r>
      <w:r w:rsidR="001A1A32" w:rsidRPr="00946BDF">
        <w:rPr>
          <w:rFonts w:ascii="Cambria" w:hAnsi="Cambria"/>
          <w:sz w:val="22"/>
          <w:szCs w:val="22"/>
        </w:rPr>
        <w:t xml:space="preserve"> to</w:t>
      </w:r>
      <w:r w:rsidR="009F6216" w:rsidRPr="00946BDF">
        <w:rPr>
          <w:rFonts w:ascii="Cambria" w:hAnsi="Cambria"/>
          <w:sz w:val="22"/>
          <w:szCs w:val="22"/>
        </w:rPr>
        <w:t xml:space="preserve"> investigate these issues and</w:t>
      </w:r>
      <w:r w:rsidR="00210536" w:rsidRPr="00946BDF">
        <w:rPr>
          <w:rFonts w:ascii="Cambria" w:hAnsi="Cambria"/>
          <w:sz w:val="22"/>
          <w:szCs w:val="22"/>
        </w:rPr>
        <w:t xml:space="preserve"> recommend improvements.  </w:t>
      </w:r>
    </w:p>
    <w:p w14:paraId="363AD930" w14:textId="367D2562" w:rsidR="00DC31E1" w:rsidRPr="00C66F0F" w:rsidRDefault="000721C1" w:rsidP="00C66F0F">
      <w:pPr>
        <w:pStyle w:val="Heading3"/>
        <w:spacing w:before="0"/>
        <w:ind w:left="964" w:hanging="964"/>
        <w:rPr>
          <w:rFonts w:asciiTheme="minorHAnsi" w:hAnsiTheme="minorHAnsi" w:cstheme="minorHAnsi"/>
          <w:color w:val="auto"/>
          <w:sz w:val="36"/>
          <w:szCs w:val="36"/>
        </w:rPr>
      </w:pPr>
      <w:bookmarkStart w:id="5" w:name="_Toc90470953"/>
      <w:r w:rsidRPr="00C66F0F">
        <w:rPr>
          <w:rFonts w:ascii="Calibri" w:eastAsia="Times New Roman" w:hAnsi="Calibri" w:cs="Times New Roman"/>
          <w:b/>
          <w:bCs/>
          <w:color w:val="auto"/>
          <w:sz w:val="36"/>
        </w:rPr>
        <w:t>1.3</w:t>
      </w:r>
      <w:r w:rsidR="008C17EB">
        <w:rPr>
          <w:rFonts w:ascii="Calibri" w:eastAsia="Times New Roman" w:hAnsi="Calibri" w:cs="Times New Roman"/>
          <w:b/>
          <w:bCs/>
          <w:color w:val="auto"/>
          <w:sz w:val="36"/>
        </w:rPr>
        <w:tab/>
      </w:r>
      <w:r w:rsidR="00DC31E1" w:rsidRPr="00C66F0F">
        <w:rPr>
          <w:rFonts w:ascii="Calibri" w:eastAsia="Times New Roman" w:hAnsi="Calibri" w:cs="Times New Roman"/>
          <w:b/>
          <w:bCs/>
          <w:color w:val="auto"/>
          <w:sz w:val="36"/>
        </w:rPr>
        <w:t xml:space="preserve">Why </w:t>
      </w:r>
      <w:r w:rsidR="003464C6" w:rsidRPr="00C66F0F">
        <w:rPr>
          <w:rFonts w:ascii="Calibri" w:eastAsia="Times New Roman" w:hAnsi="Calibri" w:cs="Times New Roman"/>
          <w:b/>
          <w:bCs/>
          <w:color w:val="auto"/>
          <w:sz w:val="36"/>
        </w:rPr>
        <w:t>Basin</w:t>
      </w:r>
      <w:r w:rsidR="00DC31E1" w:rsidRPr="00C66F0F">
        <w:rPr>
          <w:rFonts w:ascii="Calibri" w:eastAsia="Times New Roman" w:hAnsi="Calibri" w:cs="Times New Roman"/>
          <w:b/>
          <w:bCs/>
          <w:color w:val="auto"/>
          <w:sz w:val="36"/>
        </w:rPr>
        <w:t xml:space="preserve"> water markets matter</w:t>
      </w:r>
      <w:bookmarkEnd w:id="5"/>
    </w:p>
    <w:p w14:paraId="3BFFE053" w14:textId="1799C7F7" w:rsidR="00605DE9" w:rsidRPr="000B1390" w:rsidRDefault="00023682" w:rsidP="00DE7EB7">
      <w:pPr>
        <w:spacing w:after="200" w:line="276" w:lineRule="auto"/>
        <w:rPr>
          <w:rFonts w:ascii="Cambria" w:hAnsi="Cambria"/>
          <w:sz w:val="22"/>
          <w:szCs w:val="22"/>
        </w:rPr>
      </w:pPr>
      <w:r w:rsidRPr="000B1390">
        <w:rPr>
          <w:rFonts w:ascii="Cambria" w:hAnsi="Cambria"/>
          <w:sz w:val="22"/>
          <w:szCs w:val="22"/>
        </w:rPr>
        <w:t xml:space="preserve">The ability to trade water </w:t>
      </w:r>
      <w:r w:rsidR="004F752F" w:rsidRPr="000B1390">
        <w:rPr>
          <w:rFonts w:ascii="Cambria" w:hAnsi="Cambria"/>
          <w:sz w:val="22"/>
          <w:szCs w:val="22"/>
        </w:rPr>
        <w:t>help</w:t>
      </w:r>
      <w:r w:rsidR="00AE2B69" w:rsidRPr="000B1390">
        <w:rPr>
          <w:rFonts w:ascii="Cambria" w:hAnsi="Cambria"/>
          <w:sz w:val="22"/>
          <w:szCs w:val="22"/>
        </w:rPr>
        <w:t>s</w:t>
      </w:r>
      <w:r w:rsidR="004F752F" w:rsidRPr="000B1390">
        <w:rPr>
          <w:rFonts w:ascii="Cambria" w:hAnsi="Cambria"/>
          <w:sz w:val="22"/>
          <w:szCs w:val="22"/>
        </w:rPr>
        <w:t xml:space="preserve"> to </w:t>
      </w:r>
      <w:r w:rsidR="00F43334" w:rsidRPr="000B1390">
        <w:rPr>
          <w:rFonts w:ascii="Cambria" w:hAnsi="Cambria"/>
          <w:sz w:val="22"/>
          <w:szCs w:val="22"/>
        </w:rPr>
        <w:t xml:space="preserve">ensure people can </w:t>
      </w:r>
      <w:r w:rsidR="009F1BE1" w:rsidRPr="000B1390">
        <w:rPr>
          <w:rFonts w:ascii="Cambria" w:hAnsi="Cambria"/>
          <w:sz w:val="22"/>
          <w:szCs w:val="22"/>
        </w:rPr>
        <w:t xml:space="preserve">put it to its best use, </w:t>
      </w:r>
      <w:r w:rsidR="004079B5">
        <w:rPr>
          <w:rFonts w:ascii="Cambria" w:hAnsi="Cambria"/>
          <w:sz w:val="22"/>
          <w:szCs w:val="22"/>
        </w:rPr>
        <w:t>among</w:t>
      </w:r>
      <w:r w:rsidR="009F1BE1" w:rsidRPr="000B1390">
        <w:rPr>
          <w:rFonts w:ascii="Cambria" w:hAnsi="Cambria"/>
          <w:sz w:val="22"/>
          <w:szCs w:val="22"/>
        </w:rPr>
        <w:t xml:space="preserve"> </w:t>
      </w:r>
      <w:r w:rsidR="004079B5">
        <w:rPr>
          <w:rFonts w:ascii="Cambria" w:hAnsi="Cambria"/>
          <w:sz w:val="22"/>
          <w:szCs w:val="22"/>
        </w:rPr>
        <w:t xml:space="preserve">the many alternative </w:t>
      </w:r>
      <w:r w:rsidR="009F1BE1" w:rsidRPr="000B1390">
        <w:rPr>
          <w:rFonts w:ascii="Cambria" w:hAnsi="Cambria"/>
          <w:sz w:val="22"/>
          <w:szCs w:val="22"/>
        </w:rPr>
        <w:t>agricultur</w:t>
      </w:r>
      <w:r w:rsidR="004079B5">
        <w:rPr>
          <w:rFonts w:ascii="Cambria" w:hAnsi="Cambria"/>
          <w:sz w:val="22"/>
          <w:szCs w:val="22"/>
        </w:rPr>
        <w:t>al</w:t>
      </w:r>
      <w:r w:rsidR="009F1BE1" w:rsidRPr="000B1390">
        <w:rPr>
          <w:rFonts w:ascii="Cambria" w:hAnsi="Cambria"/>
          <w:sz w:val="22"/>
          <w:szCs w:val="22"/>
        </w:rPr>
        <w:t>, environment</w:t>
      </w:r>
      <w:r w:rsidR="004079B5">
        <w:rPr>
          <w:rFonts w:ascii="Cambria" w:hAnsi="Cambria"/>
          <w:sz w:val="22"/>
          <w:szCs w:val="22"/>
        </w:rPr>
        <w:t>al</w:t>
      </w:r>
      <w:r w:rsidR="009F1BE1" w:rsidRPr="000B1390">
        <w:rPr>
          <w:rFonts w:ascii="Cambria" w:hAnsi="Cambria"/>
          <w:sz w:val="22"/>
          <w:szCs w:val="22"/>
        </w:rPr>
        <w:t xml:space="preserve">, </w:t>
      </w:r>
      <w:proofErr w:type="gramStart"/>
      <w:r w:rsidR="009F1BE1" w:rsidRPr="000B1390">
        <w:rPr>
          <w:rFonts w:ascii="Cambria" w:hAnsi="Cambria"/>
          <w:sz w:val="22"/>
          <w:szCs w:val="22"/>
        </w:rPr>
        <w:t>urban</w:t>
      </w:r>
      <w:proofErr w:type="gramEnd"/>
      <w:r w:rsidR="004079B5">
        <w:rPr>
          <w:rFonts w:ascii="Cambria" w:hAnsi="Cambria"/>
          <w:sz w:val="22"/>
          <w:szCs w:val="22"/>
        </w:rPr>
        <w:t xml:space="preserve"> </w:t>
      </w:r>
      <w:r w:rsidR="005F6674">
        <w:rPr>
          <w:rFonts w:ascii="Cambria" w:hAnsi="Cambria"/>
          <w:sz w:val="22"/>
          <w:szCs w:val="22"/>
        </w:rPr>
        <w:t>and</w:t>
      </w:r>
      <w:r w:rsidR="009F1BE1" w:rsidRPr="000B1390">
        <w:rPr>
          <w:rFonts w:ascii="Cambria" w:hAnsi="Cambria"/>
          <w:sz w:val="22"/>
          <w:szCs w:val="22"/>
        </w:rPr>
        <w:t xml:space="preserve"> cultural water uses.</w:t>
      </w:r>
      <w:r w:rsidR="00605DE9" w:rsidRPr="000B1390">
        <w:rPr>
          <w:rFonts w:ascii="Cambria" w:hAnsi="Cambria"/>
          <w:sz w:val="22"/>
          <w:szCs w:val="22"/>
        </w:rPr>
        <w:t xml:space="preserve"> </w:t>
      </w:r>
      <w:r w:rsidR="000117B9">
        <w:rPr>
          <w:rFonts w:ascii="Cambria" w:hAnsi="Cambria"/>
          <w:sz w:val="22"/>
          <w:szCs w:val="22"/>
        </w:rPr>
        <w:t>W</w:t>
      </w:r>
      <w:r w:rsidR="00F37840" w:rsidRPr="000B1390">
        <w:rPr>
          <w:rFonts w:ascii="Cambria" w:hAnsi="Cambria"/>
          <w:sz w:val="22"/>
          <w:szCs w:val="22"/>
        </w:rPr>
        <w:t xml:space="preserve">ater </w:t>
      </w:r>
      <w:r w:rsidR="000D0088" w:rsidRPr="000B1390">
        <w:rPr>
          <w:rFonts w:ascii="Cambria" w:hAnsi="Cambria"/>
          <w:sz w:val="22"/>
          <w:szCs w:val="22"/>
        </w:rPr>
        <w:t xml:space="preserve">in the Basin </w:t>
      </w:r>
      <w:r w:rsidR="004079B5">
        <w:rPr>
          <w:rFonts w:ascii="Cambria" w:hAnsi="Cambria"/>
          <w:sz w:val="22"/>
          <w:szCs w:val="22"/>
        </w:rPr>
        <w:t>is critical to</w:t>
      </w:r>
      <w:r w:rsidR="0020349D" w:rsidRPr="000B1390">
        <w:rPr>
          <w:rFonts w:ascii="Cambria" w:hAnsi="Cambria"/>
          <w:sz w:val="22"/>
          <w:szCs w:val="22"/>
        </w:rPr>
        <w:t xml:space="preserve"> the efficiency and productivity of Australian agriculture</w:t>
      </w:r>
      <w:r w:rsidR="00AD6531" w:rsidRPr="000B1390">
        <w:rPr>
          <w:rFonts w:ascii="Cambria" w:hAnsi="Cambria"/>
          <w:sz w:val="22"/>
          <w:szCs w:val="22"/>
        </w:rPr>
        <w:t xml:space="preserve">, which </w:t>
      </w:r>
      <w:r w:rsidR="00FB7A37" w:rsidRPr="000B1390">
        <w:rPr>
          <w:rFonts w:ascii="Cambria" w:hAnsi="Cambria"/>
          <w:sz w:val="22"/>
          <w:szCs w:val="22"/>
        </w:rPr>
        <w:t>is a major contributor</w:t>
      </w:r>
      <w:r w:rsidR="005630C6" w:rsidRPr="000B1390">
        <w:rPr>
          <w:rFonts w:ascii="Cambria" w:hAnsi="Cambria"/>
          <w:sz w:val="22"/>
          <w:szCs w:val="22"/>
        </w:rPr>
        <w:t xml:space="preserve"> </w:t>
      </w:r>
      <w:r w:rsidR="00133000" w:rsidRPr="000B1390">
        <w:rPr>
          <w:rFonts w:ascii="Cambria" w:hAnsi="Cambria"/>
          <w:sz w:val="22"/>
          <w:szCs w:val="22"/>
        </w:rPr>
        <w:t xml:space="preserve">to </w:t>
      </w:r>
      <w:r w:rsidR="005630C6" w:rsidRPr="000B1390">
        <w:rPr>
          <w:rFonts w:ascii="Cambria" w:hAnsi="Cambria"/>
          <w:sz w:val="22"/>
          <w:szCs w:val="22"/>
        </w:rPr>
        <w:t xml:space="preserve">our </w:t>
      </w:r>
      <w:r w:rsidR="004079B5">
        <w:rPr>
          <w:rFonts w:ascii="Cambria" w:hAnsi="Cambria"/>
          <w:sz w:val="22"/>
          <w:szCs w:val="22"/>
        </w:rPr>
        <w:t>regional economies</w:t>
      </w:r>
      <w:r w:rsidR="0020349D" w:rsidRPr="000B1390">
        <w:rPr>
          <w:rFonts w:ascii="Cambria" w:hAnsi="Cambria"/>
          <w:sz w:val="22"/>
          <w:szCs w:val="22"/>
        </w:rPr>
        <w:t>.</w:t>
      </w:r>
      <w:r w:rsidR="00F37840" w:rsidRPr="000B1390">
        <w:rPr>
          <w:rFonts w:ascii="Cambria" w:hAnsi="Cambria"/>
          <w:sz w:val="22"/>
          <w:szCs w:val="22"/>
        </w:rPr>
        <w:t xml:space="preserve"> </w:t>
      </w:r>
    </w:p>
    <w:p w14:paraId="6429446F" w14:textId="7F076E72" w:rsidR="00EF7563" w:rsidRPr="000B1390" w:rsidRDefault="009F1BE1" w:rsidP="00DE7EB7">
      <w:pPr>
        <w:spacing w:after="200" w:line="276" w:lineRule="auto"/>
        <w:rPr>
          <w:rFonts w:ascii="Cambria" w:hAnsi="Cambria"/>
          <w:sz w:val="22"/>
          <w:szCs w:val="22"/>
        </w:rPr>
      </w:pPr>
      <w:r w:rsidRPr="000B1390">
        <w:rPr>
          <w:rFonts w:ascii="Cambria" w:hAnsi="Cambria"/>
          <w:sz w:val="22"/>
          <w:szCs w:val="22"/>
        </w:rPr>
        <w:t xml:space="preserve">Over the past decade, </w:t>
      </w:r>
      <w:r w:rsidR="00FB7CFE" w:rsidRPr="000B1390">
        <w:rPr>
          <w:rFonts w:ascii="Cambria" w:hAnsi="Cambria"/>
          <w:sz w:val="22"/>
          <w:szCs w:val="22"/>
        </w:rPr>
        <w:t xml:space="preserve">Basin </w:t>
      </w:r>
      <w:r w:rsidR="59CB5B5E" w:rsidRPr="000B1390">
        <w:rPr>
          <w:rFonts w:ascii="Cambria" w:hAnsi="Cambria"/>
          <w:sz w:val="22"/>
          <w:szCs w:val="22"/>
        </w:rPr>
        <w:t>water</w:t>
      </w:r>
      <w:r w:rsidR="5AA5C41E" w:rsidRPr="000B1390">
        <w:rPr>
          <w:rFonts w:ascii="Cambria" w:hAnsi="Cambria"/>
          <w:sz w:val="22"/>
          <w:szCs w:val="22"/>
        </w:rPr>
        <w:t xml:space="preserve"> </w:t>
      </w:r>
      <w:r w:rsidR="004079B5">
        <w:rPr>
          <w:rFonts w:ascii="Cambria" w:hAnsi="Cambria"/>
          <w:sz w:val="22"/>
          <w:szCs w:val="22"/>
        </w:rPr>
        <w:t>trading activity has</w:t>
      </w:r>
      <w:r w:rsidR="5AA5C41E" w:rsidRPr="000B1390">
        <w:rPr>
          <w:rFonts w:ascii="Cambria" w:hAnsi="Cambria"/>
          <w:sz w:val="22"/>
          <w:szCs w:val="22"/>
        </w:rPr>
        <w:t xml:space="preserve"> </w:t>
      </w:r>
      <w:r w:rsidRPr="000B1390">
        <w:rPr>
          <w:rFonts w:ascii="Cambria" w:hAnsi="Cambria"/>
          <w:sz w:val="22"/>
          <w:szCs w:val="22"/>
        </w:rPr>
        <w:t xml:space="preserve">grown </w:t>
      </w:r>
      <w:r w:rsidR="00FB7CFE" w:rsidRPr="000B1390">
        <w:rPr>
          <w:rFonts w:ascii="Cambria" w:hAnsi="Cambria"/>
          <w:sz w:val="22"/>
          <w:szCs w:val="22"/>
        </w:rPr>
        <w:t>considerabl</w:t>
      </w:r>
      <w:r w:rsidR="00513693" w:rsidRPr="000B1390">
        <w:rPr>
          <w:rFonts w:ascii="Cambria" w:hAnsi="Cambria"/>
          <w:sz w:val="22"/>
          <w:szCs w:val="22"/>
        </w:rPr>
        <w:t>y</w:t>
      </w:r>
      <w:r w:rsidR="004079B5">
        <w:rPr>
          <w:rFonts w:ascii="Cambria" w:hAnsi="Cambria"/>
          <w:sz w:val="22"/>
          <w:szCs w:val="22"/>
        </w:rPr>
        <w:t>. T</w:t>
      </w:r>
      <w:r w:rsidR="00513693" w:rsidRPr="000B1390">
        <w:rPr>
          <w:rFonts w:ascii="Cambria" w:hAnsi="Cambria"/>
          <w:sz w:val="22"/>
          <w:szCs w:val="22"/>
        </w:rPr>
        <w:t>he</w:t>
      </w:r>
      <w:r w:rsidR="5AA5C41E" w:rsidRPr="000B1390">
        <w:rPr>
          <w:rFonts w:ascii="Cambria" w:hAnsi="Cambria"/>
          <w:sz w:val="22"/>
          <w:szCs w:val="22"/>
        </w:rPr>
        <w:t xml:space="preserve"> Basin-wide set of markets </w:t>
      </w:r>
      <w:r w:rsidR="004079B5">
        <w:rPr>
          <w:rFonts w:ascii="Cambria" w:hAnsi="Cambria"/>
          <w:sz w:val="22"/>
          <w:szCs w:val="22"/>
        </w:rPr>
        <w:t xml:space="preserve">now have </w:t>
      </w:r>
      <w:r w:rsidR="5AA5C41E" w:rsidRPr="000B1390">
        <w:rPr>
          <w:rFonts w:ascii="Cambria" w:hAnsi="Cambria"/>
          <w:sz w:val="22"/>
          <w:szCs w:val="22"/>
        </w:rPr>
        <w:t xml:space="preserve">an average </w:t>
      </w:r>
      <w:r w:rsidR="67FDEAB9" w:rsidRPr="000B1390">
        <w:rPr>
          <w:rFonts w:ascii="Cambria" w:hAnsi="Cambria"/>
          <w:sz w:val="22"/>
          <w:szCs w:val="22"/>
        </w:rPr>
        <w:t xml:space="preserve">annual </w:t>
      </w:r>
      <w:r w:rsidR="5AA5C41E" w:rsidRPr="000B1390">
        <w:rPr>
          <w:rFonts w:ascii="Cambria" w:hAnsi="Cambria"/>
          <w:sz w:val="22"/>
          <w:szCs w:val="22"/>
        </w:rPr>
        <w:t>value of more than $1.8 bill</w:t>
      </w:r>
      <w:r w:rsidR="0E39350A" w:rsidRPr="000B1390">
        <w:rPr>
          <w:rFonts w:ascii="Cambria" w:hAnsi="Cambria"/>
          <w:sz w:val="22"/>
          <w:szCs w:val="22"/>
        </w:rPr>
        <w:t>ion</w:t>
      </w:r>
      <w:r w:rsidR="00EF771F">
        <w:rPr>
          <w:rFonts w:ascii="Cambria" w:hAnsi="Cambria"/>
          <w:sz w:val="22"/>
          <w:szCs w:val="22"/>
        </w:rPr>
        <w:t>, with t</w:t>
      </w:r>
      <w:r w:rsidR="006663FE" w:rsidRPr="000B1390">
        <w:rPr>
          <w:rFonts w:ascii="Cambria" w:hAnsi="Cambria"/>
          <w:sz w:val="22"/>
          <w:szCs w:val="22"/>
        </w:rPr>
        <w:t xml:space="preserve">he </w:t>
      </w:r>
      <w:r w:rsidR="003643FE" w:rsidRPr="000B1390">
        <w:rPr>
          <w:rFonts w:ascii="Cambria" w:hAnsi="Cambria"/>
          <w:sz w:val="22"/>
          <w:szCs w:val="22"/>
        </w:rPr>
        <w:t>un</w:t>
      </w:r>
      <w:r w:rsidR="00B37E5D" w:rsidRPr="000B1390">
        <w:rPr>
          <w:rFonts w:ascii="Cambria" w:hAnsi="Cambria"/>
          <w:sz w:val="22"/>
          <w:szCs w:val="22"/>
        </w:rPr>
        <w:t xml:space="preserve">derpinning value of entitlements </w:t>
      </w:r>
      <w:r w:rsidR="00F668A3" w:rsidRPr="000B1390">
        <w:rPr>
          <w:rFonts w:ascii="Cambria" w:hAnsi="Cambria"/>
          <w:sz w:val="22"/>
          <w:szCs w:val="22"/>
        </w:rPr>
        <w:t xml:space="preserve">in the southern Basin alone </w:t>
      </w:r>
      <w:r w:rsidR="00C20DFA">
        <w:rPr>
          <w:rFonts w:ascii="Cambria" w:hAnsi="Cambria"/>
          <w:sz w:val="22"/>
          <w:szCs w:val="22"/>
        </w:rPr>
        <w:t xml:space="preserve">estimated to be </w:t>
      </w:r>
      <w:r w:rsidR="00F8739E" w:rsidRPr="000B1390">
        <w:rPr>
          <w:rFonts w:ascii="Cambria" w:hAnsi="Cambria"/>
          <w:sz w:val="22"/>
          <w:szCs w:val="22"/>
        </w:rPr>
        <w:t xml:space="preserve">around </w:t>
      </w:r>
      <w:r w:rsidR="00B37E5D" w:rsidRPr="000B1390">
        <w:rPr>
          <w:rFonts w:ascii="Cambria" w:hAnsi="Cambria"/>
          <w:sz w:val="22"/>
          <w:szCs w:val="22"/>
        </w:rPr>
        <w:t>$</w:t>
      </w:r>
      <w:r w:rsidR="00F8739E" w:rsidRPr="000B1390">
        <w:rPr>
          <w:rFonts w:ascii="Cambria" w:hAnsi="Cambria"/>
          <w:sz w:val="22"/>
          <w:szCs w:val="22"/>
        </w:rPr>
        <w:t>26.5</w:t>
      </w:r>
      <w:r w:rsidR="00B37E5D" w:rsidRPr="000B1390">
        <w:rPr>
          <w:rFonts w:ascii="Cambria" w:hAnsi="Cambria"/>
          <w:sz w:val="22"/>
          <w:szCs w:val="22"/>
        </w:rPr>
        <w:t xml:space="preserve"> billion</w:t>
      </w:r>
      <w:r w:rsidR="00F8739E" w:rsidRPr="000B1390">
        <w:rPr>
          <w:rStyle w:val="FootnoteReference"/>
          <w:rFonts w:ascii="Cambria" w:hAnsi="Cambria"/>
          <w:sz w:val="22"/>
          <w:szCs w:val="22"/>
        </w:rPr>
        <w:footnoteReference w:id="6"/>
      </w:r>
      <w:r w:rsidR="0020349D" w:rsidRPr="000B1390">
        <w:rPr>
          <w:rFonts w:ascii="Cambria" w:hAnsi="Cambria"/>
          <w:sz w:val="22"/>
          <w:szCs w:val="22"/>
        </w:rPr>
        <w:t xml:space="preserve"> </w:t>
      </w:r>
      <w:r w:rsidR="004079B5">
        <w:rPr>
          <w:rFonts w:ascii="Cambria" w:hAnsi="Cambria"/>
          <w:sz w:val="22"/>
          <w:szCs w:val="22"/>
        </w:rPr>
        <w:t>and rising.</w:t>
      </w:r>
    </w:p>
    <w:p w14:paraId="3AA36ACE" w14:textId="6FD6CCCD" w:rsidR="000142C2" w:rsidRPr="000B1390" w:rsidRDefault="00870D73" w:rsidP="00DE7EB7">
      <w:pPr>
        <w:spacing w:after="200" w:line="276" w:lineRule="auto"/>
        <w:rPr>
          <w:rFonts w:ascii="Cambria" w:hAnsi="Cambria"/>
          <w:sz w:val="22"/>
          <w:szCs w:val="22"/>
        </w:rPr>
      </w:pPr>
      <w:r w:rsidRPr="000B1390">
        <w:rPr>
          <w:rFonts w:ascii="Cambria" w:hAnsi="Cambria"/>
          <w:sz w:val="22"/>
          <w:szCs w:val="22"/>
        </w:rPr>
        <w:lastRenderedPageBreak/>
        <w:t xml:space="preserve">Other than </w:t>
      </w:r>
      <w:r w:rsidR="004079B5">
        <w:rPr>
          <w:rFonts w:ascii="Cambria" w:hAnsi="Cambria"/>
          <w:sz w:val="22"/>
          <w:szCs w:val="22"/>
        </w:rPr>
        <w:t>economic value</w:t>
      </w:r>
      <w:r w:rsidRPr="000B1390">
        <w:rPr>
          <w:rFonts w:ascii="Cambria" w:hAnsi="Cambria"/>
          <w:sz w:val="22"/>
          <w:szCs w:val="22"/>
        </w:rPr>
        <w:t>, t</w:t>
      </w:r>
      <w:r w:rsidR="00187FD3" w:rsidRPr="000B1390">
        <w:rPr>
          <w:rFonts w:ascii="Cambria" w:hAnsi="Cambria"/>
          <w:sz w:val="22"/>
          <w:szCs w:val="22"/>
        </w:rPr>
        <w:t>here are several reasons why w</w:t>
      </w:r>
      <w:r w:rsidR="00187F7F" w:rsidRPr="000B1390">
        <w:rPr>
          <w:rFonts w:ascii="Cambria" w:hAnsi="Cambria"/>
          <w:sz w:val="22"/>
          <w:szCs w:val="22"/>
        </w:rPr>
        <w:t xml:space="preserve">ater markets have </w:t>
      </w:r>
      <w:r w:rsidR="004079B5">
        <w:rPr>
          <w:rFonts w:ascii="Cambria" w:hAnsi="Cambria"/>
          <w:sz w:val="22"/>
          <w:szCs w:val="22"/>
        </w:rPr>
        <w:t>rapidly</w:t>
      </w:r>
      <w:r w:rsidR="008D5B13" w:rsidRPr="000B1390">
        <w:rPr>
          <w:rFonts w:ascii="Cambria" w:hAnsi="Cambria"/>
          <w:sz w:val="22"/>
          <w:szCs w:val="22"/>
        </w:rPr>
        <w:t xml:space="preserve"> </w:t>
      </w:r>
      <w:r w:rsidR="004079B5">
        <w:rPr>
          <w:rFonts w:ascii="Cambria" w:hAnsi="Cambria"/>
          <w:sz w:val="22"/>
          <w:szCs w:val="22"/>
        </w:rPr>
        <w:t>grown from infancy to be</w:t>
      </w:r>
      <w:r w:rsidR="004D7007">
        <w:rPr>
          <w:rFonts w:ascii="Cambria" w:hAnsi="Cambria"/>
          <w:sz w:val="22"/>
          <w:szCs w:val="22"/>
        </w:rPr>
        <w:t xml:space="preserve"> </w:t>
      </w:r>
      <w:r w:rsidR="008D5B13" w:rsidRPr="000B1390">
        <w:rPr>
          <w:rFonts w:ascii="Cambria" w:hAnsi="Cambria"/>
          <w:sz w:val="22"/>
          <w:szCs w:val="22"/>
        </w:rPr>
        <w:t>increasingly important</w:t>
      </w:r>
      <w:r w:rsidR="000142C2" w:rsidRPr="000B1390">
        <w:rPr>
          <w:rFonts w:ascii="Cambria" w:hAnsi="Cambria"/>
          <w:sz w:val="22"/>
          <w:szCs w:val="22"/>
        </w:rPr>
        <w:t>:</w:t>
      </w:r>
    </w:p>
    <w:p w14:paraId="5F864CEF" w14:textId="01990CA0" w:rsidR="0057669C" w:rsidRPr="000B1390" w:rsidRDefault="0087360A" w:rsidP="00DE7EB7">
      <w:pPr>
        <w:pStyle w:val="ListParagraph"/>
        <w:numPr>
          <w:ilvl w:val="0"/>
          <w:numId w:val="6"/>
        </w:numPr>
        <w:spacing w:after="200" w:line="276" w:lineRule="auto"/>
        <w:ind w:left="357" w:hanging="357"/>
        <w:rPr>
          <w:rFonts w:ascii="Cambria" w:hAnsi="Cambria"/>
          <w:sz w:val="22"/>
          <w:szCs w:val="22"/>
        </w:rPr>
      </w:pPr>
      <w:r w:rsidRPr="00C859E6">
        <w:rPr>
          <w:rFonts w:ascii="Cambria" w:hAnsi="Cambria"/>
          <w:sz w:val="22"/>
          <w:szCs w:val="22"/>
        </w:rPr>
        <w:t>Irrigated agricultural production in the Basin</w:t>
      </w:r>
      <w:r w:rsidR="00E83FDB" w:rsidRPr="00C859E6">
        <w:rPr>
          <w:rFonts w:ascii="Cambria" w:hAnsi="Cambria"/>
          <w:sz w:val="22"/>
          <w:szCs w:val="22"/>
        </w:rPr>
        <w:t xml:space="preserve"> is changing</w:t>
      </w:r>
      <w:r w:rsidRPr="00C859E6">
        <w:rPr>
          <w:rFonts w:ascii="Cambria" w:hAnsi="Cambria"/>
          <w:sz w:val="22"/>
          <w:szCs w:val="22"/>
        </w:rPr>
        <w:t xml:space="preserve"> </w:t>
      </w:r>
      <w:r w:rsidR="00550C22" w:rsidRPr="00C859E6">
        <w:rPr>
          <w:rFonts w:ascii="Cambria" w:hAnsi="Cambria"/>
          <w:sz w:val="22"/>
          <w:szCs w:val="22"/>
        </w:rPr>
        <w:t>in response to climatic and regulatory factors</w:t>
      </w:r>
      <w:r w:rsidR="00ED30B7">
        <w:rPr>
          <w:rFonts w:ascii="Cambria" w:hAnsi="Cambria"/>
          <w:sz w:val="22"/>
          <w:szCs w:val="22"/>
        </w:rPr>
        <w:t xml:space="preserve"> (</w:t>
      </w:r>
      <w:r w:rsidR="005F6674">
        <w:rPr>
          <w:rFonts w:ascii="Cambria" w:hAnsi="Cambria"/>
          <w:sz w:val="22"/>
          <w:szCs w:val="22"/>
        </w:rPr>
        <w:t xml:space="preserve">such as </w:t>
      </w:r>
      <w:r w:rsidR="00E170C1">
        <w:rPr>
          <w:rFonts w:ascii="Cambria" w:hAnsi="Cambria"/>
          <w:sz w:val="22"/>
          <w:szCs w:val="22"/>
        </w:rPr>
        <w:t xml:space="preserve">land use and </w:t>
      </w:r>
      <w:r w:rsidR="00F41B8A">
        <w:rPr>
          <w:rFonts w:ascii="Cambria" w:hAnsi="Cambria"/>
          <w:sz w:val="22"/>
          <w:szCs w:val="22"/>
        </w:rPr>
        <w:t>planning controls)</w:t>
      </w:r>
      <w:r w:rsidR="004D7007">
        <w:rPr>
          <w:rFonts w:ascii="Cambria" w:hAnsi="Cambria"/>
          <w:sz w:val="22"/>
          <w:szCs w:val="22"/>
        </w:rPr>
        <w:t xml:space="preserve"> and</w:t>
      </w:r>
      <w:r w:rsidR="00550C22" w:rsidRPr="000B1390">
        <w:rPr>
          <w:rFonts w:ascii="Cambria" w:hAnsi="Cambria"/>
          <w:sz w:val="22"/>
          <w:szCs w:val="22"/>
        </w:rPr>
        <w:t xml:space="preserve"> </w:t>
      </w:r>
      <w:r w:rsidR="004D7007">
        <w:rPr>
          <w:rFonts w:ascii="Cambria" w:hAnsi="Cambria"/>
          <w:sz w:val="22"/>
          <w:szCs w:val="22"/>
        </w:rPr>
        <w:t>strong international food and fibre markets.  This has increased the desire</w:t>
      </w:r>
      <w:r w:rsidR="00550C22" w:rsidRPr="000B1390">
        <w:rPr>
          <w:rFonts w:ascii="Cambria" w:hAnsi="Cambria"/>
          <w:sz w:val="22"/>
          <w:szCs w:val="22"/>
        </w:rPr>
        <w:t xml:space="preserve"> to move water between locations and between agricultural sectors</w:t>
      </w:r>
      <w:r w:rsidR="004D7007">
        <w:rPr>
          <w:rFonts w:ascii="Cambria" w:hAnsi="Cambria"/>
          <w:sz w:val="22"/>
          <w:szCs w:val="22"/>
        </w:rPr>
        <w:t xml:space="preserve"> for commercial reasons</w:t>
      </w:r>
    </w:p>
    <w:p w14:paraId="10CD67DB" w14:textId="18D192C6" w:rsidR="0057669C" w:rsidRPr="000B1390" w:rsidRDefault="0057669C" w:rsidP="00DE7EB7">
      <w:pPr>
        <w:pStyle w:val="ListParagraph"/>
        <w:numPr>
          <w:ilvl w:val="0"/>
          <w:numId w:val="6"/>
        </w:numPr>
        <w:spacing w:after="200" w:line="276" w:lineRule="auto"/>
        <w:ind w:left="357" w:hanging="357"/>
        <w:rPr>
          <w:rFonts w:ascii="Cambria" w:hAnsi="Cambria"/>
          <w:sz w:val="22"/>
          <w:szCs w:val="22"/>
        </w:rPr>
      </w:pPr>
      <w:r w:rsidRPr="000B1390">
        <w:rPr>
          <w:rFonts w:ascii="Cambria" w:hAnsi="Cambria"/>
          <w:sz w:val="22"/>
          <w:szCs w:val="22"/>
        </w:rPr>
        <w:t xml:space="preserve">New entrants, such as environmental water holders and cultural users, bring different demand </w:t>
      </w:r>
      <w:r w:rsidR="00C6377C">
        <w:rPr>
          <w:rFonts w:ascii="Cambria" w:hAnsi="Cambria"/>
          <w:sz w:val="22"/>
          <w:szCs w:val="22"/>
        </w:rPr>
        <w:t xml:space="preserve">and operating needs </w:t>
      </w:r>
      <w:r w:rsidRPr="000B1390">
        <w:rPr>
          <w:rFonts w:ascii="Cambria" w:hAnsi="Cambria"/>
          <w:sz w:val="22"/>
          <w:szCs w:val="22"/>
        </w:rPr>
        <w:t>to water markets</w:t>
      </w:r>
    </w:p>
    <w:p w14:paraId="2264F269" w14:textId="02D65C11" w:rsidR="00BE7973" w:rsidRPr="000B1390" w:rsidRDefault="00BE7973" w:rsidP="00DE7EB7">
      <w:pPr>
        <w:pStyle w:val="ListParagraph"/>
        <w:numPr>
          <w:ilvl w:val="0"/>
          <w:numId w:val="6"/>
        </w:numPr>
        <w:spacing w:after="200" w:line="276" w:lineRule="auto"/>
        <w:ind w:left="357" w:hanging="357"/>
        <w:rPr>
          <w:rFonts w:ascii="Cambria" w:hAnsi="Cambria"/>
          <w:sz w:val="22"/>
          <w:szCs w:val="22"/>
        </w:rPr>
      </w:pPr>
      <w:r w:rsidRPr="000B1390">
        <w:rPr>
          <w:rFonts w:ascii="Cambria" w:hAnsi="Cambria"/>
          <w:sz w:val="22"/>
          <w:szCs w:val="22"/>
        </w:rPr>
        <w:t xml:space="preserve">Governments have </w:t>
      </w:r>
      <w:r w:rsidR="009B1B1C" w:rsidRPr="000B1390">
        <w:rPr>
          <w:rFonts w:ascii="Cambria" w:hAnsi="Cambria"/>
          <w:sz w:val="22"/>
          <w:szCs w:val="22"/>
        </w:rPr>
        <w:t xml:space="preserve">invested in better mechanisms for water trading and reduced restrictions on </w:t>
      </w:r>
      <w:r w:rsidR="00C6377C">
        <w:rPr>
          <w:rFonts w:ascii="Cambria" w:hAnsi="Cambria"/>
          <w:sz w:val="22"/>
          <w:szCs w:val="22"/>
        </w:rPr>
        <w:t>the movement of water access</w:t>
      </w:r>
      <w:r w:rsidR="00D134A8" w:rsidRPr="000B1390">
        <w:rPr>
          <w:rFonts w:ascii="Cambria" w:hAnsi="Cambria"/>
          <w:sz w:val="22"/>
          <w:szCs w:val="22"/>
        </w:rPr>
        <w:t xml:space="preserve">, reducing the costs of trading and increasing the </w:t>
      </w:r>
      <w:r w:rsidR="00C6377C">
        <w:rPr>
          <w:rFonts w:ascii="Cambria" w:hAnsi="Cambria"/>
          <w:sz w:val="22"/>
          <w:szCs w:val="22"/>
        </w:rPr>
        <w:t>returns from water use</w:t>
      </w:r>
      <w:r w:rsidR="00B0100E" w:rsidRPr="000B1390">
        <w:rPr>
          <w:rFonts w:ascii="Cambria" w:hAnsi="Cambria"/>
          <w:sz w:val="22"/>
          <w:szCs w:val="22"/>
        </w:rPr>
        <w:t xml:space="preserve"> </w:t>
      </w:r>
    </w:p>
    <w:p w14:paraId="03760661" w14:textId="7496A714" w:rsidR="009E6654" w:rsidRPr="000B1390" w:rsidRDefault="00B0100E" w:rsidP="00DE7EB7">
      <w:pPr>
        <w:pStyle w:val="ListParagraph"/>
        <w:numPr>
          <w:ilvl w:val="0"/>
          <w:numId w:val="6"/>
        </w:numPr>
        <w:spacing w:after="200" w:line="276" w:lineRule="auto"/>
        <w:ind w:left="357" w:hanging="357"/>
        <w:rPr>
          <w:rFonts w:ascii="Cambria" w:hAnsi="Cambria"/>
          <w:sz w:val="22"/>
          <w:szCs w:val="22"/>
        </w:rPr>
      </w:pPr>
      <w:r w:rsidRPr="000B1390">
        <w:rPr>
          <w:rFonts w:ascii="Cambria" w:hAnsi="Cambria"/>
          <w:sz w:val="22"/>
          <w:szCs w:val="22"/>
        </w:rPr>
        <w:t>Water trade service providers such as brokers, exchange platforms and irrigation infrastructure operators have create</w:t>
      </w:r>
      <w:r w:rsidR="00C6377C">
        <w:rPr>
          <w:rFonts w:ascii="Cambria" w:hAnsi="Cambria"/>
          <w:sz w:val="22"/>
          <w:szCs w:val="22"/>
        </w:rPr>
        <w:t>d</w:t>
      </w:r>
      <w:r w:rsidRPr="000B1390">
        <w:rPr>
          <w:rFonts w:ascii="Cambria" w:hAnsi="Cambria"/>
          <w:sz w:val="22"/>
          <w:szCs w:val="22"/>
        </w:rPr>
        <w:t xml:space="preserve"> new products such as leases, forward </w:t>
      </w:r>
      <w:proofErr w:type="gramStart"/>
      <w:r w:rsidRPr="000B1390">
        <w:rPr>
          <w:rFonts w:ascii="Cambria" w:hAnsi="Cambria"/>
          <w:sz w:val="22"/>
          <w:szCs w:val="22"/>
        </w:rPr>
        <w:t>contracts</w:t>
      </w:r>
      <w:proofErr w:type="gramEnd"/>
      <w:r w:rsidRPr="000B1390">
        <w:rPr>
          <w:rFonts w:ascii="Cambria" w:hAnsi="Cambria"/>
          <w:sz w:val="22"/>
          <w:szCs w:val="22"/>
        </w:rPr>
        <w:t xml:space="preserve"> and carryover parking, which</w:t>
      </w:r>
      <w:r w:rsidR="009E60A8" w:rsidRPr="000B1390">
        <w:rPr>
          <w:rFonts w:ascii="Cambria" w:hAnsi="Cambria"/>
          <w:sz w:val="22"/>
          <w:szCs w:val="22"/>
        </w:rPr>
        <w:t xml:space="preserve"> provide increased flexibility for water traders and users</w:t>
      </w:r>
      <w:r w:rsidR="009E6654" w:rsidRPr="000B1390">
        <w:rPr>
          <w:rFonts w:ascii="Cambria" w:hAnsi="Cambria"/>
          <w:sz w:val="22"/>
          <w:szCs w:val="22"/>
        </w:rPr>
        <w:t xml:space="preserve"> </w:t>
      </w:r>
    </w:p>
    <w:p w14:paraId="65CE94EB" w14:textId="3E7FE5FD" w:rsidR="009E6654" w:rsidRPr="000B1390" w:rsidRDefault="009E6654" w:rsidP="00DE7EB7">
      <w:pPr>
        <w:pStyle w:val="ListParagraph"/>
        <w:numPr>
          <w:ilvl w:val="0"/>
          <w:numId w:val="6"/>
        </w:numPr>
        <w:spacing w:after="200" w:line="276" w:lineRule="auto"/>
        <w:ind w:left="357" w:hanging="357"/>
        <w:rPr>
          <w:rFonts w:ascii="Cambria" w:hAnsi="Cambria"/>
          <w:sz w:val="22"/>
          <w:szCs w:val="22"/>
        </w:rPr>
      </w:pPr>
      <w:r w:rsidRPr="000B1390">
        <w:rPr>
          <w:rFonts w:ascii="Cambria" w:hAnsi="Cambria"/>
          <w:sz w:val="22"/>
          <w:szCs w:val="22"/>
        </w:rPr>
        <w:t xml:space="preserve">In response to </w:t>
      </w:r>
      <w:r w:rsidR="00EF7181" w:rsidRPr="000B1390">
        <w:rPr>
          <w:rFonts w:ascii="Cambria" w:hAnsi="Cambria"/>
          <w:sz w:val="22"/>
          <w:szCs w:val="22"/>
        </w:rPr>
        <w:t xml:space="preserve">decreasing </w:t>
      </w:r>
      <w:r w:rsidRPr="000B1390">
        <w:rPr>
          <w:rFonts w:ascii="Cambria" w:hAnsi="Cambria"/>
          <w:sz w:val="22"/>
          <w:szCs w:val="22"/>
        </w:rPr>
        <w:t>long-term water availability and reduc</w:t>
      </w:r>
      <w:r w:rsidR="00C6377C">
        <w:rPr>
          <w:rFonts w:ascii="Cambria" w:hAnsi="Cambria"/>
          <w:sz w:val="22"/>
          <w:szCs w:val="22"/>
        </w:rPr>
        <w:t>ed</w:t>
      </w:r>
      <w:r w:rsidR="00FF5FEA" w:rsidRPr="000B1390">
        <w:rPr>
          <w:rFonts w:ascii="Cambria" w:hAnsi="Cambria"/>
          <w:sz w:val="22"/>
          <w:szCs w:val="22"/>
        </w:rPr>
        <w:t xml:space="preserve"> </w:t>
      </w:r>
      <w:r w:rsidRPr="000B1390">
        <w:rPr>
          <w:rFonts w:ascii="Cambria" w:hAnsi="Cambria"/>
          <w:sz w:val="22"/>
          <w:szCs w:val="22"/>
        </w:rPr>
        <w:t xml:space="preserve">consumptive </w:t>
      </w:r>
      <w:r w:rsidR="0086771A" w:rsidRPr="000B1390">
        <w:rPr>
          <w:rFonts w:ascii="Cambria" w:hAnsi="Cambria"/>
          <w:sz w:val="22"/>
          <w:szCs w:val="22"/>
        </w:rPr>
        <w:t xml:space="preserve">water </w:t>
      </w:r>
      <w:r w:rsidR="00FF5FEA" w:rsidRPr="000B1390">
        <w:rPr>
          <w:rFonts w:ascii="Cambria" w:hAnsi="Cambria"/>
          <w:sz w:val="22"/>
          <w:szCs w:val="22"/>
        </w:rPr>
        <w:t>shares</w:t>
      </w:r>
      <w:r w:rsidRPr="000B1390">
        <w:rPr>
          <w:rFonts w:ascii="Cambria" w:hAnsi="Cambria"/>
          <w:sz w:val="22"/>
          <w:szCs w:val="22"/>
        </w:rPr>
        <w:t xml:space="preserve">, water users </w:t>
      </w:r>
      <w:r w:rsidR="00A63C93">
        <w:rPr>
          <w:rFonts w:ascii="Cambria" w:hAnsi="Cambria"/>
          <w:sz w:val="22"/>
          <w:szCs w:val="22"/>
        </w:rPr>
        <w:t xml:space="preserve">increasingly </w:t>
      </w:r>
      <w:r w:rsidRPr="000B1390">
        <w:rPr>
          <w:rFonts w:ascii="Cambria" w:hAnsi="Cambria"/>
          <w:sz w:val="22"/>
          <w:szCs w:val="22"/>
        </w:rPr>
        <w:t>rel</w:t>
      </w:r>
      <w:r w:rsidR="00C6377C">
        <w:rPr>
          <w:rFonts w:ascii="Cambria" w:hAnsi="Cambria"/>
          <w:sz w:val="22"/>
          <w:szCs w:val="22"/>
        </w:rPr>
        <w:t>y</w:t>
      </w:r>
      <w:r w:rsidRPr="000B1390">
        <w:rPr>
          <w:rFonts w:ascii="Cambria" w:hAnsi="Cambria"/>
          <w:sz w:val="22"/>
          <w:szCs w:val="22"/>
        </w:rPr>
        <w:t xml:space="preserve"> on </w:t>
      </w:r>
      <w:r w:rsidR="004D2C16" w:rsidRPr="000B1390">
        <w:rPr>
          <w:rFonts w:ascii="Cambria" w:hAnsi="Cambria"/>
          <w:sz w:val="22"/>
          <w:szCs w:val="22"/>
        </w:rPr>
        <w:t xml:space="preserve">water </w:t>
      </w:r>
      <w:r w:rsidRPr="000B1390">
        <w:rPr>
          <w:rFonts w:ascii="Cambria" w:hAnsi="Cambria"/>
          <w:sz w:val="22"/>
          <w:szCs w:val="22"/>
        </w:rPr>
        <w:t xml:space="preserve">markets to manage their water </w:t>
      </w:r>
      <w:r w:rsidR="00C6377C">
        <w:rPr>
          <w:rFonts w:ascii="Cambria" w:hAnsi="Cambria"/>
          <w:sz w:val="22"/>
          <w:szCs w:val="22"/>
        </w:rPr>
        <w:t>needs</w:t>
      </w:r>
      <w:r w:rsidRPr="000B1390">
        <w:rPr>
          <w:rFonts w:ascii="Cambria" w:hAnsi="Cambria"/>
          <w:sz w:val="22"/>
          <w:szCs w:val="22"/>
        </w:rPr>
        <w:t xml:space="preserve"> and risks more effectively</w:t>
      </w:r>
      <w:r w:rsidR="00FA03A1" w:rsidRPr="000B1390">
        <w:rPr>
          <w:rFonts w:ascii="Cambria" w:hAnsi="Cambria"/>
          <w:sz w:val="22"/>
          <w:szCs w:val="22"/>
        </w:rPr>
        <w:t>.</w:t>
      </w:r>
    </w:p>
    <w:p w14:paraId="1FAE34C1" w14:textId="039C1348" w:rsidR="0049381C" w:rsidRPr="00C66F0F" w:rsidRDefault="008C17EB" w:rsidP="00C66F0F">
      <w:pPr>
        <w:pStyle w:val="Heading3"/>
        <w:spacing w:before="0"/>
        <w:ind w:left="964" w:hanging="964"/>
        <w:rPr>
          <w:rFonts w:asciiTheme="minorHAnsi" w:hAnsiTheme="minorHAnsi" w:cstheme="minorHAnsi"/>
          <w:color w:val="auto"/>
          <w:sz w:val="36"/>
          <w:szCs w:val="36"/>
        </w:rPr>
      </w:pPr>
      <w:bookmarkStart w:id="6" w:name="_Toc90470954"/>
      <w:r>
        <w:rPr>
          <w:rFonts w:ascii="Calibri" w:eastAsia="Times New Roman" w:hAnsi="Calibri" w:cs="Times New Roman"/>
          <w:b/>
          <w:bCs/>
          <w:color w:val="auto"/>
          <w:sz w:val="36"/>
        </w:rPr>
        <w:t>1.4</w:t>
      </w:r>
      <w:r>
        <w:rPr>
          <w:rFonts w:ascii="Calibri" w:eastAsia="Times New Roman" w:hAnsi="Calibri" w:cs="Times New Roman"/>
          <w:b/>
          <w:bCs/>
          <w:color w:val="auto"/>
          <w:sz w:val="36"/>
        </w:rPr>
        <w:tab/>
      </w:r>
      <w:r w:rsidR="0049381C" w:rsidRPr="00C66F0F">
        <w:rPr>
          <w:rFonts w:ascii="Calibri" w:eastAsia="Times New Roman" w:hAnsi="Calibri" w:cs="Times New Roman"/>
          <w:b/>
          <w:bCs/>
          <w:color w:val="auto"/>
          <w:sz w:val="36"/>
        </w:rPr>
        <w:t>What we learnt from the ACCC’s inquiry</w:t>
      </w:r>
      <w:bookmarkEnd w:id="6"/>
    </w:p>
    <w:p w14:paraId="0050BF24" w14:textId="0002464A" w:rsidR="00C12036" w:rsidRPr="003C3C10" w:rsidRDefault="00C12036" w:rsidP="00DE7EB7">
      <w:pPr>
        <w:spacing w:after="200" w:line="276" w:lineRule="auto"/>
        <w:rPr>
          <w:rFonts w:ascii="Cambria" w:hAnsi="Cambria"/>
          <w:sz w:val="22"/>
          <w:szCs w:val="22"/>
        </w:rPr>
      </w:pPr>
      <w:r>
        <w:rPr>
          <w:rFonts w:ascii="Cambria" w:hAnsi="Cambria"/>
          <w:sz w:val="22"/>
          <w:szCs w:val="22"/>
        </w:rPr>
        <w:t>While Basin markets ha</w:t>
      </w:r>
      <w:r w:rsidR="00A63C93">
        <w:rPr>
          <w:rFonts w:ascii="Cambria" w:hAnsi="Cambria"/>
          <w:sz w:val="22"/>
          <w:szCs w:val="22"/>
        </w:rPr>
        <w:t>ve</w:t>
      </w:r>
      <w:r>
        <w:rPr>
          <w:rFonts w:ascii="Cambria" w:hAnsi="Cambria"/>
          <w:sz w:val="22"/>
          <w:szCs w:val="22"/>
        </w:rPr>
        <w:t xml:space="preserve"> </w:t>
      </w:r>
      <w:r w:rsidR="005F6674">
        <w:rPr>
          <w:rFonts w:ascii="Cambria" w:hAnsi="Cambria"/>
          <w:sz w:val="22"/>
          <w:szCs w:val="22"/>
        </w:rPr>
        <w:t xml:space="preserve">generally </w:t>
      </w:r>
      <w:r>
        <w:rPr>
          <w:rFonts w:ascii="Cambria" w:hAnsi="Cambria"/>
          <w:sz w:val="22"/>
          <w:szCs w:val="22"/>
        </w:rPr>
        <w:t>brought strong benefits to water users</w:t>
      </w:r>
      <w:r w:rsidR="00A63C93">
        <w:rPr>
          <w:rFonts w:ascii="Cambria" w:hAnsi="Cambria"/>
          <w:sz w:val="22"/>
          <w:szCs w:val="22"/>
        </w:rPr>
        <w:t xml:space="preserve"> </w:t>
      </w:r>
      <w:r>
        <w:rPr>
          <w:rFonts w:ascii="Cambria" w:hAnsi="Cambria"/>
          <w:sz w:val="22"/>
          <w:szCs w:val="22"/>
        </w:rPr>
        <w:t>across the Basin, i</w:t>
      </w:r>
      <w:r w:rsidRPr="00946BDF">
        <w:rPr>
          <w:rFonts w:ascii="Cambria" w:hAnsi="Cambria"/>
          <w:sz w:val="22"/>
          <w:szCs w:val="22"/>
        </w:rPr>
        <w:t>t is not surprising th</w:t>
      </w:r>
      <w:r w:rsidRPr="00D44A2B">
        <w:rPr>
          <w:rFonts w:ascii="Cambria" w:hAnsi="Cambria"/>
          <w:sz w:val="22"/>
          <w:szCs w:val="22"/>
        </w:rPr>
        <w:t xml:space="preserve">at there is scope for improvements in many areas. This market has mostly developed over the last </w:t>
      </w:r>
      <w:r>
        <w:rPr>
          <w:rFonts w:ascii="Cambria" w:hAnsi="Cambria"/>
          <w:sz w:val="22"/>
          <w:szCs w:val="22"/>
        </w:rPr>
        <w:t>20</w:t>
      </w:r>
      <w:r w:rsidRPr="000B1390">
        <w:rPr>
          <w:rFonts w:ascii="Cambria" w:hAnsi="Cambria"/>
          <w:sz w:val="22"/>
          <w:szCs w:val="22"/>
        </w:rPr>
        <w:t xml:space="preserve"> years</w:t>
      </w:r>
      <w:r>
        <w:rPr>
          <w:rStyle w:val="FootnoteReference"/>
          <w:rFonts w:ascii="Cambria" w:hAnsi="Cambria"/>
          <w:sz w:val="22"/>
          <w:szCs w:val="22"/>
        </w:rPr>
        <w:footnoteReference w:id="7"/>
      </w:r>
      <w:r w:rsidRPr="000B1390">
        <w:rPr>
          <w:rFonts w:ascii="Cambria" w:hAnsi="Cambria"/>
          <w:sz w:val="22"/>
          <w:szCs w:val="22"/>
        </w:rPr>
        <w:t xml:space="preserve"> and with minimal formal regulation of the kind that has developed in other </w:t>
      </w:r>
      <w:r w:rsidRPr="00CE0DB6">
        <w:rPr>
          <w:rFonts w:ascii="Cambria" w:hAnsi="Cambria"/>
          <w:sz w:val="22"/>
          <w:szCs w:val="22"/>
        </w:rPr>
        <w:t>trading markets over many decades.</w:t>
      </w:r>
    </w:p>
    <w:p w14:paraId="4E246045" w14:textId="724F2B78" w:rsidR="00455923" w:rsidRPr="00B40EAF" w:rsidRDefault="00455923" w:rsidP="00DE7EB7">
      <w:pPr>
        <w:spacing w:after="200" w:line="276" w:lineRule="auto"/>
        <w:rPr>
          <w:rFonts w:ascii="Cambria" w:hAnsi="Cambria"/>
          <w:sz w:val="22"/>
          <w:szCs w:val="22"/>
        </w:rPr>
      </w:pPr>
      <w:r w:rsidRPr="00032D11">
        <w:rPr>
          <w:rFonts w:ascii="Cambria" w:hAnsi="Cambria"/>
          <w:sz w:val="22"/>
          <w:szCs w:val="22"/>
        </w:rPr>
        <w:t>The ACCC conducted a thorough research process</w:t>
      </w:r>
      <w:r w:rsidR="003A3846" w:rsidRPr="00032D11">
        <w:rPr>
          <w:rFonts w:ascii="Cambria" w:hAnsi="Cambria"/>
          <w:sz w:val="22"/>
          <w:szCs w:val="22"/>
        </w:rPr>
        <w:t xml:space="preserve">.  It received </w:t>
      </w:r>
      <w:r w:rsidR="007F4F3A" w:rsidRPr="00FF08FD">
        <w:rPr>
          <w:rFonts w:ascii="Cambria" w:hAnsi="Cambria"/>
          <w:sz w:val="22"/>
          <w:szCs w:val="22"/>
        </w:rPr>
        <w:t xml:space="preserve">over </w:t>
      </w:r>
      <w:r w:rsidR="00AF5798" w:rsidRPr="00A5384E">
        <w:rPr>
          <w:rFonts w:ascii="Cambria" w:hAnsi="Cambria"/>
          <w:sz w:val="22"/>
          <w:szCs w:val="22"/>
        </w:rPr>
        <w:t>221</w:t>
      </w:r>
      <w:r w:rsidR="003A3846" w:rsidRPr="00B07A2B">
        <w:rPr>
          <w:rFonts w:ascii="Cambria" w:hAnsi="Cambria"/>
          <w:sz w:val="22"/>
          <w:szCs w:val="22"/>
        </w:rPr>
        <w:t xml:space="preserve"> </w:t>
      </w:r>
      <w:r w:rsidR="003A3846" w:rsidRPr="00CE0DB6">
        <w:rPr>
          <w:rFonts w:ascii="Cambria" w:hAnsi="Cambria"/>
          <w:sz w:val="22"/>
          <w:szCs w:val="22"/>
        </w:rPr>
        <w:t>submissions</w:t>
      </w:r>
      <w:r w:rsidR="003A3846" w:rsidRPr="00B40EAF">
        <w:rPr>
          <w:rFonts w:ascii="Cambria" w:hAnsi="Cambria"/>
          <w:sz w:val="22"/>
          <w:szCs w:val="22"/>
        </w:rPr>
        <w:t xml:space="preserve">, consulted widely, and </w:t>
      </w:r>
      <w:r w:rsidR="00D81B0F" w:rsidRPr="00B40EAF">
        <w:rPr>
          <w:rFonts w:ascii="Cambria" w:hAnsi="Cambria"/>
          <w:sz w:val="22"/>
          <w:szCs w:val="22"/>
        </w:rPr>
        <w:t>tested</w:t>
      </w:r>
      <w:r w:rsidR="00762659" w:rsidRPr="00B40EAF">
        <w:rPr>
          <w:rFonts w:ascii="Cambria" w:hAnsi="Cambria"/>
          <w:sz w:val="22"/>
          <w:szCs w:val="22"/>
        </w:rPr>
        <w:t xml:space="preserve"> hypotheses about market manipulation against</w:t>
      </w:r>
      <w:r w:rsidR="000F04D4">
        <w:rPr>
          <w:rFonts w:ascii="Cambria" w:hAnsi="Cambria"/>
          <w:sz w:val="22"/>
          <w:szCs w:val="22"/>
        </w:rPr>
        <w:t xml:space="preserve"> over 8 million water market and water use </w:t>
      </w:r>
      <w:r w:rsidR="00762659" w:rsidRPr="00B40EAF">
        <w:rPr>
          <w:rFonts w:ascii="Cambria" w:hAnsi="Cambria"/>
          <w:sz w:val="22"/>
          <w:szCs w:val="22"/>
        </w:rPr>
        <w:t>transactions</w:t>
      </w:r>
      <w:r w:rsidR="008444E1" w:rsidRPr="00E16600">
        <w:rPr>
          <w:rFonts w:ascii="Cambria" w:hAnsi="Cambria"/>
          <w:sz w:val="22"/>
          <w:szCs w:val="22"/>
        </w:rPr>
        <w:t>.</w:t>
      </w:r>
      <w:r w:rsidR="0099515D" w:rsidRPr="00E16600">
        <w:rPr>
          <w:rStyle w:val="FootnoteReference"/>
          <w:rFonts w:ascii="Cambria" w:hAnsi="Cambria"/>
          <w:sz w:val="22"/>
          <w:szCs w:val="22"/>
        </w:rPr>
        <w:footnoteReference w:id="8"/>
      </w:r>
      <w:r w:rsidR="008444E1" w:rsidRPr="00E16600">
        <w:rPr>
          <w:rFonts w:ascii="Cambria" w:hAnsi="Cambria"/>
          <w:sz w:val="22"/>
          <w:szCs w:val="22"/>
        </w:rPr>
        <w:t xml:space="preserve"> </w:t>
      </w:r>
      <w:r w:rsidR="00FF1444" w:rsidRPr="00E16600">
        <w:rPr>
          <w:rFonts w:ascii="Cambria" w:hAnsi="Cambria"/>
          <w:sz w:val="22"/>
          <w:szCs w:val="22"/>
        </w:rPr>
        <w:t xml:space="preserve"> </w:t>
      </w:r>
    </w:p>
    <w:p w14:paraId="13D77FDA" w14:textId="7A73D479" w:rsidR="00D445DF" w:rsidRPr="00C66F0F" w:rsidRDefault="00D445DF" w:rsidP="00A8083C">
      <w:pPr>
        <w:spacing w:after="200" w:line="276" w:lineRule="auto"/>
        <w:rPr>
          <w:rFonts w:ascii="Cambria" w:hAnsi="Cambria"/>
          <w:sz w:val="22"/>
          <w:szCs w:val="22"/>
        </w:rPr>
      </w:pPr>
      <w:r w:rsidRPr="00C66F0F">
        <w:rPr>
          <w:rFonts w:ascii="Cambria" w:hAnsi="Cambria"/>
          <w:sz w:val="22"/>
          <w:szCs w:val="22"/>
        </w:rPr>
        <w:t xml:space="preserve">The Commission’s </w:t>
      </w:r>
      <w:r w:rsidR="00914986" w:rsidRPr="00C66F0F">
        <w:rPr>
          <w:rFonts w:ascii="Cambria" w:hAnsi="Cambria"/>
          <w:sz w:val="22"/>
          <w:szCs w:val="22"/>
        </w:rPr>
        <w:t>general conclusions were</w:t>
      </w:r>
      <w:r w:rsidR="00AB6D69" w:rsidRPr="00C66F0F">
        <w:rPr>
          <w:rFonts w:ascii="Cambria" w:hAnsi="Cambria"/>
          <w:sz w:val="22"/>
          <w:szCs w:val="22"/>
        </w:rPr>
        <w:t>:</w:t>
      </w:r>
    </w:p>
    <w:p w14:paraId="7BB962F4" w14:textId="5AB232D0" w:rsidR="00F21BB4" w:rsidRPr="00547DE3" w:rsidRDefault="00B753B7" w:rsidP="00C66F0F">
      <w:pPr>
        <w:pStyle w:val="ListParagraph"/>
        <w:numPr>
          <w:ilvl w:val="0"/>
          <w:numId w:val="6"/>
        </w:numPr>
        <w:spacing w:after="200" w:line="276" w:lineRule="auto"/>
        <w:ind w:left="357" w:hanging="357"/>
        <w:rPr>
          <w:rFonts w:ascii="Cambria" w:hAnsi="Cambria"/>
          <w:sz w:val="22"/>
          <w:szCs w:val="22"/>
        </w:rPr>
      </w:pPr>
      <w:r w:rsidRPr="00C66F0F">
        <w:rPr>
          <w:rFonts w:ascii="Cambria" w:hAnsi="Cambria"/>
          <w:sz w:val="22"/>
          <w:szCs w:val="22"/>
        </w:rPr>
        <w:t>there is a lack of quality, timely and accessible information for water market participants</w:t>
      </w:r>
    </w:p>
    <w:p w14:paraId="3EDA5654" w14:textId="03CAF3F6" w:rsidR="00B753B7" w:rsidRPr="001B7C74" w:rsidRDefault="00B753B7" w:rsidP="00C66F0F">
      <w:pPr>
        <w:pStyle w:val="ListParagraph"/>
        <w:numPr>
          <w:ilvl w:val="0"/>
          <w:numId w:val="6"/>
        </w:numPr>
        <w:spacing w:after="200" w:line="276" w:lineRule="auto"/>
        <w:ind w:left="357" w:hanging="357"/>
        <w:rPr>
          <w:rFonts w:ascii="Cambria" w:hAnsi="Cambria"/>
          <w:sz w:val="22"/>
          <w:szCs w:val="22"/>
        </w:rPr>
      </w:pPr>
      <w:r w:rsidRPr="00C66F0F">
        <w:rPr>
          <w:rFonts w:ascii="Cambria" w:hAnsi="Cambria"/>
          <w:sz w:val="22"/>
          <w:szCs w:val="22"/>
        </w:rPr>
        <w:t xml:space="preserve">there are </w:t>
      </w:r>
      <w:r w:rsidR="00146DAE">
        <w:rPr>
          <w:rFonts w:ascii="Cambria" w:hAnsi="Cambria"/>
          <w:sz w:val="22"/>
          <w:szCs w:val="22"/>
        </w:rPr>
        <w:t>inadequate</w:t>
      </w:r>
      <w:r w:rsidRPr="00C66F0F">
        <w:rPr>
          <w:rFonts w:ascii="Cambria" w:hAnsi="Cambria"/>
          <w:sz w:val="22"/>
          <w:szCs w:val="22"/>
        </w:rPr>
        <w:t xml:space="preserve"> rules governing the conduct of market participants, and no </w:t>
      </w:r>
      <w:proofErr w:type="gramStart"/>
      <w:r w:rsidRPr="00C66F0F">
        <w:rPr>
          <w:rFonts w:ascii="Cambria" w:hAnsi="Cambria"/>
          <w:sz w:val="22"/>
          <w:szCs w:val="22"/>
        </w:rPr>
        <w:t>particular body</w:t>
      </w:r>
      <w:proofErr w:type="gramEnd"/>
      <w:r w:rsidRPr="00C66F0F">
        <w:rPr>
          <w:rFonts w:ascii="Cambria" w:hAnsi="Cambria"/>
          <w:sz w:val="22"/>
          <w:szCs w:val="22"/>
        </w:rPr>
        <w:t xml:space="preserve"> to oversee trading activities</w:t>
      </w:r>
    </w:p>
    <w:p w14:paraId="5EE76F6C" w14:textId="53F8A1DA" w:rsidR="00B753B7" w:rsidRPr="00547DE3" w:rsidRDefault="006C0D13" w:rsidP="00C66F0F">
      <w:pPr>
        <w:pStyle w:val="ListParagraph"/>
        <w:numPr>
          <w:ilvl w:val="0"/>
          <w:numId w:val="6"/>
        </w:numPr>
        <w:spacing w:after="200" w:line="276" w:lineRule="auto"/>
        <w:ind w:left="357" w:hanging="357"/>
        <w:rPr>
          <w:rFonts w:ascii="Cambria" w:hAnsi="Cambria"/>
          <w:sz w:val="22"/>
          <w:szCs w:val="22"/>
        </w:rPr>
      </w:pPr>
      <w:r w:rsidRPr="00C66F0F">
        <w:rPr>
          <w:rFonts w:ascii="Cambria" w:hAnsi="Cambria"/>
          <w:sz w:val="22"/>
          <w:szCs w:val="22"/>
        </w:rPr>
        <w:t xml:space="preserve">trading behaviours that can undermine the integrity of markets </w:t>
      </w:r>
      <w:r w:rsidR="005F6674">
        <w:rPr>
          <w:rFonts w:ascii="Cambria" w:hAnsi="Cambria"/>
          <w:sz w:val="22"/>
          <w:szCs w:val="22"/>
        </w:rPr>
        <w:t>(</w:t>
      </w:r>
      <w:r w:rsidRPr="00C66F0F">
        <w:rPr>
          <w:rFonts w:ascii="Cambria" w:hAnsi="Cambria"/>
          <w:sz w:val="22"/>
          <w:szCs w:val="22"/>
        </w:rPr>
        <w:t>such as market manipulation</w:t>
      </w:r>
      <w:r w:rsidR="005F6674">
        <w:rPr>
          <w:rFonts w:ascii="Cambria" w:hAnsi="Cambria"/>
          <w:sz w:val="22"/>
          <w:szCs w:val="22"/>
        </w:rPr>
        <w:t>)</w:t>
      </w:r>
      <w:r w:rsidR="005F6674" w:rsidRPr="00C66F0F">
        <w:rPr>
          <w:rFonts w:ascii="Cambria" w:hAnsi="Cambria"/>
          <w:sz w:val="22"/>
          <w:szCs w:val="22"/>
        </w:rPr>
        <w:t xml:space="preserve"> </w:t>
      </w:r>
      <w:r w:rsidRPr="00C66F0F">
        <w:rPr>
          <w:rFonts w:ascii="Cambria" w:hAnsi="Cambria"/>
          <w:sz w:val="22"/>
          <w:szCs w:val="22"/>
        </w:rPr>
        <w:t>are not prohibited, insider trading prohibitions are insufficient, and information gaps make these types of detrimental conduct difficult to detect</w:t>
      </w:r>
    </w:p>
    <w:p w14:paraId="5EF37059" w14:textId="6D650A0B" w:rsidR="006C0D13" w:rsidRPr="001B7C74" w:rsidRDefault="006C0D13" w:rsidP="00C66F0F">
      <w:pPr>
        <w:pStyle w:val="ListParagraph"/>
        <w:numPr>
          <w:ilvl w:val="0"/>
          <w:numId w:val="6"/>
        </w:numPr>
        <w:spacing w:after="200" w:line="276" w:lineRule="auto"/>
        <w:ind w:left="357" w:hanging="357"/>
        <w:rPr>
          <w:rFonts w:ascii="Cambria" w:hAnsi="Cambria"/>
          <w:sz w:val="22"/>
          <w:szCs w:val="22"/>
        </w:rPr>
      </w:pPr>
      <w:r w:rsidRPr="00C66F0F">
        <w:rPr>
          <w:rFonts w:ascii="Cambria" w:hAnsi="Cambria"/>
          <w:sz w:val="22"/>
          <w:szCs w:val="22"/>
        </w:rPr>
        <w:t xml:space="preserve">differences in trade processes and water registries between the Basin States prevent participants from gaining a full, timely and accurate picture of water trade, including price, </w:t>
      </w:r>
      <w:proofErr w:type="gramStart"/>
      <w:r w:rsidRPr="00C66F0F">
        <w:rPr>
          <w:rFonts w:ascii="Cambria" w:hAnsi="Cambria"/>
          <w:sz w:val="22"/>
          <w:szCs w:val="22"/>
        </w:rPr>
        <w:t>supply</w:t>
      </w:r>
      <w:proofErr w:type="gramEnd"/>
      <w:r w:rsidRPr="00C66F0F">
        <w:rPr>
          <w:rFonts w:ascii="Cambria" w:hAnsi="Cambria"/>
          <w:sz w:val="22"/>
          <w:szCs w:val="22"/>
        </w:rPr>
        <w:t xml:space="preserve"> and demand</w:t>
      </w:r>
    </w:p>
    <w:p w14:paraId="054FD2F3" w14:textId="7792EF50" w:rsidR="006C0D13" w:rsidRPr="00547DE3" w:rsidRDefault="006C0D13" w:rsidP="00C66F0F">
      <w:pPr>
        <w:pStyle w:val="ListParagraph"/>
        <w:numPr>
          <w:ilvl w:val="0"/>
          <w:numId w:val="6"/>
        </w:numPr>
        <w:spacing w:after="200" w:line="276" w:lineRule="auto"/>
        <w:ind w:left="357" w:hanging="357"/>
        <w:rPr>
          <w:rFonts w:ascii="Cambria" w:hAnsi="Cambria"/>
          <w:sz w:val="22"/>
          <w:szCs w:val="22"/>
        </w:rPr>
      </w:pPr>
      <w:r w:rsidRPr="00C66F0F">
        <w:rPr>
          <w:rFonts w:ascii="Cambria" w:hAnsi="Cambria"/>
          <w:sz w:val="22"/>
          <w:szCs w:val="22"/>
        </w:rPr>
        <w:t xml:space="preserve">irrigators and traders would benefit from governments providing better information on key policies and river operations </w:t>
      </w:r>
    </w:p>
    <w:p w14:paraId="6C2A855F" w14:textId="4F6E53DB" w:rsidR="00BB6B63" w:rsidRPr="001B7C74" w:rsidRDefault="00BB6B63" w:rsidP="00C66F0F">
      <w:pPr>
        <w:pStyle w:val="ListParagraph"/>
        <w:numPr>
          <w:ilvl w:val="0"/>
          <w:numId w:val="6"/>
        </w:numPr>
        <w:spacing w:after="200" w:line="276" w:lineRule="auto"/>
        <w:ind w:left="357" w:hanging="357"/>
        <w:rPr>
          <w:rFonts w:ascii="Cambria" w:hAnsi="Cambria"/>
          <w:sz w:val="22"/>
          <w:szCs w:val="22"/>
        </w:rPr>
      </w:pPr>
      <w:r w:rsidRPr="00C66F0F">
        <w:rPr>
          <w:rFonts w:ascii="Cambria" w:hAnsi="Cambria"/>
          <w:sz w:val="22"/>
          <w:szCs w:val="22"/>
        </w:rPr>
        <w:lastRenderedPageBreak/>
        <w:t xml:space="preserve">the complex nature of the Basin’s market settings means the trading systems and opportunities </w:t>
      </w:r>
      <w:r w:rsidR="00146DAE">
        <w:rPr>
          <w:rFonts w:ascii="Cambria" w:hAnsi="Cambria"/>
          <w:sz w:val="22"/>
          <w:szCs w:val="22"/>
        </w:rPr>
        <w:t>favour</w:t>
      </w:r>
      <w:r w:rsidRPr="00C66F0F">
        <w:rPr>
          <w:rFonts w:ascii="Cambria" w:hAnsi="Cambria"/>
          <w:sz w:val="22"/>
          <w:szCs w:val="22"/>
        </w:rPr>
        <w:t xml:space="preserve"> professional traders and large agribusinesses </w:t>
      </w:r>
      <w:r w:rsidR="00146DAE">
        <w:rPr>
          <w:rFonts w:ascii="Cambria" w:hAnsi="Cambria"/>
          <w:sz w:val="22"/>
          <w:szCs w:val="22"/>
        </w:rPr>
        <w:t>with greater capacity to understand and participate</w:t>
      </w:r>
      <w:r w:rsidR="005F6674">
        <w:rPr>
          <w:rFonts w:ascii="Cambria" w:hAnsi="Cambria"/>
          <w:sz w:val="22"/>
          <w:szCs w:val="22"/>
        </w:rPr>
        <w:t xml:space="preserve"> in water markets</w:t>
      </w:r>
    </w:p>
    <w:p w14:paraId="25E37299" w14:textId="6CBB3A6E" w:rsidR="00BB6B63" w:rsidRPr="001B7C74" w:rsidRDefault="00BB6B63" w:rsidP="00C66F0F">
      <w:pPr>
        <w:pStyle w:val="ListParagraph"/>
        <w:numPr>
          <w:ilvl w:val="0"/>
          <w:numId w:val="6"/>
        </w:numPr>
        <w:spacing w:after="200" w:line="276" w:lineRule="auto"/>
        <w:ind w:left="357" w:hanging="357"/>
        <w:rPr>
          <w:rFonts w:ascii="Cambria" w:hAnsi="Cambria"/>
          <w:sz w:val="22"/>
          <w:szCs w:val="22"/>
        </w:rPr>
      </w:pPr>
      <w:r w:rsidRPr="00C66F0F">
        <w:rPr>
          <w:rFonts w:ascii="Cambria" w:hAnsi="Cambria"/>
          <w:sz w:val="22"/>
          <w:szCs w:val="22"/>
        </w:rPr>
        <w:t>the way the Southern Basin’s market architecture manages the hydrological characteristics of storages and river systems does not always adequately reflect scarce storage and delivery capacity or signal the cost of trading decisions</w:t>
      </w:r>
    </w:p>
    <w:p w14:paraId="1C967697" w14:textId="28F74698" w:rsidR="00BB6B63" w:rsidRDefault="001B7C74" w:rsidP="00C66F0F">
      <w:pPr>
        <w:pStyle w:val="ListParagraph"/>
        <w:numPr>
          <w:ilvl w:val="0"/>
          <w:numId w:val="6"/>
        </w:numPr>
        <w:spacing w:after="200" w:line="276" w:lineRule="auto"/>
        <w:ind w:left="357" w:hanging="357"/>
        <w:rPr>
          <w:rFonts w:ascii="Cambria" w:hAnsi="Cambria"/>
          <w:sz w:val="22"/>
          <w:szCs w:val="22"/>
        </w:rPr>
      </w:pPr>
      <w:r w:rsidRPr="00C66F0F">
        <w:rPr>
          <w:rFonts w:ascii="Cambria" w:hAnsi="Cambria"/>
          <w:sz w:val="22"/>
          <w:szCs w:val="22"/>
        </w:rPr>
        <w:t>changing conditions, such as reduced inflows, shifts in water use, declining channel capacity and increasingly binding trade restrictions are challenging key assumptions that underpin trade arrangements.</w:t>
      </w:r>
    </w:p>
    <w:p w14:paraId="146E8771" w14:textId="26EDBB87" w:rsidR="007E179C" w:rsidRPr="00B40EAF" w:rsidRDefault="00380928" w:rsidP="00DE7EB7">
      <w:pPr>
        <w:spacing w:after="200" w:line="276" w:lineRule="auto"/>
        <w:rPr>
          <w:rFonts w:ascii="Cambria" w:hAnsi="Cambria"/>
          <w:sz w:val="22"/>
          <w:szCs w:val="22"/>
        </w:rPr>
      </w:pPr>
      <w:r>
        <w:rPr>
          <w:rFonts w:ascii="Cambria" w:hAnsi="Cambria"/>
          <w:sz w:val="22"/>
          <w:szCs w:val="22"/>
        </w:rPr>
        <w:t>Basin</w:t>
      </w:r>
      <w:r w:rsidR="00BB3ECF">
        <w:rPr>
          <w:rFonts w:ascii="Cambria" w:hAnsi="Cambria"/>
          <w:sz w:val="22"/>
          <w:szCs w:val="22"/>
        </w:rPr>
        <w:t xml:space="preserve"> </w:t>
      </w:r>
      <w:r w:rsidR="000F511D" w:rsidRPr="00B40EAF">
        <w:rPr>
          <w:rFonts w:ascii="Cambria" w:hAnsi="Cambria"/>
          <w:sz w:val="22"/>
          <w:szCs w:val="22"/>
        </w:rPr>
        <w:t>water markets are continually evolving</w:t>
      </w:r>
      <w:r w:rsidR="005F6674">
        <w:rPr>
          <w:rFonts w:ascii="Cambria" w:hAnsi="Cambria"/>
          <w:sz w:val="22"/>
          <w:szCs w:val="22"/>
        </w:rPr>
        <w:t xml:space="preserve"> and </w:t>
      </w:r>
      <w:r w:rsidR="000F511D" w:rsidRPr="00B40EAF">
        <w:rPr>
          <w:rFonts w:ascii="Cambria" w:hAnsi="Cambria"/>
          <w:sz w:val="22"/>
          <w:szCs w:val="22"/>
        </w:rPr>
        <w:t>t</w:t>
      </w:r>
      <w:r w:rsidR="007E179C" w:rsidRPr="00B40EAF">
        <w:rPr>
          <w:rFonts w:ascii="Cambria" w:hAnsi="Cambria"/>
          <w:sz w:val="22"/>
          <w:szCs w:val="22"/>
        </w:rPr>
        <w:t>he</w:t>
      </w:r>
      <w:r w:rsidR="00991930" w:rsidRPr="00B40EAF">
        <w:rPr>
          <w:rFonts w:ascii="Cambria" w:hAnsi="Cambria"/>
          <w:sz w:val="22"/>
          <w:szCs w:val="22"/>
        </w:rPr>
        <w:t xml:space="preserve"> </w:t>
      </w:r>
      <w:r w:rsidR="007E179C" w:rsidRPr="00B40EAF">
        <w:rPr>
          <w:rFonts w:ascii="Cambria" w:hAnsi="Cambria"/>
          <w:sz w:val="22"/>
          <w:szCs w:val="22"/>
        </w:rPr>
        <w:t>A</w:t>
      </w:r>
      <w:r w:rsidR="00E861DB">
        <w:rPr>
          <w:rFonts w:ascii="Cambria" w:hAnsi="Cambria"/>
          <w:sz w:val="22"/>
          <w:szCs w:val="22"/>
        </w:rPr>
        <w:t xml:space="preserve">CCC </w:t>
      </w:r>
      <w:r w:rsidR="00E25C8C" w:rsidRPr="00B40EAF">
        <w:rPr>
          <w:rFonts w:ascii="Cambria" w:hAnsi="Cambria"/>
          <w:sz w:val="22"/>
          <w:szCs w:val="22"/>
        </w:rPr>
        <w:t xml:space="preserve">found that </w:t>
      </w:r>
      <w:r w:rsidR="00BB3ECF">
        <w:rPr>
          <w:rFonts w:ascii="Cambria" w:hAnsi="Cambria"/>
          <w:sz w:val="22"/>
          <w:szCs w:val="22"/>
        </w:rPr>
        <w:t>they</w:t>
      </w:r>
      <w:r w:rsidR="00BE46EC" w:rsidRPr="00B40EAF">
        <w:rPr>
          <w:rFonts w:ascii="Cambria" w:hAnsi="Cambria"/>
          <w:sz w:val="22"/>
          <w:szCs w:val="22"/>
        </w:rPr>
        <w:t xml:space="preserve"> </w:t>
      </w:r>
      <w:r w:rsidR="00556BB5" w:rsidRPr="00B40EAF">
        <w:rPr>
          <w:rFonts w:ascii="Cambria" w:hAnsi="Cambria"/>
          <w:sz w:val="22"/>
          <w:szCs w:val="22"/>
        </w:rPr>
        <w:t>hav</w:t>
      </w:r>
      <w:r w:rsidR="00D71B59">
        <w:rPr>
          <w:rFonts w:ascii="Cambria" w:hAnsi="Cambria"/>
          <w:sz w:val="22"/>
          <w:szCs w:val="22"/>
        </w:rPr>
        <w:t>e</w:t>
      </w:r>
      <w:r w:rsidR="00BE46EC" w:rsidRPr="00B40EAF">
        <w:rPr>
          <w:rFonts w:ascii="Cambria" w:hAnsi="Cambria"/>
          <w:sz w:val="22"/>
          <w:szCs w:val="22"/>
        </w:rPr>
        <w:t xml:space="preserve"> outgrown their regulatory framework and the infrastructure </w:t>
      </w:r>
      <w:r w:rsidR="00991930" w:rsidRPr="00B40EAF">
        <w:rPr>
          <w:rFonts w:ascii="Cambria" w:hAnsi="Cambria"/>
          <w:sz w:val="22"/>
          <w:szCs w:val="22"/>
        </w:rPr>
        <w:t xml:space="preserve">that </w:t>
      </w:r>
      <w:r w:rsidR="00146DAE">
        <w:rPr>
          <w:rFonts w:ascii="Cambria" w:hAnsi="Cambria"/>
          <w:sz w:val="22"/>
          <w:szCs w:val="22"/>
        </w:rPr>
        <w:t>support</w:t>
      </w:r>
      <w:r w:rsidR="00BB3ECF">
        <w:rPr>
          <w:rFonts w:ascii="Cambria" w:hAnsi="Cambria"/>
          <w:sz w:val="22"/>
          <w:szCs w:val="22"/>
        </w:rPr>
        <w:t>s trading</w:t>
      </w:r>
      <w:r w:rsidR="00BE46EC" w:rsidRPr="00B40EAF">
        <w:rPr>
          <w:rFonts w:ascii="Cambria" w:hAnsi="Cambria"/>
          <w:sz w:val="22"/>
          <w:szCs w:val="22"/>
        </w:rPr>
        <w:t>.</w:t>
      </w:r>
      <w:r w:rsidR="007F2D0D" w:rsidRPr="00B40EAF">
        <w:rPr>
          <w:rFonts w:ascii="Cambria" w:hAnsi="Cambria"/>
          <w:sz w:val="22"/>
          <w:szCs w:val="22"/>
        </w:rPr>
        <w:t xml:space="preserve"> </w:t>
      </w:r>
      <w:r w:rsidR="00BB3ECF">
        <w:rPr>
          <w:rFonts w:ascii="Cambria" w:hAnsi="Cambria"/>
          <w:sz w:val="22"/>
          <w:szCs w:val="22"/>
        </w:rPr>
        <w:t xml:space="preserve"> I</w:t>
      </w:r>
      <w:r w:rsidR="00281820" w:rsidRPr="00B40EAF">
        <w:rPr>
          <w:rFonts w:ascii="Cambria" w:hAnsi="Cambria"/>
          <w:sz w:val="22"/>
          <w:szCs w:val="22"/>
        </w:rPr>
        <w:t xml:space="preserve">t </w:t>
      </w:r>
      <w:r w:rsidR="009932DB" w:rsidRPr="00B40EAF">
        <w:rPr>
          <w:rFonts w:ascii="Cambria" w:hAnsi="Cambria"/>
          <w:sz w:val="22"/>
          <w:szCs w:val="22"/>
        </w:rPr>
        <w:t xml:space="preserve">found that </w:t>
      </w:r>
      <w:r w:rsidR="00984A32" w:rsidRPr="00B40EAF">
        <w:rPr>
          <w:rFonts w:ascii="Cambria" w:hAnsi="Cambria"/>
          <w:sz w:val="22"/>
          <w:szCs w:val="22"/>
        </w:rPr>
        <w:t xml:space="preserve">the </w:t>
      </w:r>
      <w:r w:rsidR="00DF6709" w:rsidRPr="00B40EAF">
        <w:rPr>
          <w:rFonts w:ascii="Cambria" w:hAnsi="Cambria"/>
          <w:sz w:val="22"/>
          <w:szCs w:val="22"/>
        </w:rPr>
        <w:t xml:space="preserve">regulatory and digital infrastructure </w:t>
      </w:r>
      <w:r w:rsidR="00715EEB" w:rsidRPr="00B40EAF">
        <w:rPr>
          <w:rFonts w:ascii="Cambria" w:hAnsi="Cambria"/>
          <w:sz w:val="22"/>
          <w:szCs w:val="22"/>
        </w:rPr>
        <w:t xml:space="preserve">supporting </w:t>
      </w:r>
      <w:r w:rsidR="00DF6709" w:rsidRPr="00B40EAF">
        <w:rPr>
          <w:rFonts w:ascii="Cambria" w:hAnsi="Cambria"/>
          <w:sz w:val="22"/>
          <w:szCs w:val="22"/>
        </w:rPr>
        <w:t xml:space="preserve">water markets </w:t>
      </w:r>
      <w:r w:rsidR="005F469E" w:rsidRPr="00B40EAF">
        <w:rPr>
          <w:rFonts w:ascii="Cambria" w:hAnsi="Cambria"/>
          <w:sz w:val="22"/>
          <w:szCs w:val="22"/>
        </w:rPr>
        <w:t xml:space="preserve">is not </w:t>
      </w:r>
      <w:r w:rsidR="00F439CB">
        <w:rPr>
          <w:rFonts w:ascii="Cambria" w:hAnsi="Cambria"/>
          <w:sz w:val="22"/>
          <w:szCs w:val="22"/>
        </w:rPr>
        <w:t xml:space="preserve">consistently </w:t>
      </w:r>
      <w:r w:rsidR="005F469E" w:rsidRPr="00B40EAF">
        <w:rPr>
          <w:rFonts w:ascii="Cambria" w:hAnsi="Cambria"/>
          <w:sz w:val="22"/>
          <w:szCs w:val="22"/>
        </w:rPr>
        <w:t xml:space="preserve">delivering the information </w:t>
      </w:r>
      <w:r w:rsidR="002B1A1C" w:rsidRPr="00B40EAF">
        <w:rPr>
          <w:rFonts w:ascii="Cambria" w:hAnsi="Cambria"/>
          <w:sz w:val="22"/>
          <w:szCs w:val="22"/>
        </w:rPr>
        <w:t xml:space="preserve">needed – to decision-makers, current and potential market participants, and the community more broadly. </w:t>
      </w:r>
      <w:r w:rsidR="000C2BD4">
        <w:rPr>
          <w:rFonts w:ascii="Cambria" w:hAnsi="Cambria"/>
          <w:sz w:val="22"/>
          <w:szCs w:val="22"/>
        </w:rPr>
        <w:t>And a</w:t>
      </w:r>
      <w:r w:rsidR="00A93B45">
        <w:rPr>
          <w:rFonts w:ascii="Cambria" w:hAnsi="Cambria"/>
          <w:sz w:val="22"/>
          <w:szCs w:val="22"/>
        </w:rPr>
        <w:t xml:space="preserve">s </w:t>
      </w:r>
      <w:r w:rsidR="00CC0BFF">
        <w:rPr>
          <w:rFonts w:ascii="Cambria" w:hAnsi="Cambria"/>
          <w:sz w:val="22"/>
          <w:szCs w:val="22"/>
        </w:rPr>
        <w:t xml:space="preserve">outlined </w:t>
      </w:r>
      <w:r w:rsidR="00A93B45">
        <w:rPr>
          <w:rFonts w:ascii="Cambria" w:hAnsi="Cambria"/>
          <w:sz w:val="22"/>
          <w:szCs w:val="22"/>
        </w:rPr>
        <w:t>by the ACCC</w:t>
      </w:r>
      <w:r w:rsidR="00CC0BFF">
        <w:rPr>
          <w:rFonts w:ascii="Cambria" w:hAnsi="Cambria"/>
          <w:sz w:val="22"/>
          <w:szCs w:val="22"/>
        </w:rPr>
        <w:t xml:space="preserve">, </w:t>
      </w:r>
      <w:r w:rsidR="000C2BD4">
        <w:rPr>
          <w:rFonts w:ascii="Cambria" w:hAnsi="Cambria"/>
          <w:sz w:val="22"/>
          <w:szCs w:val="22"/>
        </w:rPr>
        <w:t xml:space="preserve">transparency, and </w:t>
      </w:r>
      <w:r w:rsidR="00B93C00">
        <w:rPr>
          <w:rFonts w:ascii="Cambria" w:hAnsi="Cambria"/>
          <w:sz w:val="22"/>
          <w:szCs w:val="22"/>
        </w:rPr>
        <w:t>g</w:t>
      </w:r>
      <w:r w:rsidR="00AD7F25" w:rsidRPr="00AD7F25">
        <w:rPr>
          <w:rFonts w:ascii="Cambria" w:hAnsi="Cambria"/>
          <w:sz w:val="22"/>
          <w:szCs w:val="22"/>
        </w:rPr>
        <w:t>ood quality and timely water information</w:t>
      </w:r>
      <w:r w:rsidR="000C2BD4">
        <w:rPr>
          <w:rFonts w:ascii="Cambria" w:hAnsi="Cambria"/>
          <w:sz w:val="22"/>
          <w:szCs w:val="22"/>
        </w:rPr>
        <w:t>,</w:t>
      </w:r>
      <w:r w:rsidR="00AD7F25" w:rsidRPr="00AD7F25">
        <w:rPr>
          <w:rFonts w:ascii="Cambria" w:hAnsi="Cambria"/>
          <w:sz w:val="22"/>
          <w:szCs w:val="22"/>
        </w:rPr>
        <w:t xml:space="preserve"> is </w:t>
      </w:r>
      <w:r w:rsidR="00B93C00">
        <w:rPr>
          <w:rFonts w:ascii="Cambria" w:hAnsi="Cambria"/>
          <w:sz w:val="22"/>
          <w:szCs w:val="22"/>
        </w:rPr>
        <w:t xml:space="preserve">essential </w:t>
      </w:r>
      <w:r w:rsidR="00AD7F25" w:rsidRPr="00AD7F25">
        <w:rPr>
          <w:rFonts w:ascii="Cambria" w:hAnsi="Cambria"/>
          <w:sz w:val="22"/>
          <w:szCs w:val="22"/>
        </w:rPr>
        <w:t>to improving market confidence and enabling better-informed trading decisions</w:t>
      </w:r>
      <w:r w:rsidR="00B93C00">
        <w:rPr>
          <w:rFonts w:ascii="Cambria" w:hAnsi="Cambria"/>
          <w:sz w:val="22"/>
          <w:szCs w:val="22"/>
        </w:rPr>
        <w:t xml:space="preserve">. </w:t>
      </w:r>
      <w:r w:rsidR="00BB3ECF">
        <w:rPr>
          <w:rFonts w:ascii="Cambria" w:hAnsi="Cambria"/>
          <w:sz w:val="22"/>
          <w:szCs w:val="22"/>
        </w:rPr>
        <w:t xml:space="preserve"> </w:t>
      </w:r>
    </w:p>
    <w:p w14:paraId="6BC6AE04" w14:textId="11AB540E" w:rsidR="0019247D" w:rsidRDefault="00B672A3" w:rsidP="00DE7EB7">
      <w:pPr>
        <w:spacing w:after="200" w:line="276" w:lineRule="auto"/>
        <w:rPr>
          <w:rFonts w:ascii="Cambria" w:eastAsia="Calibri" w:hAnsi="Cambria" w:cs="Calibri"/>
          <w:sz w:val="22"/>
          <w:szCs w:val="22"/>
        </w:rPr>
      </w:pPr>
      <w:r w:rsidRPr="00B40EAF">
        <w:rPr>
          <w:rFonts w:ascii="Cambria" w:hAnsi="Cambria"/>
          <w:sz w:val="22"/>
          <w:szCs w:val="22"/>
        </w:rPr>
        <w:t>T</w:t>
      </w:r>
      <w:r w:rsidR="00274625" w:rsidRPr="00B40EAF">
        <w:rPr>
          <w:rFonts w:ascii="Cambria" w:hAnsi="Cambria"/>
          <w:sz w:val="22"/>
          <w:szCs w:val="22"/>
        </w:rPr>
        <w:t xml:space="preserve">o ensure water markets can deliver for all users into the future, governments need </w:t>
      </w:r>
      <w:r w:rsidR="00A76F8F" w:rsidRPr="00B40EAF">
        <w:rPr>
          <w:rFonts w:ascii="Cambria" w:hAnsi="Cambria"/>
          <w:sz w:val="22"/>
          <w:szCs w:val="22"/>
        </w:rPr>
        <w:t xml:space="preserve">to </w:t>
      </w:r>
      <w:r w:rsidR="00500729">
        <w:rPr>
          <w:rFonts w:ascii="Cambria" w:hAnsi="Cambria"/>
          <w:sz w:val="22"/>
          <w:szCs w:val="22"/>
        </w:rPr>
        <w:t xml:space="preserve">improve </w:t>
      </w:r>
      <w:r w:rsidR="00A76F8F" w:rsidRPr="00B40EAF">
        <w:rPr>
          <w:rFonts w:ascii="Cambria" w:hAnsi="Cambria"/>
          <w:sz w:val="22"/>
          <w:szCs w:val="22"/>
        </w:rPr>
        <w:t xml:space="preserve">the frameworks underpinning water markets and invest in the </w:t>
      </w:r>
      <w:r w:rsidRPr="00B40EAF">
        <w:rPr>
          <w:rFonts w:ascii="Cambria" w:hAnsi="Cambria"/>
          <w:sz w:val="22"/>
          <w:szCs w:val="22"/>
        </w:rPr>
        <w:t xml:space="preserve">systems and </w:t>
      </w:r>
      <w:r w:rsidR="00A76F8F" w:rsidRPr="00B40EAF">
        <w:rPr>
          <w:rFonts w:ascii="Cambria" w:hAnsi="Cambria"/>
          <w:sz w:val="22"/>
          <w:szCs w:val="22"/>
        </w:rPr>
        <w:t xml:space="preserve">infrastructure </w:t>
      </w:r>
      <w:r w:rsidR="001232A4" w:rsidRPr="00B40EAF">
        <w:rPr>
          <w:rFonts w:ascii="Cambria" w:hAnsi="Cambria"/>
          <w:sz w:val="22"/>
          <w:szCs w:val="22"/>
        </w:rPr>
        <w:t xml:space="preserve">that </w:t>
      </w:r>
      <w:r w:rsidR="00A76F8F" w:rsidRPr="00B40EAF">
        <w:rPr>
          <w:rFonts w:ascii="Cambria" w:hAnsi="Cambria"/>
          <w:sz w:val="22"/>
          <w:szCs w:val="22"/>
        </w:rPr>
        <w:t>support them.</w:t>
      </w:r>
      <w:r w:rsidR="0087432B" w:rsidRPr="00B40EAF">
        <w:rPr>
          <w:rFonts w:ascii="Cambria" w:hAnsi="Cambria"/>
          <w:sz w:val="22"/>
          <w:szCs w:val="22"/>
        </w:rPr>
        <w:t xml:space="preserve"> </w:t>
      </w:r>
      <w:r w:rsidR="000E3B4A">
        <w:rPr>
          <w:rFonts w:ascii="Cambria" w:hAnsi="Cambria"/>
          <w:sz w:val="22"/>
          <w:szCs w:val="22"/>
        </w:rPr>
        <w:t xml:space="preserve">Doing so </w:t>
      </w:r>
      <w:r w:rsidR="0087432B" w:rsidRPr="00B40EAF">
        <w:rPr>
          <w:rFonts w:ascii="Cambria" w:hAnsi="Cambria"/>
          <w:sz w:val="22"/>
          <w:szCs w:val="22"/>
        </w:rPr>
        <w:t xml:space="preserve">will support goals </w:t>
      </w:r>
      <w:r w:rsidR="00F66614" w:rsidRPr="00B40EAF">
        <w:rPr>
          <w:rFonts w:ascii="Cambria" w:hAnsi="Cambria"/>
          <w:sz w:val="22"/>
          <w:szCs w:val="22"/>
        </w:rPr>
        <w:t>for Australian agriculture growth</w:t>
      </w:r>
      <w:r w:rsidR="0000642E" w:rsidRPr="00B40EAF">
        <w:rPr>
          <w:rFonts w:ascii="Cambria" w:hAnsi="Cambria"/>
          <w:sz w:val="22"/>
          <w:szCs w:val="22"/>
        </w:rPr>
        <w:t xml:space="preserve">, ensure environmental water can be moved to where it’s needed, and </w:t>
      </w:r>
      <w:r w:rsidR="00E76366" w:rsidRPr="00B40EAF">
        <w:rPr>
          <w:rFonts w:ascii="Cambria" w:hAnsi="Cambria"/>
          <w:sz w:val="22"/>
          <w:szCs w:val="22"/>
        </w:rPr>
        <w:t xml:space="preserve">enable </w:t>
      </w:r>
      <w:r w:rsidR="0000642E" w:rsidRPr="00B40EAF">
        <w:rPr>
          <w:rFonts w:ascii="Cambria" w:hAnsi="Cambria"/>
          <w:sz w:val="22"/>
          <w:szCs w:val="22"/>
        </w:rPr>
        <w:t xml:space="preserve">new </w:t>
      </w:r>
      <w:r w:rsidR="00E76366" w:rsidRPr="00B40EAF">
        <w:rPr>
          <w:rFonts w:ascii="Cambria" w:hAnsi="Cambria"/>
          <w:sz w:val="22"/>
          <w:szCs w:val="22"/>
        </w:rPr>
        <w:t>participants</w:t>
      </w:r>
      <w:r w:rsidR="00820B6C">
        <w:rPr>
          <w:rFonts w:ascii="Cambria" w:hAnsi="Cambria"/>
          <w:sz w:val="22"/>
          <w:szCs w:val="22"/>
        </w:rPr>
        <w:t xml:space="preserve"> to make informed decisions as they </w:t>
      </w:r>
      <w:r w:rsidR="00E76366" w:rsidRPr="00B40EAF">
        <w:rPr>
          <w:rFonts w:ascii="Cambria" w:hAnsi="Cambria"/>
          <w:sz w:val="22"/>
          <w:szCs w:val="22"/>
        </w:rPr>
        <w:t xml:space="preserve">enter </w:t>
      </w:r>
      <w:r w:rsidR="00820B6C">
        <w:rPr>
          <w:rFonts w:ascii="Cambria" w:hAnsi="Cambria"/>
          <w:sz w:val="22"/>
          <w:szCs w:val="22"/>
        </w:rPr>
        <w:t xml:space="preserve">water </w:t>
      </w:r>
      <w:r w:rsidR="00E76366" w:rsidRPr="00B40EAF">
        <w:rPr>
          <w:rFonts w:ascii="Cambria" w:hAnsi="Cambria"/>
          <w:sz w:val="22"/>
          <w:szCs w:val="22"/>
        </w:rPr>
        <w:t>market</w:t>
      </w:r>
      <w:r w:rsidR="00820B6C">
        <w:rPr>
          <w:rFonts w:ascii="Cambria" w:hAnsi="Cambria"/>
          <w:sz w:val="22"/>
          <w:szCs w:val="22"/>
        </w:rPr>
        <w:t>s</w:t>
      </w:r>
      <w:r w:rsidR="0000642E" w:rsidRPr="00B40EAF">
        <w:rPr>
          <w:rFonts w:ascii="Cambria" w:hAnsi="Cambria"/>
          <w:sz w:val="22"/>
          <w:szCs w:val="22"/>
        </w:rPr>
        <w:t>.</w:t>
      </w:r>
      <w:r w:rsidR="0019247D" w:rsidRPr="00B40EAF">
        <w:rPr>
          <w:rFonts w:ascii="Cambria" w:eastAsia="Calibri" w:hAnsi="Cambria" w:cs="Calibri"/>
          <w:sz w:val="22"/>
          <w:szCs w:val="22"/>
        </w:rPr>
        <w:t xml:space="preserve"> </w:t>
      </w:r>
    </w:p>
    <w:p w14:paraId="74C459DA" w14:textId="2D3C9C66" w:rsidR="00BB3ECF" w:rsidRPr="00B40EAF" w:rsidRDefault="00BB3ECF" w:rsidP="00DE7EB7">
      <w:pPr>
        <w:spacing w:after="200" w:line="276" w:lineRule="auto"/>
        <w:rPr>
          <w:rFonts w:ascii="Cambria" w:eastAsia="Calibri" w:hAnsi="Cambria" w:cs="Calibri"/>
          <w:sz w:val="22"/>
          <w:szCs w:val="22"/>
        </w:rPr>
      </w:pPr>
      <w:r>
        <w:rPr>
          <w:rFonts w:ascii="Cambria" w:eastAsia="Calibri" w:hAnsi="Cambria" w:cs="Calibri"/>
          <w:sz w:val="22"/>
          <w:szCs w:val="22"/>
        </w:rPr>
        <w:t xml:space="preserve">The early feedback during this process is that the Commission’s analysis and findings are widely supported, with queries about the most </w:t>
      </w:r>
      <w:proofErr w:type="gramStart"/>
      <w:r>
        <w:rPr>
          <w:rFonts w:ascii="Cambria" w:eastAsia="Calibri" w:hAnsi="Cambria" w:cs="Calibri"/>
          <w:sz w:val="22"/>
          <w:szCs w:val="22"/>
        </w:rPr>
        <w:t>cost effective</w:t>
      </w:r>
      <w:proofErr w:type="gramEnd"/>
      <w:r>
        <w:rPr>
          <w:rFonts w:ascii="Cambria" w:eastAsia="Calibri" w:hAnsi="Cambria" w:cs="Calibri"/>
          <w:sz w:val="22"/>
          <w:szCs w:val="22"/>
        </w:rPr>
        <w:t xml:space="preserve"> ways to implement the proposed improvements.</w:t>
      </w:r>
    </w:p>
    <w:p w14:paraId="0788BEF1" w14:textId="2CA3E661" w:rsidR="00F74601" w:rsidRPr="00C66F0F" w:rsidRDefault="008C17EB" w:rsidP="00C66F0F">
      <w:pPr>
        <w:pStyle w:val="Heading3"/>
        <w:spacing w:before="0"/>
        <w:ind w:left="964" w:hanging="964"/>
        <w:rPr>
          <w:rFonts w:ascii="Calibri" w:eastAsia="Times New Roman" w:hAnsi="Calibri" w:cs="Times New Roman"/>
          <w:b/>
          <w:bCs/>
          <w:color w:val="auto"/>
          <w:sz w:val="36"/>
        </w:rPr>
      </w:pPr>
      <w:bookmarkStart w:id="7" w:name="_Toc90470955"/>
      <w:r>
        <w:rPr>
          <w:rFonts w:ascii="Calibri" w:eastAsia="Times New Roman" w:hAnsi="Calibri" w:cs="Times New Roman"/>
          <w:b/>
          <w:bCs/>
          <w:color w:val="auto"/>
          <w:sz w:val="36"/>
        </w:rPr>
        <w:t>1.5</w:t>
      </w:r>
      <w:r>
        <w:rPr>
          <w:rFonts w:ascii="Calibri" w:eastAsia="Times New Roman" w:hAnsi="Calibri" w:cs="Times New Roman"/>
          <w:b/>
          <w:bCs/>
          <w:color w:val="auto"/>
          <w:sz w:val="36"/>
        </w:rPr>
        <w:tab/>
      </w:r>
      <w:r w:rsidR="00F74601" w:rsidRPr="00C66F0F">
        <w:rPr>
          <w:rFonts w:ascii="Calibri" w:eastAsia="Times New Roman" w:hAnsi="Calibri" w:cs="Times New Roman"/>
          <w:b/>
          <w:bCs/>
          <w:color w:val="auto"/>
          <w:sz w:val="36"/>
        </w:rPr>
        <w:t>The key task of developing the roadmap</w:t>
      </w:r>
      <w:bookmarkEnd w:id="7"/>
    </w:p>
    <w:p w14:paraId="17EB44D1" w14:textId="3E85E313" w:rsidR="00DD5887" w:rsidRPr="003D7FCC" w:rsidRDefault="00BD2AD7" w:rsidP="004E2890">
      <w:pPr>
        <w:spacing w:after="200" w:line="276" w:lineRule="auto"/>
        <w:rPr>
          <w:rFonts w:ascii="Cambria" w:eastAsia="Arial Narrow" w:hAnsi="Cambria" w:cs="Calibri"/>
          <w:sz w:val="22"/>
          <w:szCs w:val="22"/>
        </w:rPr>
      </w:pPr>
      <w:r w:rsidRPr="003D7FCC">
        <w:rPr>
          <w:rFonts w:ascii="Cambria" w:eastAsia="Arial Narrow" w:hAnsi="Cambria" w:cs="Calibri"/>
          <w:sz w:val="22"/>
          <w:szCs w:val="22"/>
        </w:rPr>
        <w:t xml:space="preserve">The Commonwealth </w:t>
      </w:r>
      <w:r w:rsidR="00300BB9" w:rsidRPr="003D7FCC">
        <w:rPr>
          <w:rFonts w:ascii="Cambria" w:eastAsia="Arial Narrow" w:hAnsi="Cambria" w:cs="Calibri"/>
          <w:sz w:val="22"/>
          <w:szCs w:val="22"/>
        </w:rPr>
        <w:t>M</w:t>
      </w:r>
      <w:r w:rsidRPr="003D7FCC">
        <w:rPr>
          <w:rFonts w:ascii="Cambria" w:eastAsia="Arial Narrow" w:hAnsi="Cambria" w:cs="Calibri"/>
          <w:sz w:val="22"/>
          <w:szCs w:val="22"/>
        </w:rPr>
        <w:t xml:space="preserve">inister for </w:t>
      </w:r>
      <w:r w:rsidR="00E776D7">
        <w:rPr>
          <w:rFonts w:ascii="Cambria" w:eastAsia="Arial Narrow" w:hAnsi="Cambria" w:cs="Calibri"/>
          <w:sz w:val="22"/>
          <w:szCs w:val="22"/>
        </w:rPr>
        <w:t>R</w:t>
      </w:r>
      <w:r w:rsidRPr="003D7FCC">
        <w:rPr>
          <w:rFonts w:ascii="Cambria" w:eastAsia="Arial Narrow" w:hAnsi="Cambria" w:cs="Calibri"/>
          <w:sz w:val="22"/>
          <w:szCs w:val="22"/>
        </w:rPr>
        <w:t xml:space="preserve">esources and </w:t>
      </w:r>
      <w:r w:rsidR="00E776D7">
        <w:rPr>
          <w:rFonts w:ascii="Cambria" w:eastAsia="Arial Narrow" w:hAnsi="Cambria" w:cs="Calibri"/>
          <w:sz w:val="22"/>
          <w:szCs w:val="22"/>
        </w:rPr>
        <w:t>W</w:t>
      </w:r>
      <w:r w:rsidRPr="003D7FCC">
        <w:rPr>
          <w:rFonts w:ascii="Cambria" w:eastAsia="Arial Narrow" w:hAnsi="Cambria" w:cs="Calibri"/>
          <w:sz w:val="22"/>
          <w:szCs w:val="22"/>
        </w:rPr>
        <w:t>ater</w:t>
      </w:r>
      <w:r w:rsidR="00300BB9" w:rsidRPr="003D7FCC">
        <w:rPr>
          <w:rFonts w:ascii="Cambria" w:eastAsia="Arial Narrow" w:hAnsi="Cambria" w:cs="Calibri"/>
          <w:sz w:val="22"/>
          <w:szCs w:val="22"/>
        </w:rPr>
        <w:t xml:space="preserve">, on behalf of the </w:t>
      </w:r>
      <w:r w:rsidR="005F6674">
        <w:rPr>
          <w:rFonts w:ascii="Cambria" w:eastAsia="Arial Narrow" w:hAnsi="Cambria" w:cs="Calibri"/>
          <w:sz w:val="22"/>
          <w:szCs w:val="22"/>
        </w:rPr>
        <w:t>Murray–Darling</w:t>
      </w:r>
      <w:r w:rsidR="005F6674" w:rsidRPr="003D7FCC">
        <w:rPr>
          <w:rFonts w:ascii="Cambria" w:eastAsia="Arial Narrow" w:hAnsi="Cambria" w:cs="Calibri"/>
          <w:sz w:val="22"/>
          <w:szCs w:val="22"/>
        </w:rPr>
        <w:t xml:space="preserve"> </w:t>
      </w:r>
      <w:r w:rsidR="005F6674">
        <w:rPr>
          <w:rFonts w:ascii="Cambria" w:eastAsia="Arial Narrow" w:hAnsi="Cambria" w:cs="Calibri"/>
          <w:sz w:val="22"/>
          <w:szCs w:val="22"/>
        </w:rPr>
        <w:t xml:space="preserve">Basin </w:t>
      </w:r>
      <w:r w:rsidR="00300BB9" w:rsidRPr="003D7FCC">
        <w:rPr>
          <w:rFonts w:ascii="Cambria" w:eastAsia="Arial Narrow" w:hAnsi="Cambria" w:cs="Calibri"/>
          <w:sz w:val="22"/>
          <w:szCs w:val="22"/>
        </w:rPr>
        <w:t xml:space="preserve">Ministers, </w:t>
      </w:r>
      <w:r w:rsidR="00B74A42" w:rsidRPr="003D7FCC">
        <w:rPr>
          <w:rFonts w:ascii="Cambria" w:eastAsia="Arial Narrow" w:hAnsi="Cambria" w:cs="Calibri"/>
          <w:sz w:val="22"/>
          <w:szCs w:val="22"/>
        </w:rPr>
        <w:t xml:space="preserve">has asked </w:t>
      </w:r>
      <w:r w:rsidR="00AE3821" w:rsidRPr="003D7FCC">
        <w:rPr>
          <w:rFonts w:ascii="Cambria" w:eastAsia="Arial Narrow" w:hAnsi="Cambria" w:cs="Calibri"/>
          <w:sz w:val="22"/>
          <w:szCs w:val="22"/>
        </w:rPr>
        <w:t xml:space="preserve">the Principal Adviser to develop a “roadmap” for </w:t>
      </w:r>
      <w:r w:rsidR="00C112BB" w:rsidRPr="003D7FCC">
        <w:rPr>
          <w:rFonts w:ascii="Cambria" w:eastAsia="Arial Narrow" w:hAnsi="Cambria" w:cs="Calibri"/>
          <w:sz w:val="22"/>
          <w:szCs w:val="22"/>
        </w:rPr>
        <w:t>implementing water market reforms</w:t>
      </w:r>
      <w:r w:rsidR="00137F5A">
        <w:rPr>
          <w:rFonts w:ascii="Cambria" w:eastAsia="Arial Narrow" w:hAnsi="Cambria" w:cs="Calibri"/>
          <w:sz w:val="22"/>
          <w:szCs w:val="22"/>
        </w:rPr>
        <w:t>,</w:t>
      </w:r>
      <w:r w:rsidR="00C112BB" w:rsidRPr="003D7FCC">
        <w:rPr>
          <w:rFonts w:ascii="Cambria" w:eastAsia="Arial Narrow" w:hAnsi="Cambria" w:cs="Calibri"/>
          <w:sz w:val="22"/>
          <w:szCs w:val="22"/>
        </w:rPr>
        <w:t xml:space="preserve"> </w:t>
      </w:r>
      <w:r w:rsidR="00137F5A">
        <w:rPr>
          <w:rFonts w:ascii="Cambria" w:eastAsia="Arial Narrow" w:hAnsi="Cambria" w:cs="Calibri"/>
          <w:sz w:val="22"/>
          <w:szCs w:val="22"/>
        </w:rPr>
        <w:t xml:space="preserve">having regard to </w:t>
      </w:r>
      <w:r w:rsidR="00C112BB" w:rsidRPr="003D7FCC">
        <w:rPr>
          <w:rFonts w:ascii="Cambria" w:eastAsia="Arial Narrow" w:hAnsi="Cambria" w:cs="Calibri"/>
          <w:sz w:val="22"/>
          <w:szCs w:val="22"/>
        </w:rPr>
        <w:t>the</w:t>
      </w:r>
      <w:r w:rsidR="00F418E3" w:rsidRPr="003D7FCC">
        <w:rPr>
          <w:rFonts w:ascii="Cambria" w:eastAsia="Arial Narrow" w:hAnsi="Cambria" w:cs="Calibri"/>
          <w:sz w:val="22"/>
          <w:szCs w:val="22"/>
        </w:rPr>
        <w:t xml:space="preserve"> </w:t>
      </w:r>
      <w:r w:rsidR="00023187">
        <w:rPr>
          <w:rFonts w:ascii="Cambria" w:eastAsia="Arial Narrow" w:hAnsi="Cambria" w:cs="Calibri"/>
          <w:sz w:val="22"/>
          <w:szCs w:val="22"/>
        </w:rPr>
        <w:t>A</w:t>
      </w:r>
      <w:r w:rsidR="006973CC" w:rsidRPr="003D7FCC">
        <w:rPr>
          <w:rFonts w:ascii="Cambria" w:eastAsia="Arial Narrow" w:hAnsi="Cambria" w:cs="Calibri"/>
          <w:sz w:val="22"/>
          <w:szCs w:val="22"/>
        </w:rPr>
        <w:t xml:space="preserve">CCC report and </w:t>
      </w:r>
      <w:r w:rsidR="00710930" w:rsidRPr="003D7FCC">
        <w:rPr>
          <w:rFonts w:ascii="Cambria" w:eastAsia="Arial Narrow" w:hAnsi="Cambria" w:cs="Calibri"/>
          <w:sz w:val="22"/>
          <w:szCs w:val="22"/>
        </w:rPr>
        <w:t xml:space="preserve">recommendations.  This task is being assisted by the active engagement of the </w:t>
      </w:r>
      <w:r w:rsidR="00137F5A">
        <w:rPr>
          <w:rFonts w:ascii="Cambria" w:eastAsia="Arial Narrow" w:hAnsi="Cambria" w:cs="Calibri"/>
          <w:sz w:val="22"/>
          <w:szCs w:val="22"/>
        </w:rPr>
        <w:t>Basin</w:t>
      </w:r>
      <w:r w:rsidR="00137F5A" w:rsidRPr="003D7FCC">
        <w:rPr>
          <w:rFonts w:ascii="Cambria" w:eastAsia="Arial Narrow" w:hAnsi="Cambria" w:cs="Calibri"/>
          <w:sz w:val="22"/>
          <w:szCs w:val="22"/>
        </w:rPr>
        <w:t xml:space="preserve"> </w:t>
      </w:r>
      <w:r w:rsidR="00C83375" w:rsidRPr="003D7FCC">
        <w:rPr>
          <w:rFonts w:ascii="Cambria" w:eastAsia="Arial Narrow" w:hAnsi="Cambria" w:cs="Calibri"/>
          <w:sz w:val="22"/>
          <w:szCs w:val="22"/>
        </w:rPr>
        <w:t>States</w:t>
      </w:r>
      <w:r w:rsidR="00822D7A" w:rsidRPr="003D7FCC">
        <w:rPr>
          <w:rFonts w:ascii="Cambria" w:eastAsia="Arial Narrow" w:hAnsi="Cambria" w:cs="Calibri"/>
          <w:sz w:val="22"/>
          <w:szCs w:val="22"/>
        </w:rPr>
        <w:t>,</w:t>
      </w:r>
      <w:r w:rsidR="00C83375" w:rsidRPr="003D7FCC">
        <w:rPr>
          <w:rFonts w:ascii="Cambria" w:eastAsia="Arial Narrow" w:hAnsi="Cambria" w:cs="Calibri"/>
          <w:sz w:val="22"/>
          <w:szCs w:val="22"/>
        </w:rPr>
        <w:t xml:space="preserve"> </w:t>
      </w:r>
      <w:r w:rsidR="00BB3ECF">
        <w:rPr>
          <w:rFonts w:ascii="Cambria" w:eastAsia="Arial Narrow" w:hAnsi="Cambria" w:cs="Calibri"/>
          <w:sz w:val="22"/>
          <w:szCs w:val="22"/>
        </w:rPr>
        <w:t>evidenced</w:t>
      </w:r>
      <w:r w:rsidR="00C83375" w:rsidRPr="003D7FCC">
        <w:rPr>
          <w:rFonts w:ascii="Cambria" w:eastAsia="Arial Narrow" w:hAnsi="Cambria" w:cs="Calibri"/>
          <w:sz w:val="22"/>
          <w:szCs w:val="22"/>
        </w:rPr>
        <w:t xml:space="preserve"> by the </w:t>
      </w:r>
      <w:r w:rsidR="00822D7A" w:rsidRPr="003D7FCC">
        <w:rPr>
          <w:rFonts w:ascii="Cambria" w:eastAsia="Arial Narrow" w:hAnsi="Cambria" w:cs="Calibri"/>
          <w:sz w:val="22"/>
          <w:szCs w:val="22"/>
        </w:rPr>
        <w:t xml:space="preserve">significant progress these governments have </w:t>
      </w:r>
      <w:r w:rsidR="00350374">
        <w:rPr>
          <w:rFonts w:ascii="Cambria" w:eastAsia="Arial Narrow" w:hAnsi="Cambria" w:cs="Calibri"/>
          <w:sz w:val="22"/>
          <w:szCs w:val="22"/>
        </w:rPr>
        <w:t xml:space="preserve">already </w:t>
      </w:r>
      <w:r w:rsidR="00822D7A" w:rsidRPr="003D7FCC">
        <w:rPr>
          <w:rFonts w:ascii="Cambria" w:eastAsia="Arial Narrow" w:hAnsi="Cambria" w:cs="Calibri"/>
          <w:sz w:val="22"/>
          <w:szCs w:val="22"/>
        </w:rPr>
        <w:t>made in improving</w:t>
      </w:r>
      <w:r w:rsidR="00713ED3" w:rsidRPr="003D7FCC">
        <w:rPr>
          <w:rFonts w:ascii="Cambria" w:eastAsia="Arial Narrow" w:hAnsi="Cambria" w:cs="Calibri"/>
          <w:sz w:val="22"/>
          <w:szCs w:val="22"/>
        </w:rPr>
        <w:t xml:space="preserve"> </w:t>
      </w:r>
      <w:r w:rsidR="00137F5A">
        <w:rPr>
          <w:rFonts w:ascii="Cambria" w:eastAsia="Arial Narrow" w:hAnsi="Cambria" w:cs="Calibri"/>
          <w:sz w:val="22"/>
          <w:szCs w:val="22"/>
        </w:rPr>
        <w:t>Basin</w:t>
      </w:r>
      <w:r w:rsidR="00137F5A" w:rsidRPr="003D7FCC">
        <w:rPr>
          <w:rFonts w:ascii="Cambria" w:eastAsia="Arial Narrow" w:hAnsi="Cambria" w:cs="Calibri"/>
          <w:sz w:val="22"/>
          <w:szCs w:val="22"/>
        </w:rPr>
        <w:t xml:space="preserve"> </w:t>
      </w:r>
      <w:r w:rsidR="00713ED3" w:rsidRPr="003D7FCC">
        <w:rPr>
          <w:rFonts w:ascii="Cambria" w:eastAsia="Arial Narrow" w:hAnsi="Cambria" w:cs="Calibri"/>
          <w:sz w:val="22"/>
          <w:szCs w:val="22"/>
        </w:rPr>
        <w:t>water markets in recent years and documented in this report</w:t>
      </w:r>
      <w:r w:rsidR="00FA6E71" w:rsidRPr="003D7FCC">
        <w:rPr>
          <w:rFonts w:ascii="Cambria" w:eastAsia="Arial Narrow" w:hAnsi="Cambria" w:cs="Calibri"/>
          <w:sz w:val="22"/>
          <w:szCs w:val="22"/>
        </w:rPr>
        <w:t xml:space="preserve">.  The Adviser has also been assisted by market participants and </w:t>
      </w:r>
      <w:r w:rsidR="00023187">
        <w:rPr>
          <w:rFonts w:ascii="Cambria" w:eastAsia="Arial Narrow" w:hAnsi="Cambria" w:cs="Calibri"/>
          <w:sz w:val="22"/>
          <w:szCs w:val="22"/>
        </w:rPr>
        <w:t xml:space="preserve">an </w:t>
      </w:r>
      <w:r w:rsidR="00FA6E71" w:rsidRPr="003D7FCC">
        <w:rPr>
          <w:rFonts w:ascii="Cambria" w:eastAsia="Arial Narrow" w:hAnsi="Cambria" w:cs="Calibri"/>
          <w:sz w:val="22"/>
          <w:szCs w:val="22"/>
        </w:rPr>
        <w:t>Advisory Panel appointed by the minister.</w:t>
      </w:r>
    </w:p>
    <w:p w14:paraId="68197622" w14:textId="31651955" w:rsidR="00763DA6" w:rsidRPr="003D7FCC" w:rsidRDefault="00763DA6" w:rsidP="004E2890">
      <w:pPr>
        <w:spacing w:after="200" w:line="276" w:lineRule="auto"/>
        <w:rPr>
          <w:rFonts w:ascii="Cambria" w:eastAsia="Arial Narrow" w:hAnsi="Cambria" w:cs="Calibri"/>
          <w:sz w:val="22"/>
          <w:szCs w:val="22"/>
        </w:rPr>
      </w:pPr>
      <w:r w:rsidRPr="003D7FCC">
        <w:rPr>
          <w:rFonts w:ascii="Cambria" w:eastAsia="Arial Narrow" w:hAnsi="Cambria" w:cs="Calibri"/>
          <w:sz w:val="22"/>
          <w:szCs w:val="22"/>
        </w:rPr>
        <w:t xml:space="preserve">The process of developing the roadmap will involve examination of </w:t>
      </w:r>
      <w:proofErr w:type="gramStart"/>
      <w:r w:rsidRPr="003D7FCC">
        <w:rPr>
          <w:rFonts w:ascii="Cambria" w:eastAsia="Arial Narrow" w:hAnsi="Cambria" w:cs="Calibri"/>
          <w:sz w:val="22"/>
          <w:szCs w:val="22"/>
        </w:rPr>
        <w:t>all of</w:t>
      </w:r>
      <w:proofErr w:type="gramEnd"/>
      <w:r w:rsidRPr="003D7FCC">
        <w:rPr>
          <w:rFonts w:ascii="Cambria" w:eastAsia="Arial Narrow" w:hAnsi="Cambria" w:cs="Calibri"/>
          <w:sz w:val="22"/>
          <w:szCs w:val="22"/>
        </w:rPr>
        <w:t xml:space="preserve"> the ACCC’s water market advice – spanning 29 recommendations and 70 individual reform actions. In considering this expansive body of work with the Basin states, the Advisory Group</w:t>
      </w:r>
      <w:r w:rsidR="00E776D7">
        <w:rPr>
          <w:rFonts w:ascii="Cambria" w:eastAsia="Arial Narrow" w:hAnsi="Cambria" w:cs="Calibri"/>
          <w:sz w:val="22"/>
          <w:szCs w:val="22"/>
        </w:rPr>
        <w:t>,</w:t>
      </w:r>
      <w:r w:rsidRPr="003D7FCC">
        <w:rPr>
          <w:rFonts w:ascii="Cambria" w:eastAsia="Arial Narrow" w:hAnsi="Cambria" w:cs="Calibri"/>
          <w:sz w:val="22"/>
          <w:szCs w:val="22"/>
        </w:rPr>
        <w:t xml:space="preserve"> </w:t>
      </w:r>
      <w:proofErr w:type="gramStart"/>
      <w:r w:rsidRPr="003D7FCC">
        <w:rPr>
          <w:rFonts w:ascii="Cambria" w:eastAsia="Arial Narrow" w:hAnsi="Cambria" w:cs="Calibri"/>
          <w:sz w:val="22"/>
          <w:szCs w:val="22"/>
        </w:rPr>
        <w:t>stakeholders</w:t>
      </w:r>
      <w:proofErr w:type="gramEnd"/>
      <w:r w:rsidR="00E776D7">
        <w:rPr>
          <w:rFonts w:ascii="Cambria" w:eastAsia="Arial Narrow" w:hAnsi="Cambria" w:cs="Calibri"/>
          <w:sz w:val="22"/>
          <w:szCs w:val="22"/>
        </w:rPr>
        <w:t xml:space="preserve"> and communities</w:t>
      </w:r>
      <w:r w:rsidRPr="003D7FCC">
        <w:rPr>
          <w:rFonts w:ascii="Cambria" w:eastAsia="Arial Narrow" w:hAnsi="Cambria" w:cs="Calibri"/>
          <w:sz w:val="22"/>
          <w:szCs w:val="22"/>
        </w:rPr>
        <w:t xml:space="preserve">, </w:t>
      </w:r>
      <w:r w:rsidR="000647D1">
        <w:rPr>
          <w:rFonts w:ascii="Cambria" w:eastAsia="Arial Narrow" w:hAnsi="Cambria" w:cs="Calibri"/>
          <w:sz w:val="22"/>
          <w:szCs w:val="22"/>
        </w:rPr>
        <w:t>we</w:t>
      </w:r>
      <w:r w:rsidR="00A61A02">
        <w:rPr>
          <w:rFonts w:ascii="Cambria" w:eastAsia="Arial Narrow" w:hAnsi="Cambria" w:cs="Calibri"/>
          <w:sz w:val="22"/>
          <w:szCs w:val="22"/>
        </w:rPr>
        <w:t xml:space="preserve"> </w:t>
      </w:r>
      <w:r w:rsidRPr="003D7FCC">
        <w:rPr>
          <w:rFonts w:ascii="Cambria" w:eastAsia="Arial Narrow" w:hAnsi="Cambria" w:cs="Calibri"/>
          <w:sz w:val="22"/>
          <w:szCs w:val="22"/>
        </w:rPr>
        <w:t>are keeping front of mind the following policy principles or goals, based on the ACCC’s final report, for water market reform:</w:t>
      </w:r>
    </w:p>
    <w:p w14:paraId="33D5E146" w14:textId="34FC39AE" w:rsidR="00763DA6" w:rsidRPr="003D7FCC" w:rsidRDefault="00763DA6" w:rsidP="00283CA8">
      <w:pPr>
        <w:pStyle w:val="ListParagraph"/>
        <w:numPr>
          <w:ilvl w:val="0"/>
          <w:numId w:val="6"/>
        </w:numPr>
        <w:spacing w:after="200" w:line="276" w:lineRule="auto"/>
        <w:ind w:left="357" w:hanging="357"/>
        <w:rPr>
          <w:rFonts w:ascii="Cambria" w:hAnsi="Cambria"/>
          <w:sz w:val="22"/>
          <w:szCs w:val="22"/>
        </w:rPr>
      </w:pPr>
      <w:r w:rsidRPr="003D7FCC">
        <w:rPr>
          <w:rFonts w:ascii="Cambria" w:hAnsi="Cambria"/>
          <w:sz w:val="22"/>
          <w:szCs w:val="22"/>
        </w:rPr>
        <w:t xml:space="preserve">Improving </w:t>
      </w:r>
      <w:r w:rsidRPr="003D7FCC">
        <w:rPr>
          <w:rFonts w:ascii="Cambria" w:hAnsi="Cambria"/>
          <w:b/>
          <w:sz w:val="22"/>
          <w:szCs w:val="22"/>
        </w:rPr>
        <w:t>data quality</w:t>
      </w:r>
      <w:r w:rsidR="000647D1">
        <w:rPr>
          <w:rFonts w:ascii="Cambria" w:hAnsi="Cambria"/>
          <w:b/>
          <w:sz w:val="22"/>
          <w:szCs w:val="22"/>
        </w:rPr>
        <w:t xml:space="preserve">, </w:t>
      </w:r>
      <w:proofErr w:type="gramStart"/>
      <w:r w:rsidR="000647D1">
        <w:rPr>
          <w:rFonts w:ascii="Cambria" w:hAnsi="Cambria"/>
          <w:b/>
          <w:sz w:val="22"/>
          <w:szCs w:val="22"/>
        </w:rPr>
        <w:t>transparency</w:t>
      </w:r>
      <w:proofErr w:type="gramEnd"/>
      <w:r w:rsidRPr="003D7FCC">
        <w:rPr>
          <w:rFonts w:ascii="Cambria" w:hAnsi="Cambria"/>
          <w:b/>
          <w:sz w:val="22"/>
          <w:szCs w:val="22"/>
        </w:rPr>
        <w:t xml:space="preserve"> and system integration</w:t>
      </w:r>
      <w:r w:rsidRPr="003D7FCC">
        <w:rPr>
          <w:rFonts w:ascii="Cambria" w:hAnsi="Cambria"/>
          <w:sz w:val="22"/>
          <w:szCs w:val="22"/>
        </w:rPr>
        <w:t xml:space="preserve"> between trade service providers</w:t>
      </w:r>
    </w:p>
    <w:p w14:paraId="2F301BFD" w14:textId="77777777" w:rsidR="00763DA6" w:rsidRPr="003D7FCC" w:rsidRDefault="00763DA6" w:rsidP="00DE7EB7">
      <w:pPr>
        <w:pStyle w:val="ListParagraph"/>
        <w:numPr>
          <w:ilvl w:val="0"/>
          <w:numId w:val="6"/>
        </w:numPr>
        <w:spacing w:afterLines="200" w:after="480" w:line="276" w:lineRule="auto"/>
        <w:ind w:left="357" w:hanging="357"/>
        <w:rPr>
          <w:rFonts w:ascii="Cambria" w:hAnsi="Cambria"/>
          <w:sz w:val="22"/>
          <w:szCs w:val="22"/>
        </w:rPr>
      </w:pPr>
      <w:r w:rsidRPr="003D7FCC">
        <w:rPr>
          <w:rFonts w:ascii="Cambria" w:hAnsi="Cambria"/>
          <w:sz w:val="22"/>
          <w:szCs w:val="22"/>
        </w:rPr>
        <w:t xml:space="preserve">Ensuring </w:t>
      </w:r>
      <w:r w:rsidRPr="003D7FCC">
        <w:rPr>
          <w:rFonts w:ascii="Cambria" w:hAnsi="Cambria"/>
          <w:b/>
          <w:sz w:val="22"/>
          <w:szCs w:val="22"/>
        </w:rPr>
        <w:t>integrity</w:t>
      </w:r>
      <w:r w:rsidRPr="003D7FCC">
        <w:rPr>
          <w:rFonts w:ascii="Cambria" w:hAnsi="Cambria"/>
          <w:sz w:val="22"/>
          <w:szCs w:val="22"/>
        </w:rPr>
        <w:t xml:space="preserve"> of the market - improving trust &amp; accountability </w:t>
      </w:r>
    </w:p>
    <w:p w14:paraId="63AE7F6A" w14:textId="77777777" w:rsidR="00763DA6" w:rsidRPr="003D7FCC" w:rsidRDefault="00763DA6" w:rsidP="00283CA8">
      <w:pPr>
        <w:pStyle w:val="ListParagraph"/>
        <w:numPr>
          <w:ilvl w:val="0"/>
          <w:numId w:val="6"/>
        </w:numPr>
        <w:spacing w:after="200" w:line="276" w:lineRule="auto"/>
        <w:ind w:left="357" w:hanging="357"/>
        <w:rPr>
          <w:rFonts w:ascii="Cambria" w:hAnsi="Cambria"/>
          <w:sz w:val="22"/>
          <w:szCs w:val="22"/>
        </w:rPr>
      </w:pPr>
      <w:r w:rsidRPr="003D7FCC">
        <w:rPr>
          <w:rFonts w:ascii="Cambria" w:hAnsi="Cambria"/>
          <w:sz w:val="22"/>
          <w:szCs w:val="22"/>
        </w:rPr>
        <w:t xml:space="preserve">Improving </w:t>
      </w:r>
      <w:r w:rsidRPr="003D7FCC">
        <w:rPr>
          <w:rFonts w:ascii="Cambria" w:hAnsi="Cambria"/>
          <w:b/>
          <w:sz w:val="22"/>
          <w:szCs w:val="22"/>
        </w:rPr>
        <w:t>market architecture</w:t>
      </w:r>
      <w:r w:rsidRPr="003D7FCC">
        <w:rPr>
          <w:rFonts w:ascii="Cambria" w:hAnsi="Cambria"/>
          <w:sz w:val="22"/>
          <w:szCs w:val="22"/>
        </w:rPr>
        <w:t xml:space="preserve"> to mitigate third party impacts and better integrate trading with water management </w:t>
      </w:r>
    </w:p>
    <w:p w14:paraId="385B02CA" w14:textId="64EFA653" w:rsidR="00763DA6" w:rsidRPr="003D7FCC" w:rsidRDefault="00763DA6" w:rsidP="00DE7EB7">
      <w:pPr>
        <w:pStyle w:val="ListParagraph"/>
        <w:numPr>
          <w:ilvl w:val="0"/>
          <w:numId w:val="6"/>
        </w:numPr>
        <w:spacing w:afterLines="200" w:after="480" w:line="276" w:lineRule="auto"/>
        <w:ind w:left="357" w:hanging="357"/>
        <w:rPr>
          <w:rFonts w:ascii="Cambria" w:hAnsi="Cambria"/>
          <w:sz w:val="22"/>
          <w:szCs w:val="22"/>
        </w:rPr>
      </w:pPr>
      <w:r w:rsidRPr="003D7FCC">
        <w:rPr>
          <w:rFonts w:ascii="Cambria" w:eastAsia="Calibri" w:hAnsi="Cambria" w:cs="Calibri"/>
          <w:color w:val="000000" w:themeColor="text1"/>
          <w:sz w:val="22"/>
          <w:szCs w:val="22"/>
          <w:lang w:eastAsia="en-AU"/>
        </w:rPr>
        <w:lastRenderedPageBreak/>
        <w:t>Enabling</w:t>
      </w:r>
      <w:r w:rsidRPr="003D7FCC">
        <w:rPr>
          <w:rFonts w:ascii="Cambria" w:hAnsi="Cambria"/>
          <w:sz w:val="22"/>
          <w:szCs w:val="22"/>
        </w:rPr>
        <w:t xml:space="preserve"> </w:t>
      </w:r>
      <w:r w:rsidRPr="003D7FCC">
        <w:rPr>
          <w:rFonts w:ascii="Cambria" w:hAnsi="Cambria"/>
          <w:b/>
          <w:sz w:val="22"/>
          <w:szCs w:val="22"/>
        </w:rPr>
        <w:t>effective participation</w:t>
      </w:r>
      <w:r w:rsidRPr="003D7FCC">
        <w:rPr>
          <w:rFonts w:ascii="Cambria" w:hAnsi="Cambria"/>
          <w:sz w:val="22"/>
          <w:szCs w:val="22"/>
        </w:rPr>
        <w:t xml:space="preserve"> by reducing barriers to entry and enabling informed decision-making (improving information resources and transparency of policy).</w:t>
      </w:r>
    </w:p>
    <w:p w14:paraId="1686CDD6" w14:textId="6D0339C6" w:rsidR="00763DA6" w:rsidRPr="003D7FCC" w:rsidRDefault="00763DA6" w:rsidP="004E2890">
      <w:pPr>
        <w:spacing w:after="200" w:line="276" w:lineRule="auto"/>
        <w:rPr>
          <w:rFonts w:ascii="Cambria" w:eastAsia="Arial Narrow" w:hAnsi="Cambria" w:cs="Calibri"/>
          <w:sz w:val="22"/>
          <w:szCs w:val="22"/>
        </w:rPr>
      </w:pPr>
      <w:r w:rsidRPr="003D7FCC">
        <w:rPr>
          <w:rFonts w:ascii="Cambria" w:eastAsia="Arial Narrow" w:hAnsi="Cambria" w:cs="Calibri"/>
          <w:sz w:val="22"/>
          <w:szCs w:val="22"/>
        </w:rPr>
        <w:t xml:space="preserve">Each of these policy priorities is important to the roadmap – and </w:t>
      </w:r>
      <w:r w:rsidR="00B1103A">
        <w:rPr>
          <w:rFonts w:ascii="Cambria" w:eastAsia="Arial Narrow" w:hAnsi="Cambria" w:cs="Calibri"/>
          <w:sz w:val="22"/>
          <w:szCs w:val="22"/>
        </w:rPr>
        <w:t xml:space="preserve">the Principal Adviser will be seeking </w:t>
      </w:r>
      <w:r w:rsidRPr="003D7FCC">
        <w:rPr>
          <w:rFonts w:ascii="Cambria" w:eastAsia="Arial Narrow" w:hAnsi="Cambria" w:cs="Calibri"/>
          <w:sz w:val="22"/>
          <w:szCs w:val="22"/>
        </w:rPr>
        <w:t>to strike the right balance across them to ensure that the roadmap is cost-effective</w:t>
      </w:r>
      <w:r w:rsidR="000647D1">
        <w:rPr>
          <w:rFonts w:ascii="Cambria" w:eastAsia="Arial Narrow" w:hAnsi="Cambria" w:cs="Calibri"/>
          <w:sz w:val="22"/>
          <w:szCs w:val="22"/>
        </w:rPr>
        <w:t xml:space="preserve"> and can be implemented in practice</w:t>
      </w:r>
      <w:r w:rsidRPr="003D7FCC">
        <w:rPr>
          <w:rFonts w:ascii="Cambria" w:eastAsia="Arial Narrow" w:hAnsi="Cambria" w:cs="Calibri"/>
          <w:sz w:val="22"/>
          <w:szCs w:val="22"/>
        </w:rPr>
        <w:t>.</w:t>
      </w:r>
    </w:p>
    <w:p w14:paraId="6462CC44" w14:textId="5AE36390" w:rsidR="00DE520B" w:rsidRDefault="00146943" w:rsidP="004E2890">
      <w:pPr>
        <w:spacing w:after="200" w:line="276" w:lineRule="auto"/>
        <w:rPr>
          <w:rFonts w:ascii="Cambria" w:eastAsia="Arial Narrow" w:hAnsi="Cambria" w:cs="Calibri"/>
          <w:sz w:val="22"/>
          <w:szCs w:val="22"/>
        </w:rPr>
      </w:pPr>
      <w:r>
        <w:rPr>
          <w:rFonts w:ascii="Cambria" w:eastAsia="Arial Narrow" w:hAnsi="Cambria" w:cs="Calibri"/>
          <w:sz w:val="22"/>
          <w:szCs w:val="22"/>
        </w:rPr>
        <w:t>D</w:t>
      </w:r>
      <w:r w:rsidR="00763DA6" w:rsidRPr="003D7FCC">
        <w:rPr>
          <w:rFonts w:ascii="Cambria" w:eastAsia="Arial Narrow" w:hAnsi="Cambria" w:cs="Calibri"/>
          <w:sz w:val="22"/>
          <w:szCs w:val="22"/>
        </w:rPr>
        <w:t xml:space="preserve">eveloping the roadmap does not involve repeating the ACCC inquiry process. </w:t>
      </w:r>
      <w:r w:rsidR="00922D98">
        <w:rPr>
          <w:rFonts w:ascii="Cambria" w:eastAsia="Arial Narrow" w:hAnsi="Cambria" w:cs="Calibri"/>
          <w:sz w:val="22"/>
          <w:szCs w:val="22"/>
        </w:rPr>
        <w:t>G</w:t>
      </w:r>
      <w:r w:rsidR="00F16A9E">
        <w:rPr>
          <w:rFonts w:ascii="Cambria" w:eastAsia="Arial Narrow" w:hAnsi="Cambria" w:cs="Calibri"/>
          <w:sz w:val="22"/>
          <w:szCs w:val="22"/>
        </w:rPr>
        <w:t>iven the ACCC’s extensive analysis</w:t>
      </w:r>
      <w:r w:rsidR="00964838">
        <w:rPr>
          <w:rFonts w:ascii="Cambria" w:eastAsia="Arial Narrow" w:hAnsi="Cambria" w:cs="Calibri"/>
          <w:sz w:val="22"/>
          <w:szCs w:val="22"/>
        </w:rPr>
        <w:t xml:space="preserve"> and</w:t>
      </w:r>
      <w:r w:rsidR="00F16A9E">
        <w:rPr>
          <w:rFonts w:ascii="Cambria" w:eastAsia="Arial Narrow" w:hAnsi="Cambria" w:cs="Calibri"/>
          <w:sz w:val="22"/>
          <w:szCs w:val="22"/>
        </w:rPr>
        <w:t xml:space="preserve"> the limited </w:t>
      </w:r>
      <w:r w:rsidR="00964838">
        <w:rPr>
          <w:rFonts w:ascii="Cambria" w:eastAsia="Arial Narrow" w:hAnsi="Cambria" w:cs="Calibri"/>
          <w:sz w:val="22"/>
          <w:szCs w:val="22"/>
        </w:rPr>
        <w:t>scope of</w:t>
      </w:r>
      <w:r w:rsidR="00F16A9E">
        <w:rPr>
          <w:rFonts w:ascii="Cambria" w:eastAsia="Arial Narrow" w:hAnsi="Cambria" w:cs="Calibri"/>
          <w:sz w:val="22"/>
          <w:szCs w:val="22"/>
        </w:rPr>
        <w:t xml:space="preserve"> this roadmap</w:t>
      </w:r>
      <w:r w:rsidR="00964838">
        <w:rPr>
          <w:rFonts w:ascii="Cambria" w:eastAsia="Arial Narrow" w:hAnsi="Cambria" w:cs="Calibri"/>
          <w:sz w:val="22"/>
          <w:szCs w:val="22"/>
        </w:rPr>
        <w:t>, governments will need to undertake further implementation and policy development to implement this set of water market reforms</w:t>
      </w:r>
      <w:r w:rsidR="00EA3179">
        <w:rPr>
          <w:rFonts w:ascii="Cambria" w:eastAsia="Arial Narrow" w:hAnsi="Cambria" w:cs="Calibri"/>
          <w:sz w:val="22"/>
          <w:szCs w:val="22"/>
        </w:rPr>
        <w:t xml:space="preserve">. </w:t>
      </w:r>
      <w:r w:rsidR="00964838">
        <w:rPr>
          <w:rFonts w:ascii="Cambria" w:eastAsia="Arial Narrow" w:hAnsi="Cambria" w:cs="Calibri"/>
          <w:sz w:val="22"/>
          <w:szCs w:val="22"/>
        </w:rPr>
        <w:t xml:space="preserve">Decisions on resourcing and </w:t>
      </w:r>
      <w:r w:rsidR="00DE520B">
        <w:rPr>
          <w:rFonts w:ascii="Cambria" w:eastAsia="Arial Narrow" w:hAnsi="Cambria" w:cs="Calibri"/>
          <w:sz w:val="22"/>
          <w:szCs w:val="22"/>
        </w:rPr>
        <w:t>the allocation of responsibilities</w:t>
      </w:r>
      <w:r w:rsidR="00964838">
        <w:rPr>
          <w:rFonts w:ascii="Cambria" w:eastAsia="Arial Narrow" w:hAnsi="Cambria" w:cs="Calibri"/>
          <w:sz w:val="22"/>
          <w:szCs w:val="22"/>
        </w:rPr>
        <w:t xml:space="preserve"> based on this roadmap will be critical elements of this implementation process</w:t>
      </w:r>
      <w:r w:rsidR="00E776D7">
        <w:rPr>
          <w:rFonts w:ascii="Cambria" w:eastAsia="Arial Narrow" w:hAnsi="Cambria" w:cs="Calibri"/>
          <w:sz w:val="22"/>
          <w:szCs w:val="22"/>
        </w:rPr>
        <w:t>.</w:t>
      </w:r>
    </w:p>
    <w:p w14:paraId="724B5561" w14:textId="0E89AC05" w:rsidR="00D67A6A" w:rsidRDefault="00EA3179" w:rsidP="004E2890">
      <w:pPr>
        <w:spacing w:after="200" w:line="276" w:lineRule="auto"/>
        <w:rPr>
          <w:rFonts w:ascii="Cambria" w:eastAsia="Arial Narrow" w:hAnsi="Cambria" w:cs="Calibri"/>
          <w:sz w:val="22"/>
          <w:szCs w:val="22"/>
        </w:rPr>
      </w:pPr>
      <w:r>
        <w:rPr>
          <w:rFonts w:ascii="Cambria" w:eastAsia="Arial Narrow" w:hAnsi="Cambria" w:cs="Calibri"/>
          <w:sz w:val="22"/>
          <w:szCs w:val="22"/>
        </w:rPr>
        <w:t>Th</w:t>
      </w:r>
      <w:r w:rsidR="00DE520B">
        <w:rPr>
          <w:rFonts w:ascii="Cambria" w:eastAsia="Arial Narrow" w:hAnsi="Cambria" w:cs="Calibri"/>
          <w:sz w:val="22"/>
          <w:szCs w:val="22"/>
        </w:rPr>
        <w:t>e roadmap will also not involve revisiting the</w:t>
      </w:r>
      <w:r w:rsidR="007C7C37">
        <w:rPr>
          <w:rFonts w:ascii="Cambria" w:eastAsia="Arial Narrow" w:hAnsi="Cambria" w:cs="Calibri"/>
          <w:sz w:val="22"/>
          <w:szCs w:val="22"/>
        </w:rPr>
        <w:t xml:space="preserve"> </w:t>
      </w:r>
      <w:r>
        <w:rPr>
          <w:rFonts w:ascii="Cambria" w:eastAsia="Arial Narrow" w:hAnsi="Cambria" w:cs="Calibri"/>
          <w:sz w:val="22"/>
          <w:szCs w:val="22"/>
        </w:rPr>
        <w:t>policy decisions that provide the foundation</w:t>
      </w:r>
      <w:r w:rsidR="007C7C37">
        <w:rPr>
          <w:rFonts w:ascii="Cambria" w:eastAsia="Arial Narrow" w:hAnsi="Cambria" w:cs="Calibri"/>
          <w:sz w:val="22"/>
          <w:szCs w:val="22"/>
        </w:rPr>
        <w:t>s</w:t>
      </w:r>
      <w:r>
        <w:rPr>
          <w:rFonts w:ascii="Cambria" w:eastAsia="Arial Narrow" w:hAnsi="Cambria" w:cs="Calibri"/>
          <w:sz w:val="22"/>
          <w:szCs w:val="22"/>
        </w:rPr>
        <w:t xml:space="preserve"> of </w:t>
      </w:r>
      <w:r w:rsidR="007C7C37">
        <w:rPr>
          <w:rFonts w:ascii="Cambria" w:eastAsia="Arial Narrow" w:hAnsi="Cambria" w:cs="Calibri"/>
          <w:sz w:val="22"/>
          <w:szCs w:val="22"/>
        </w:rPr>
        <w:t xml:space="preserve">today’s </w:t>
      </w:r>
      <w:r>
        <w:rPr>
          <w:rFonts w:ascii="Cambria" w:eastAsia="Arial Narrow" w:hAnsi="Cambria" w:cs="Calibri"/>
          <w:sz w:val="22"/>
          <w:szCs w:val="22"/>
        </w:rPr>
        <w:t>water markets (</w:t>
      </w:r>
      <w:r w:rsidR="007C7C37">
        <w:rPr>
          <w:rFonts w:ascii="Cambria" w:eastAsia="Arial Narrow" w:hAnsi="Cambria" w:cs="Calibri"/>
          <w:sz w:val="22"/>
          <w:szCs w:val="22"/>
        </w:rPr>
        <w:t xml:space="preserve">such as re-bundling land and water rights </w:t>
      </w:r>
      <w:r w:rsidR="00922D98">
        <w:rPr>
          <w:rFonts w:ascii="Cambria" w:eastAsia="Arial Narrow" w:hAnsi="Cambria" w:cs="Calibri"/>
          <w:sz w:val="22"/>
          <w:szCs w:val="22"/>
        </w:rPr>
        <w:t xml:space="preserve">or </w:t>
      </w:r>
      <w:r w:rsidR="003149D2">
        <w:rPr>
          <w:rFonts w:ascii="Cambria" w:eastAsia="Arial Narrow" w:hAnsi="Cambria" w:cs="Calibri"/>
          <w:sz w:val="22"/>
          <w:szCs w:val="22"/>
        </w:rPr>
        <w:t xml:space="preserve">making the ability to trade water conditional on </w:t>
      </w:r>
      <w:r w:rsidR="00687D35">
        <w:rPr>
          <w:rFonts w:ascii="Cambria" w:eastAsia="Arial Narrow" w:hAnsi="Cambria" w:cs="Calibri"/>
          <w:sz w:val="22"/>
          <w:szCs w:val="22"/>
        </w:rPr>
        <w:t>its use</w:t>
      </w:r>
      <w:r w:rsidR="00922D98">
        <w:rPr>
          <w:rFonts w:ascii="Cambria" w:eastAsia="Arial Narrow" w:hAnsi="Cambria" w:cs="Calibri"/>
          <w:sz w:val="22"/>
          <w:szCs w:val="22"/>
        </w:rPr>
        <w:t>)</w:t>
      </w:r>
      <w:r w:rsidR="00DE520B">
        <w:rPr>
          <w:rFonts w:ascii="Cambria" w:eastAsia="Arial Narrow" w:hAnsi="Cambria" w:cs="Calibri"/>
          <w:sz w:val="22"/>
          <w:szCs w:val="22"/>
        </w:rPr>
        <w:t xml:space="preserve"> and the investments in increased agricultural production that have resulted</w:t>
      </w:r>
      <w:r w:rsidR="00922D98">
        <w:rPr>
          <w:rFonts w:ascii="Cambria" w:eastAsia="Arial Narrow" w:hAnsi="Cambria" w:cs="Calibri"/>
          <w:sz w:val="22"/>
          <w:szCs w:val="22"/>
        </w:rPr>
        <w:t>.</w:t>
      </w:r>
      <w:r w:rsidR="007C7C37">
        <w:rPr>
          <w:rFonts w:ascii="Cambria" w:eastAsia="Arial Narrow" w:hAnsi="Cambria" w:cs="Calibri"/>
          <w:sz w:val="22"/>
          <w:szCs w:val="22"/>
        </w:rPr>
        <w:t xml:space="preserve"> </w:t>
      </w:r>
    </w:p>
    <w:p w14:paraId="4C934509" w14:textId="567956C8" w:rsidR="00763DA6" w:rsidRPr="003D7FCC" w:rsidRDefault="00763DA6" w:rsidP="004E2890">
      <w:pPr>
        <w:spacing w:after="200" w:line="276" w:lineRule="auto"/>
        <w:rPr>
          <w:rFonts w:ascii="Cambria" w:eastAsia="Arial Narrow" w:hAnsi="Cambria" w:cs="Calibri"/>
          <w:sz w:val="22"/>
          <w:szCs w:val="22"/>
        </w:rPr>
      </w:pPr>
      <w:r w:rsidRPr="003D7FCC">
        <w:rPr>
          <w:rFonts w:ascii="Cambria" w:eastAsia="Arial Narrow" w:hAnsi="Cambria" w:cs="Calibri"/>
          <w:sz w:val="22"/>
          <w:szCs w:val="22"/>
        </w:rPr>
        <w:t xml:space="preserve">The roadmap </w:t>
      </w:r>
      <w:r w:rsidR="00DE520B">
        <w:rPr>
          <w:rFonts w:ascii="Cambria" w:eastAsia="Arial Narrow" w:hAnsi="Cambria" w:cs="Calibri"/>
          <w:sz w:val="22"/>
          <w:szCs w:val="22"/>
        </w:rPr>
        <w:t>does involve</w:t>
      </w:r>
      <w:r w:rsidRPr="003D7FCC">
        <w:rPr>
          <w:rFonts w:ascii="Cambria" w:eastAsia="Arial Narrow" w:hAnsi="Cambria" w:cs="Calibri"/>
          <w:sz w:val="22"/>
          <w:szCs w:val="22"/>
        </w:rPr>
        <w:t xml:space="preserve"> working with Basin states and </w:t>
      </w:r>
      <w:r w:rsidR="00DE520B">
        <w:rPr>
          <w:rFonts w:ascii="Cambria" w:eastAsia="Arial Narrow" w:hAnsi="Cambria" w:cs="Calibri"/>
          <w:sz w:val="22"/>
          <w:szCs w:val="22"/>
        </w:rPr>
        <w:t>engaging with</w:t>
      </w:r>
      <w:r w:rsidRPr="003D7FCC">
        <w:rPr>
          <w:rFonts w:ascii="Cambria" w:eastAsia="Arial Narrow" w:hAnsi="Cambria" w:cs="Calibri"/>
          <w:sz w:val="22"/>
          <w:szCs w:val="22"/>
        </w:rPr>
        <w:t xml:space="preserve"> stakeholders </w:t>
      </w:r>
      <w:r w:rsidR="00380928">
        <w:rPr>
          <w:rFonts w:ascii="Cambria" w:eastAsia="Arial Narrow" w:hAnsi="Cambria" w:cs="Calibri"/>
          <w:sz w:val="22"/>
          <w:szCs w:val="22"/>
        </w:rPr>
        <w:t xml:space="preserve">and communities </w:t>
      </w:r>
      <w:r w:rsidRPr="003D7FCC">
        <w:rPr>
          <w:rFonts w:ascii="Cambria" w:eastAsia="Arial Narrow" w:hAnsi="Cambria" w:cs="Calibri"/>
          <w:sz w:val="22"/>
          <w:szCs w:val="22"/>
        </w:rPr>
        <w:t xml:space="preserve">to </w:t>
      </w:r>
      <w:r w:rsidR="00077CA9">
        <w:rPr>
          <w:rFonts w:ascii="Cambria" w:eastAsia="Arial Narrow" w:hAnsi="Cambria" w:cs="Calibri"/>
          <w:sz w:val="22"/>
          <w:szCs w:val="22"/>
        </w:rPr>
        <w:t>develop</w:t>
      </w:r>
      <w:r w:rsidRPr="003D7FCC">
        <w:rPr>
          <w:rFonts w:ascii="Cambria" w:eastAsia="Arial Narrow" w:hAnsi="Cambria" w:cs="Calibri"/>
          <w:sz w:val="22"/>
          <w:szCs w:val="22"/>
        </w:rPr>
        <w:t xml:space="preserve"> a phased and practical plan for water market reform based on the ACCC’s advice, and where relevant, alternative options. </w:t>
      </w:r>
      <w:r w:rsidR="00077CA9">
        <w:rPr>
          <w:rFonts w:ascii="Cambria" w:eastAsia="Arial Narrow" w:hAnsi="Cambria" w:cs="Calibri"/>
          <w:sz w:val="22"/>
          <w:szCs w:val="22"/>
        </w:rPr>
        <w:t>We will be</w:t>
      </w:r>
      <w:r w:rsidRPr="003D7FCC">
        <w:rPr>
          <w:rFonts w:ascii="Cambria" w:eastAsia="Arial Narrow" w:hAnsi="Cambria" w:cs="Calibri"/>
          <w:sz w:val="22"/>
          <w:szCs w:val="22"/>
        </w:rPr>
        <w:t xml:space="preserve"> focusing on:</w:t>
      </w:r>
    </w:p>
    <w:p w14:paraId="48CC503F" w14:textId="529902FF" w:rsidR="00763DA6" w:rsidRPr="003D7FCC" w:rsidRDefault="00763DA6" w:rsidP="00DE7EB7">
      <w:pPr>
        <w:pStyle w:val="ListParagraph"/>
        <w:numPr>
          <w:ilvl w:val="0"/>
          <w:numId w:val="6"/>
        </w:numPr>
        <w:spacing w:afterLines="200" w:after="480" w:line="276" w:lineRule="auto"/>
        <w:ind w:left="357" w:hanging="357"/>
        <w:rPr>
          <w:rFonts w:ascii="Cambria" w:hAnsi="Cambria"/>
          <w:sz w:val="22"/>
          <w:szCs w:val="22"/>
        </w:rPr>
      </w:pPr>
      <w:r w:rsidRPr="003D7FCC">
        <w:rPr>
          <w:rFonts w:ascii="Cambria" w:hAnsi="Cambria"/>
          <w:b/>
          <w:sz w:val="22"/>
          <w:szCs w:val="22"/>
        </w:rPr>
        <w:t>What</w:t>
      </w:r>
      <w:r w:rsidRPr="003D7FCC">
        <w:rPr>
          <w:rFonts w:ascii="Cambria" w:hAnsi="Cambria"/>
          <w:sz w:val="22"/>
          <w:szCs w:val="22"/>
        </w:rPr>
        <w:t xml:space="preserve"> actions </w:t>
      </w:r>
      <w:r w:rsidRPr="003D7FCC">
        <w:rPr>
          <w:rFonts w:ascii="Cambria" w:eastAsia="Calibri" w:hAnsi="Cambria" w:cs="Calibri"/>
          <w:color w:val="000000" w:themeColor="text1"/>
          <w:sz w:val="22"/>
          <w:szCs w:val="22"/>
          <w:lang w:eastAsia="en-AU"/>
        </w:rPr>
        <w:t>should</w:t>
      </w:r>
      <w:r w:rsidRPr="003D7FCC">
        <w:rPr>
          <w:rFonts w:ascii="Cambria" w:hAnsi="Cambria"/>
          <w:sz w:val="22"/>
          <w:szCs w:val="22"/>
        </w:rPr>
        <w:t xml:space="preserve"> be undertaken </w:t>
      </w:r>
      <w:r w:rsidR="00A70AD6">
        <w:rPr>
          <w:rFonts w:ascii="Cambria" w:hAnsi="Cambria"/>
          <w:sz w:val="22"/>
          <w:szCs w:val="22"/>
        </w:rPr>
        <w:t xml:space="preserve">as a collective of Basin governments </w:t>
      </w:r>
      <w:r w:rsidRPr="003D7FCC">
        <w:rPr>
          <w:rFonts w:ascii="Cambria" w:hAnsi="Cambria"/>
          <w:sz w:val="22"/>
          <w:szCs w:val="22"/>
        </w:rPr>
        <w:t xml:space="preserve">and why – whether that be </w:t>
      </w:r>
      <w:r w:rsidR="00E776D7">
        <w:rPr>
          <w:rFonts w:ascii="Cambria" w:hAnsi="Cambria"/>
          <w:sz w:val="22"/>
          <w:szCs w:val="22"/>
        </w:rPr>
        <w:t xml:space="preserve">an </w:t>
      </w:r>
      <w:r w:rsidRPr="003D7FCC">
        <w:rPr>
          <w:rFonts w:ascii="Cambria" w:hAnsi="Cambria"/>
          <w:sz w:val="22"/>
          <w:szCs w:val="22"/>
        </w:rPr>
        <w:t xml:space="preserve">action the ACCC recommended, or </w:t>
      </w:r>
      <w:r w:rsidR="00E776D7">
        <w:rPr>
          <w:rFonts w:ascii="Cambria" w:hAnsi="Cambria"/>
          <w:sz w:val="22"/>
          <w:szCs w:val="22"/>
        </w:rPr>
        <w:t>an</w:t>
      </w:r>
      <w:r w:rsidRPr="003D7FCC">
        <w:rPr>
          <w:rFonts w:ascii="Cambria" w:hAnsi="Cambria"/>
          <w:sz w:val="22"/>
          <w:szCs w:val="22"/>
        </w:rPr>
        <w:t>other, having regard to both costs and benefits of actions</w:t>
      </w:r>
    </w:p>
    <w:p w14:paraId="612F62E4" w14:textId="5314DFE8" w:rsidR="00763DA6" w:rsidRPr="003D7FCC" w:rsidRDefault="00763DA6" w:rsidP="00DE7EB7">
      <w:pPr>
        <w:pStyle w:val="ListParagraph"/>
        <w:numPr>
          <w:ilvl w:val="0"/>
          <w:numId w:val="6"/>
        </w:numPr>
        <w:spacing w:afterLines="200" w:after="480" w:line="276" w:lineRule="auto"/>
        <w:ind w:left="357" w:hanging="357"/>
        <w:rPr>
          <w:rFonts w:ascii="Cambria" w:hAnsi="Cambria"/>
          <w:sz w:val="22"/>
          <w:szCs w:val="22"/>
        </w:rPr>
      </w:pPr>
      <w:r w:rsidRPr="003D7FCC">
        <w:rPr>
          <w:rFonts w:ascii="Cambria" w:hAnsi="Cambria"/>
          <w:b/>
          <w:sz w:val="22"/>
          <w:szCs w:val="22"/>
        </w:rPr>
        <w:t>When</w:t>
      </w:r>
      <w:r w:rsidRPr="003D7FCC">
        <w:rPr>
          <w:rFonts w:ascii="Cambria" w:hAnsi="Cambria"/>
          <w:sz w:val="22"/>
          <w:szCs w:val="22"/>
        </w:rPr>
        <w:t xml:space="preserve"> the actions </w:t>
      </w:r>
      <w:r w:rsidRPr="003D7FCC">
        <w:rPr>
          <w:rFonts w:ascii="Cambria" w:eastAsia="Calibri" w:hAnsi="Cambria" w:cs="Calibri"/>
          <w:color w:val="000000" w:themeColor="text1"/>
          <w:sz w:val="22"/>
          <w:szCs w:val="22"/>
          <w:lang w:eastAsia="en-AU"/>
        </w:rPr>
        <w:t>should</w:t>
      </w:r>
      <w:r w:rsidRPr="003D7FCC">
        <w:rPr>
          <w:rFonts w:ascii="Cambria" w:hAnsi="Cambria"/>
          <w:sz w:val="22"/>
          <w:szCs w:val="22"/>
        </w:rPr>
        <w:t xml:space="preserve"> be undertaken (both in terms of sequencing and timeframes)</w:t>
      </w:r>
      <w:r w:rsidR="00E776D7">
        <w:rPr>
          <w:rFonts w:ascii="Cambria" w:hAnsi="Cambria"/>
          <w:sz w:val="22"/>
          <w:szCs w:val="22"/>
        </w:rPr>
        <w:t>,</w:t>
      </w:r>
      <w:r w:rsidRPr="003D7FCC">
        <w:rPr>
          <w:rFonts w:ascii="Cambria" w:hAnsi="Cambria"/>
          <w:sz w:val="22"/>
          <w:szCs w:val="22"/>
        </w:rPr>
        <w:t xml:space="preserve"> having regard to the key steps involved in implementing actions and the anticipated impacts</w:t>
      </w:r>
    </w:p>
    <w:p w14:paraId="71F1B525" w14:textId="77777777" w:rsidR="00763DA6" w:rsidRPr="003D7FCC" w:rsidRDefault="00763DA6" w:rsidP="00283CA8">
      <w:pPr>
        <w:pStyle w:val="ListParagraph"/>
        <w:numPr>
          <w:ilvl w:val="0"/>
          <w:numId w:val="6"/>
        </w:numPr>
        <w:spacing w:after="200" w:line="276" w:lineRule="auto"/>
        <w:ind w:left="357" w:hanging="357"/>
        <w:rPr>
          <w:rFonts w:ascii="Cambria" w:hAnsi="Cambria"/>
          <w:sz w:val="22"/>
          <w:szCs w:val="22"/>
        </w:rPr>
      </w:pPr>
      <w:r w:rsidRPr="003D7FCC">
        <w:rPr>
          <w:rFonts w:ascii="Cambria" w:hAnsi="Cambria"/>
          <w:b/>
          <w:sz w:val="22"/>
          <w:szCs w:val="22"/>
        </w:rPr>
        <w:t>Who</w:t>
      </w:r>
      <w:r w:rsidRPr="003D7FCC">
        <w:rPr>
          <w:rFonts w:ascii="Cambria" w:hAnsi="Cambria"/>
          <w:sz w:val="22"/>
          <w:szCs w:val="22"/>
        </w:rPr>
        <w:t xml:space="preserve"> should be </w:t>
      </w:r>
      <w:r w:rsidRPr="00283CA8">
        <w:rPr>
          <w:rFonts w:ascii="Cambria" w:hAnsi="Cambria"/>
          <w:sz w:val="22"/>
          <w:szCs w:val="22"/>
        </w:rPr>
        <w:t>responsible</w:t>
      </w:r>
      <w:r w:rsidRPr="003D7FCC">
        <w:rPr>
          <w:rFonts w:ascii="Cambria" w:hAnsi="Cambria"/>
          <w:sz w:val="22"/>
          <w:szCs w:val="22"/>
        </w:rPr>
        <w:t xml:space="preserve"> or involved in taking the </w:t>
      </w:r>
      <w:proofErr w:type="gramStart"/>
      <w:r w:rsidRPr="003D7FCC">
        <w:rPr>
          <w:rFonts w:ascii="Cambria" w:hAnsi="Cambria"/>
          <w:sz w:val="22"/>
          <w:szCs w:val="22"/>
        </w:rPr>
        <w:t>action</w:t>
      </w:r>
      <w:proofErr w:type="gramEnd"/>
    </w:p>
    <w:p w14:paraId="75F58C6F" w14:textId="4AF914B7" w:rsidR="00763DA6" w:rsidRDefault="00763DA6" w:rsidP="00DE7EB7">
      <w:pPr>
        <w:pStyle w:val="ListParagraph"/>
        <w:numPr>
          <w:ilvl w:val="0"/>
          <w:numId w:val="6"/>
        </w:numPr>
        <w:spacing w:afterLines="200" w:after="480" w:line="276" w:lineRule="auto"/>
        <w:ind w:left="357" w:hanging="357"/>
        <w:rPr>
          <w:rFonts w:ascii="Cambria" w:hAnsi="Cambria"/>
          <w:sz w:val="22"/>
          <w:szCs w:val="22"/>
        </w:rPr>
      </w:pPr>
      <w:r w:rsidRPr="003D7FCC">
        <w:rPr>
          <w:rFonts w:ascii="Cambria" w:hAnsi="Cambria"/>
          <w:b/>
          <w:sz w:val="22"/>
          <w:szCs w:val="22"/>
        </w:rPr>
        <w:t xml:space="preserve">What </w:t>
      </w:r>
      <w:r w:rsidRPr="003D7FCC">
        <w:rPr>
          <w:rFonts w:ascii="Cambria" w:hAnsi="Cambria"/>
          <w:sz w:val="22"/>
          <w:szCs w:val="22"/>
        </w:rPr>
        <w:t xml:space="preserve">are the </w:t>
      </w:r>
      <w:r w:rsidRPr="003D7FCC">
        <w:rPr>
          <w:rFonts w:ascii="Cambria" w:eastAsia="Calibri" w:hAnsi="Cambria" w:cs="Calibri"/>
          <w:color w:val="000000" w:themeColor="text1"/>
          <w:sz w:val="22"/>
          <w:szCs w:val="22"/>
          <w:lang w:eastAsia="en-AU"/>
        </w:rPr>
        <w:t>likely</w:t>
      </w:r>
      <w:r w:rsidRPr="003D7FCC">
        <w:rPr>
          <w:rFonts w:ascii="Cambria" w:hAnsi="Cambria"/>
          <w:sz w:val="22"/>
          <w:szCs w:val="22"/>
        </w:rPr>
        <w:t xml:space="preserve"> costs and</w:t>
      </w:r>
      <w:r w:rsidRPr="003D7FCC">
        <w:rPr>
          <w:rFonts w:ascii="Cambria" w:hAnsi="Cambria"/>
          <w:b/>
          <w:sz w:val="22"/>
          <w:szCs w:val="22"/>
        </w:rPr>
        <w:t xml:space="preserve"> how </w:t>
      </w:r>
      <w:r w:rsidRPr="003D7FCC">
        <w:rPr>
          <w:rFonts w:ascii="Cambria" w:hAnsi="Cambria"/>
          <w:sz w:val="22"/>
          <w:szCs w:val="22"/>
        </w:rPr>
        <w:t xml:space="preserve">should the costs of implementation be </w:t>
      </w:r>
      <w:proofErr w:type="gramStart"/>
      <w:r w:rsidRPr="003D7FCC">
        <w:rPr>
          <w:rFonts w:ascii="Cambria" w:hAnsi="Cambria"/>
          <w:sz w:val="22"/>
          <w:szCs w:val="22"/>
        </w:rPr>
        <w:t>funded.</w:t>
      </w:r>
      <w:proofErr w:type="gramEnd"/>
    </w:p>
    <w:p w14:paraId="1D02BF2A" w14:textId="1053E565" w:rsidR="00470A49" w:rsidRDefault="00900D38" w:rsidP="00900D38">
      <w:pPr>
        <w:spacing w:after="200" w:line="276" w:lineRule="auto"/>
        <w:rPr>
          <w:rFonts w:ascii="Cambria" w:eastAsia="Calibri" w:hAnsi="Cambria" w:cs="Calibri"/>
          <w:sz w:val="22"/>
          <w:szCs w:val="22"/>
        </w:rPr>
      </w:pPr>
      <w:r w:rsidRPr="00B40EAF">
        <w:rPr>
          <w:rFonts w:ascii="Cambria" w:eastAsia="Calibri" w:hAnsi="Cambria" w:cs="Calibri"/>
          <w:sz w:val="22"/>
          <w:szCs w:val="22"/>
        </w:rPr>
        <w:t xml:space="preserve">The ACCC proposed wide-ranging and comprehensive reforms to support the future growth of water markets in the Murray–Darling Basin. </w:t>
      </w:r>
      <w:r w:rsidR="00470A49">
        <w:rPr>
          <w:rFonts w:ascii="Cambria" w:eastAsia="Calibri" w:hAnsi="Cambria" w:cs="Calibri"/>
          <w:sz w:val="22"/>
          <w:szCs w:val="22"/>
        </w:rPr>
        <w:t xml:space="preserve">And while </w:t>
      </w:r>
      <w:r w:rsidR="008C7111">
        <w:rPr>
          <w:rFonts w:ascii="Cambria" w:eastAsia="Calibri" w:hAnsi="Cambria" w:cs="Calibri"/>
          <w:sz w:val="22"/>
          <w:szCs w:val="22"/>
        </w:rPr>
        <w:t>it produced strong and innovative solutions to multi-faceted and complex problems, it did not have the opportunity to really test the practicality of implementing these reforms with government or non-government parties</w:t>
      </w:r>
      <w:r w:rsidR="00DE6215">
        <w:rPr>
          <w:rFonts w:ascii="Cambria" w:eastAsia="Calibri" w:hAnsi="Cambria" w:cs="Calibri"/>
          <w:sz w:val="22"/>
          <w:szCs w:val="22"/>
        </w:rPr>
        <w:t>, nor to account for resourcing constraints</w:t>
      </w:r>
      <w:r w:rsidR="008C7111">
        <w:rPr>
          <w:rFonts w:ascii="Cambria" w:eastAsia="Calibri" w:hAnsi="Cambria" w:cs="Calibri"/>
          <w:sz w:val="22"/>
          <w:szCs w:val="22"/>
        </w:rPr>
        <w:t xml:space="preserve">. </w:t>
      </w:r>
    </w:p>
    <w:p w14:paraId="3BEEEC23" w14:textId="17F17A35" w:rsidR="00DE6215" w:rsidRDefault="005F0619" w:rsidP="00900D38">
      <w:pPr>
        <w:spacing w:after="200" w:line="276" w:lineRule="auto"/>
        <w:rPr>
          <w:rFonts w:ascii="Cambria" w:eastAsia="Calibri" w:hAnsi="Cambria" w:cs="Calibri"/>
          <w:sz w:val="22"/>
          <w:szCs w:val="22"/>
        </w:rPr>
      </w:pPr>
      <w:r>
        <w:rPr>
          <w:rFonts w:ascii="Cambria" w:eastAsia="Calibri" w:hAnsi="Cambria" w:cs="Calibri"/>
          <w:sz w:val="22"/>
          <w:szCs w:val="22"/>
        </w:rPr>
        <w:t xml:space="preserve">Therefore, the ACCC’s recommendations </w:t>
      </w:r>
      <w:r w:rsidR="00900D38" w:rsidRPr="00B40EAF">
        <w:rPr>
          <w:rFonts w:ascii="Cambria" w:eastAsia="Calibri" w:hAnsi="Cambria" w:cs="Calibri"/>
          <w:sz w:val="22"/>
          <w:szCs w:val="22"/>
        </w:rPr>
        <w:t>need to be carefully considered with Basin governments,</w:t>
      </w:r>
      <w:r w:rsidR="00DE6215">
        <w:rPr>
          <w:rFonts w:ascii="Cambria" w:eastAsia="Calibri" w:hAnsi="Cambria" w:cs="Calibri"/>
          <w:sz w:val="22"/>
          <w:szCs w:val="22"/>
        </w:rPr>
        <w:t xml:space="preserve"> having regard to those implementation constraints and</w:t>
      </w:r>
      <w:r w:rsidR="00900D38" w:rsidRPr="00B40EAF">
        <w:rPr>
          <w:rFonts w:ascii="Cambria" w:eastAsia="Calibri" w:hAnsi="Cambria" w:cs="Calibri"/>
          <w:sz w:val="22"/>
          <w:szCs w:val="22"/>
        </w:rPr>
        <w:t xml:space="preserve"> in the context of an </w:t>
      </w:r>
      <w:r w:rsidR="00DE6215">
        <w:rPr>
          <w:rFonts w:ascii="Cambria" w:eastAsia="Calibri" w:hAnsi="Cambria" w:cs="Calibri"/>
          <w:sz w:val="22"/>
          <w:szCs w:val="22"/>
        </w:rPr>
        <w:t xml:space="preserve">established </w:t>
      </w:r>
      <w:r w:rsidR="00E776D7">
        <w:rPr>
          <w:rFonts w:ascii="Cambria" w:eastAsia="Calibri" w:hAnsi="Cambria" w:cs="Calibri"/>
          <w:sz w:val="22"/>
          <w:szCs w:val="22"/>
        </w:rPr>
        <w:t>(</w:t>
      </w:r>
      <w:r w:rsidR="00DE6215">
        <w:rPr>
          <w:rFonts w:ascii="Cambria" w:eastAsia="Calibri" w:hAnsi="Cambria" w:cs="Calibri"/>
          <w:sz w:val="22"/>
          <w:szCs w:val="22"/>
        </w:rPr>
        <w:t xml:space="preserve">if </w:t>
      </w:r>
      <w:r w:rsidR="00E776D7">
        <w:rPr>
          <w:rFonts w:ascii="Cambria" w:eastAsia="Calibri" w:hAnsi="Cambria" w:cs="Calibri"/>
          <w:sz w:val="22"/>
          <w:szCs w:val="22"/>
        </w:rPr>
        <w:t xml:space="preserve">very </w:t>
      </w:r>
      <w:r w:rsidR="00DE6215">
        <w:rPr>
          <w:rFonts w:ascii="Cambria" w:eastAsia="Calibri" w:hAnsi="Cambria" w:cs="Calibri"/>
          <w:sz w:val="22"/>
          <w:szCs w:val="22"/>
        </w:rPr>
        <w:t>complex</w:t>
      </w:r>
      <w:r w:rsidR="00E776D7">
        <w:rPr>
          <w:rFonts w:ascii="Cambria" w:eastAsia="Calibri" w:hAnsi="Cambria" w:cs="Calibri"/>
          <w:sz w:val="22"/>
          <w:szCs w:val="22"/>
        </w:rPr>
        <w:t>)</w:t>
      </w:r>
      <w:r w:rsidR="00900D38" w:rsidRPr="00B40EAF">
        <w:rPr>
          <w:rFonts w:ascii="Cambria" w:eastAsia="Calibri" w:hAnsi="Cambria" w:cs="Calibri"/>
          <w:sz w:val="22"/>
          <w:szCs w:val="22"/>
        </w:rPr>
        <w:t xml:space="preserve"> water management regulatory framework. </w:t>
      </w:r>
      <w:r w:rsidR="00DE6215">
        <w:rPr>
          <w:rFonts w:ascii="Cambria" w:eastAsia="Calibri" w:hAnsi="Cambria" w:cs="Calibri"/>
          <w:sz w:val="22"/>
          <w:szCs w:val="22"/>
        </w:rPr>
        <w:t>T</w:t>
      </w:r>
      <w:r w:rsidR="00900D38" w:rsidRPr="00B40EAF">
        <w:rPr>
          <w:rFonts w:ascii="Cambria" w:eastAsia="Calibri" w:hAnsi="Cambria" w:cs="Calibri"/>
          <w:sz w:val="22"/>
          <w:szCs w:val="22"/>
        </w:rPr>
        <w:t>his</w:t>
      </w:r>
      <w:r w:rsidR="00DE6215">
        <w:rPr>
          <w:rFonts w:ascii="Cambria" w:eastAsia="Calibri" w:hAnsi="Cambria" w:cs="Calibri"/>
          <w:sz w:val="22"/>
          <w:szCs w:val="22"/>
        </w:rPr>
        <w:t xml:space="preserve"> is an opportunity</w:t>
      </w:r>
      <w:r w:rsidR="00900D38" w:rsidRPr="00B40EAF">
        <w:rPr>
          <w:rFonts w:ascii="Cambria" w:eastAsia="Calibri" w:hAnsi="Cambria" w:cs="Calibri"/>
          <w:sz w:val="22"/>
          <w:szCs w:val="22"/>
        </w:rPr>
        <w:t xml:space="preserve"> for reform</w:t>
      </w:r>
      <w:r w:rsidR="00DE6215">
        <w:rPr>
          <w:rFonts w:ascii="Cambria" w:eastAsia="Calibri" w:hAnsi="Cambria" w:cs="Calibri"/>
          <w:sz w:val="22"/>
          <w:szCs w:val="22"/>
        </w:rPr>
        <w:t>s</w:t>
      </w:r>
      <w:r w:rsidR="00900D38" w:rsidRPr="00B40EAF">
        <w:rPr>
          <w:rFonts w:ascii="Cambria" w:eastAsia="Calibri" w:hAnsi="Cambria" w:cs="Calibri"/>
          <w:sz w:val="22"/>
          <w:szCs w:val="22"/>
        </w:rPr>
        <w:t xml:space="preserve"> </w:t>
      </w:r>
      <w:r w:rsidR="00DE6215">
        <w:rPr>
          <w:rFonts w:ascii="Cambria" w:eastAsia="Calibri" w:hAnsi="Cambria" w:cs="Calibri"/>
          <w:sz w:val="22"/>
          <w:szCs w:val="22"/>
        </w:rPr>
        <w:t xml:space="preserve">that </w:t>
      </w:r>
      <w:r w:rsidR="00900D38" w:rsidRPr="00B40EAF">
        <w:rPr>
          <w:rFonts w:ascii="Cambria" w:eastAsia="Calibri" w:hAnsi="Cambria" w:cs="Calibri"/>
          <w:sz w:val="22"/>
          <w:szCs w:val="22"/>
        </w:rPr>
        <w:t xml:space="preserve">will help shape the future </w:t>
      </w:r>
      <w:r w:rsidR="00DE6215">
        <w:rPr>
          <w:rFonts w:ascii="Cambria" w:eastAsia="Calibri" w:hAnsi="Cambria" w:cs="Calibri"/>
          <w:sz w:val="22"/>
          <w:szCs w:val="22"/>
        </w:rPr>
        <w:t xml:space="preserve">of the </w:t>
      </w:r>
      <w:r w:rsidR="00900D38" w:rsidRPr="00B40EAF">
        <w:rPr>
          <w:rFonts w:ascii="Cambria" w:eastAsia="Calibri" w:hAnsi="Cambria" w:cs="Calibri"/>
          <w:sz w:val="22"/>
          <w:szCs w:val="22"/>
        </w:rPr>
        <w:t>agricultural sector</w:t>
      </w:r>
      <w:r w:rsidR="00F32F69">
        <w:rPr>
          <w:rFonts w:ascii="Cambria" w:eastAsia="Calibri" w:hAnsi="Cambria" w:cs="Calibri"/>
          <w:sz w:val="22"/>
          <w:szCs w:val="22"/>
        </w:rPr>
        <w:t xml:space="preserve">, the </w:t>
      </w:r>
      <w:proofErr w:type="gramStart"/>
      <w:r w:rsidR="00F32F69">
        <w:rPr>
          <w:rFonts w:ascii="Cambria" w:eastAsia="Calibri" w:hAnsi="Cambria" w:cs="Calibri"/>
          <w:sz w:val="22"/>
          <w:szCs w:val="22"/>
        </w:rPr>
        <w:t>communities</w:t>
      </w:r>
      <w:proofErr w:type="gramEnd"/>
      <w:r w:rsidR="00F32F69">
        <w:rPr>
          <w:rFonts w:ascii="Cambria" w:eastAsia="Calibri" w:hAnsi="Cambria" w:cs="Calibri"/>
          <w:sz w:val="22"/>
          <w:szCs w:val="22"/>
        </w:rPr>
        <w:t xml:space="preserve"> and natural assets</w:t>
      </w:r>
      <w:r w:rsidR="00900D38" w:rsidRPr="00B40EAF">
        <w:rPr>
          <w:rFonts w:ascii="Cambria" w:eastAsia="Calibri" w:hAnsi="Cambria" w:cs="Calibri"/>
          <w:sz w:val="22"/>
          <w:szCs w:val="22"/>
        </w:rPr>
        <w:t xml:space="preserve"> </w:t>
      </w:r>
      <w:r w:rsidR="00DE6215">
        <w:rPr>
          <w:rFonts w:ascii="Cambria" w:eastAsia="Calibri" w:hAnsi="Cambria" w:cs="Calibri"/>
          <w:sz w:val="22"/>
          <w:szCs w:val="22"/>
        </w:rPr>
        <w:t>in the</w:t>
      </w:r>
      <w:r w:rsidR="00900D38" w:rsidRPr="00B40EAF">
        <w:rPr>
          <w:rFonts w:ascii="Cambria" w:eastAsia="Calibri" w:hAnsi="Cambria" w:cs="Calibri"/>
          <w:sz w:val="22"/>
          <w:szCs w:val="22"/>
        </w:rPr>
        <w:t xml:space="preserve"> Murray–Darling Basin</w:t>
      </w:r>
      <w:r w:rsidR="00F32F69">
        <w:rPr>
          <w:rFonts w:ascii="Cambria" w:eastAsia="Calibri" w:hAnsi="Cambria" w:cs="Calibri"/>
          <w:sz w:val="22"/>
          <w:szCs w:val="22"/>
        </w:rPr>
        <w:t>.</w:t>
      </w:r>
    </w:p>
    <w:p w14:paraId="6824ECB9" w14:textId="434748C5" w:rsidR="000721C1" w:rsidRDefault="000721C1">
      <w:pPr>
        <w:rPr>
          <w:rFonts w:eastAsiaTheme="majorEastAsia" w:cstheme="minorHAnsi"/>
          <w:sz w:val="56"/>
          <w:szCs w:val="56"/>
        </w:rPr>
      </w:pPr>
      <w:r>
        <w:rPr>
          <w:rFonts w:cstheme="minorHAnsi"/>
          <w:sz w:val="56"/>
          <w:szCs w:val="56"/>
        </w:rPr>
        <w:br w:type="page"/>
      </w:r>
    </w:p>
    <w:p w14:paraId="659C8B5B" w14:textId="57351E25" w:rsidR="00FF4A36" w:rsidRPr="00A3226D" w:rsidRDefault="008C17EB" w:rsidP="00C66F0F">
      <w:pPr>
        <w:pStyle w:val="Heading2"/>
        <w:keepNext w:val="0"/>
        <w:keepLines w:val="0"/>
        <w:pageBreakBefore/>
        <w:spacing w:before="0" w:after="240"/>
        <w:ind w:left="720" w:hanging="720"/>
        <w:rPr>
          <w:rFonts w:asciiTheme="minorHAnsi" w:hAnsiTheme="minorHAnsi" w:cstheme="minorHAnsi"/>
          <w:color w:val="auto"/>
          <w:sz w:val="56"/>
          <w:szCs w:val="56"/>
        </w:rPr>
      </w:pPr>
      <w:bookmarkStart w:id="8" w:name="_Toc90470956"/>
      <w:r>
        <w:rPr>
          <w:rFonts w:ascii="Calibri" w:eastAsiaTheme="minorEastAsia" w:hAnsi="Calibri" w:cstheme="minorBidi"/>
          <w:bCs/>
          <w:color w:val="000000"/>
          <w:sz w:val="56"/>
          <w:lang w:eastAsia="ja-JP"/>
        </w:rPr>
        <w:lastRenderedPageBreak/>
        <w:t>2</w:t>
      </w:r>
      <w:r>
        <w:rPr>
          <w:rFonts w:ascii="Calibri" w:eastAsiaTheme="minorEastAsia" w:hAnsi="Calibri" w:cstheme="minorBidi"/>
          <w:bCs/>
          <w:color w:val="000000"/>
          <w:sz w:val="56"/>
          <w:lang w:eastAsia="ja-JP"/>
        </w:rPr>
        <w:tab/>
      </w:r>
      <w:r w:rsidR="008D6159" w:rsidRPr="00C66F0F">
        <w:rPr>
          <w:rFonts w:ascii="Calibri" w:eastAsiaTheme="minorEastAsia" w:hAnsi="Calibri" w:cstheme="minorBidi"/>
          <w:bCs/>
          <w:color w:val="000000"/>
          <w:sz w:val="56"/>
          <w:lang w:eastAsia="ja-JP"/>
        </w:rPr>
        <w:t>Developing</w:t>
      </w:r>
      <w:r w:rsidR="008D6159" w:rsidRPr="00A3226D">
        <w:rPr>
          <w:rFonts w:asciiTheme="minorHAnsi" w:hAnsiTheme="minorHAnsi" w:cstheme="minorHAnsi"/>
          <w:color w:val="auto"/>
          <w:sz w:val="56"/>
          <w:szCs w:val="56"/>
        </w:rPr>
        <w:t xml:space="preserve"> the roadmap: </w:t>
      </w:r>
      <w:r w:rsidR="00CA7245" w:rsidRPr="00A3226D">
        <w:rPr>
          <w:rFonts w:asciiTheme="minorHAnsi" w:hAnsiTheme="minorHAnsi" w:cstheme="minorHAnsi"/>
          <w:color w:val="auto"/>
          <w:sz w:val="56"/>
          <w:szCs w:val="56"/>
        </w:rPr>
        <w:t>work completed to date</w:t>
      </w:r>
      <w:bookmarkEnd w:id="8"/>
    </w:p>
    <w:p w14:paraId="1540A738" w14:textId="03E611E3" w:rsidR="00973A88" w:rsidRPr="00C66F0F" w:rsidRDefault="00515012" w:rsidP="00C66F0F">
      <w:pPr>
        <w:pStyle w:val="Heading3"/>
        <w:spacing w:before="0"/>
        <w:ind w:left="964" w:hanging="964"/>
        <w:rPr>
          <w:rFonts w:ascii="Calibri" w:eastAsia="Times New Roman" w:hAnsi="Calibri" w:cs="Times New Roman"/>
          <w:b/>
          <w:bCs/>
          <w:color w:val="auto"/>
          <w:sz w:val="36"/>
        </w:rPr>
      </w:pPr>
      <w:bookmarkStart w:id="9" w:name="_Toc90470957"/>
      <w:r>
        <w:rPr>
          <w:rFonts w:ascii="Calibri" w:eastAsia="Times New Roman" w:hAnsi="Calibri" w:cs="Times New Roman"/>
          <w:b/>
          <w:bCs/>
          <w:color w:val="auto"/>
          <w:sz w:val="36"/>
        </w:rPr>
        <w:t>2.1</w:t>
      </w:r>
      <w:r>
        <w:rPr>
          <w:rFonts w:ascii="Calibri" w:eastAsia="Times New Roman" w:hAnsi="Calibri" w:cs="Times New Roman"/>
          <w:b/>
          <w:bCs/>
          <w:color w:val="auto"/>
          <w:sz w:val="36"/>
        </w:rPr>
        <w:tab/>
      </w:r>
      <w:r w:rsidR="00973A88" w:rsidRPr="00C66F0F">
        <w:rPr>
          <w:rFonts w:ascii="Calibri" w:eastAsia="Times New Roman" w:hAnsi="Calibri" w:cs="Times New Roman"/>
          <w:b/>
          <w:bCs/>
          <w:color w:val="auto"/>
          <w:sz w:val="36"/>
        </w:rPr>
        <w:t>A</w:t>
      </w:r>
      <w:r w:rsidR="00BB0E4D" w:rsidRPr="00C66F0F">
        <w:rPr>
          <w:rFonts w:ascii="Calibri" w:eastAsia="Times New Roman" w:hAnsi="Calibri" w:cs="Times New Roman"/>
          <w:b/>
          <w:bCs/>
          <w:color w:val="auto"/>
          <w:sz w:val="36"/>
        </w:rPr>
        <w:t xml:space="preserve"> collaborative approach to developing the roadmap</w:t>
      </w:r>
      <w:bookmarkEnd w:id="9"/>
      <w:r w:rsidR="00BB766C" w:rsidRPr="00C66F0F">
        <w:rPr>
          <w:rFonts w:ascii="Calibri" w:eastAsia="Times New Roman" w:hAnsi="Calibri" w:cs="Times New Roman"/>
          <w:b/>
          <w:bCs/>
          <w:color w:val="auto"/>
          <w:sz w:val="36"/>
        </w:rPr>
        <w:t xml:space="preserve"> </w:t>
      </w:r>
    </w:p>
    <w:p w14:paraId="14A8E027" w14:textId="666AE995" w:rsidR="008B449D" w:rsidRPr="003D7FCC" w:rsidRDefault="006515F0" w:rsidP="00C66F0F">
      <w:pPr>
        <w:spacing w:after="200" w:line="276" w:lineRule="auto"/>
        <w:rPr>
          <w:rFonts w:ascii="Cambria" w:hAnsi="Cambria"/>
          <w:sz w:val="22"/>
          <w:szCs w:val="22"/>
        </w:rPr>
      </w:pPr>
      <w:r w:rsidRPr="003D7FCC">
        <w:rPr>
          <w:rFonts w:ascii="Cambria" w:hAnsi="Cambria"/>
          <w:sz w:val="22"/>
          <w:szCs w:val="22"/>
        </w:rPr>
        <w:t xml:space="preserve">Since </w:t>
      </w:r>
      <w:r w:rsidR="00F311B5">
        <w:rPr>
          <w:rFonts w:ascii="Cambria" w:hAnsi="Cambria"/>
          <w:sz w:val="22"/>
          <w:szCs w:val="22"/>
        </w:rPr>
        <w:t xml:space="preserve">being </w:t>
      </w:r>
      <w:r w:rsidRPr="003D7FCC">
        <w:rPr>
          <w:rFonts w:ascii="Cambria" w:hAnsi="Cambria"/>
          <w:sz w:val="22"/>
          <w:szCs w:val="22"/>
        </w:rPr>
        <w:t>appoint</w:t>
      </w:r>
      <w:r w:rsidR="00F311B5">
        <w:rPr>
          <w:rFonts w:ascii="Cambria" w:hAnsi="Cambria"/>
          <w:sz w:val="22"/>
          <w:szCs w:val="22"/>
        </w:rPr>
        <w:t>ed</w:t>
      </w:r>
      <w:r w:rsidRPr="003D7FCC">
        <w:rPr>
          <w:rFonts w:ascii="Cambria" w:hAnsi="Cambria"/>
          <w:sz w:val="22"/>
          <w:szCs w:val="22"/>
        </w:rPr>
        <w:t xml:space="preserve"> in </w:t>
      </w:r>
      <w:r w:rsidR="00C7715E" w:rsidRPr="003D7FCC">
        <w:rPr>
          <w:rFonts w:ascii="Cambria" w:hAnsi="Cambria"/>
          <w:sz w:val="22"/>
          <w:szCs w:val="22"/>
        </w:rPr>
        <w:t xml:space="preserve">late </w:t>
      </w:r>
      <w:r w:rsidR="00E834AA" w:rsidRPr="003D7FCC">
        <w:rPr>
          <w:rFonts w:ascii="Cambria" w:hAnsi="Cambria"/>
          <w:sz w:val="22"/>
          <w:szCs w:val="22"/>
        </w:rPr>
        <w:t>October</w:t>
      </w:r>
      <w:r w:rsidR="00F22F5C" w:rsidRPr="003D7FCC">
        <w:rPr>
          <w:rFonts w:ascii="Cambria" w:hAnsi="Cambria"/>
          <w:sz w:val="22"/>
          <w:szCs w:val="22"/>
        </w:rPr>
        <w:t xml:space="preserve">, </w:t>
      </w:r>
      <w:r w:rsidR="00C87152">
        <w:rPr>
          <w:rFonts w:ascii="Cambria" w:hAnsi="Cambria"/>
          <w:sz w:val="22"/>
          <w:szCs w:val="22"/>
        </w:rPr>
        <w:t xml:space="preserve">the Principal Adviser has </w:t>
      </w:r>
      <w:r w:rsidR="00F22F5C" w:rsidRPr="003D7FCC">
        <w:rPr>
          <w:rFonts w:ascii="Cambria" w:hAnsi="Cambria"/>
          <w:sz w:val="22"/>
          <w:szCs w:val="22"/>
        </w:rPr>
        <w:t xml:space="preserve">worked with </w:t>
      </w:r>
      <w:r w:rsidR="00E776D7">
        <w:rPr>
          <w:rFonts w:ascii="Cambria" w:hAnsi="Cambria"/>
          <w:sz w:val="22"/>
          <w:szCs w:val="22"/>
        </w:rPr>
        <w:t>B</w:t>
      </w:r>
      <w:r w:rsidR="00E776D7" w:rsidRPr="003D7FCC">
        <w:rPr>
          <w:rFonts w:ascii="Cambria" w:hAnsi="Cambria"/>
          <w:sz w:val="22"/>
          <w:szCs w:val="22"/>
        </w:rPr>
        <w:t xml:space="preserve">asin </w:t>
      </w:r>
      <w:r w:rsidR="00967A65" w:rsidRPr="003D7FCC">
        <w:rPr>
          <w:rFonts w:ascii="Cambria" w:hAnsi="Cambria"/>
          <w:sz w:val="22"/>
          <w:szCs w:val="22"/>
        </w:rPr>
        <w:t xml:space="preserve">government </w:t>
      </w:r>
      <w:r w:rsidR="00790FB5" w:rsidRPr="003D7FCC">
        <w:rPr>
          <w:rFonts w:ascii="Cambria" w:hAnsi="Cambria"/>
          <w:sz w:val="22"/>
          <w:szCs w:val="22"/>
        </w:rPr>
        <w:t xml:space="preserve">officials </w:t>
      </w:r>
      <w:r w:rsidR="00F45143" w:rsidRPr="003D7FCC">
        <w:rPr>
          <w:rFonts w:ascii="Cambria" w:hAnsi="Cambria"/>
          <w:sz w:val="22"/>
          <w:szCs w:val="22"/>
        </w:rPr>
        <w:t>to understand reform prioritie</w:t>
      </w:r>
      <w:r w:rsidR="000836B5" w:rsidRPr="003D7FCC">
        <w:rPr>
          <w:rFonts w:ascii="Cambria" w:hAnsi="Cambria"/>
          <w:sz w:val="22"/>
          <w:szCs w:val="22"/>
        </w:rPr>
        <w:t>s</w:t>
      </w:r>
      <w:r w:rsidR="00C92D30" w:rsidRPr="003D7FCC">
        <w:rPr>
          <w:rFonts w:ascii="Cambria" w:hAnsi="Cambria"/>
          <w:sz w:val="22"/>
          <w:szCs w:val="22"/>
        </w:rPr>
        <w:t xml:space="preserve"> and ha</w:t>
      </w:r>
      <w:r w:rsidR="00F32F69">
        <w:rPr>
          <w:rFonts w:ascii="Cambria" w:hAnsi="Cambria"/>
          <w:sz w:val="22"/>
          <w:szCs w:val="22"/>
        </w:rPr>
        <w:t>s</w:t>
      </w:r>
      <w:r w:rsidR="00C92D30" w:rsidRPr="003D7FCC">
        <w:rPr>
          <w:rFonts w:ascii="Cambria" w:hAnsi="Cambria"/>
          <w:sz w:val="22"/>
          <w:szCs w:val="22"/>
        </w:rPr>
        <w:t xml:space="preserve"> seen strong engagement and commitment from all governments</w:t>
      </w:r>
      <w:r w:rsidR="00F32F69">
        <w:rPr>
          <w:rFonts w:ascii="Cambria" w:hAnsi="Cambria"/>
          <w:sz w:val="22"/>
          <w:szCs w:val="22"/>
        </w:rPr>
        <w:t xml:space="preserve">. This has allowed this advice to include </w:t>
      </w:r>
      <w:r w:rsidR="00EE3D4A" w:rsidRPr="00C5235F">
        <w:rPr>
          <w:rFonts w:ascii="Cambria" w:hAnsi="Cambria"/>
          <w:sz w:val="22"/>
          <w:szCs w:val="22"/>
        </w:rPr>
        <w:t>in-</w:t>
      </w:r>
      <w:proofErr w:type="gramStart"/>
      <w:r w:rsidR="00EE3D4A" w:rsidRPr="00C5235F">
        <w:rPr>
          <w:rFonts w:ascii="Cambria" w:hAnsi="Cambria"/>
          <w:sz w:val="22"/>
          <w:szCs w:val="22"/>
        </w:rPr>
        <w:t>principle</w:t>
      </w:r>
      <w:proofErr w:type="gramEnd"/>
      <w:r w:rsidR="00EE3D4A" w:rsidRPr="00C5235F">
        <w:rPr>
          <w:rFonts w:ascii="Cambria" w:hAnsi="Cambria"/>
          <w:sz w:val="22"/>
          <w:szCs w:val="22"/>
        </w:rPr>
        <w:t xml:space="preserve"> support for </w:t>
      </w:r>
      <w:r w:rsidR="00F73FD1" w:rsidRPr="00C5235F">
        <w:rPr>
          <w:rFonts w:ascii="Cambria" w:hAnsi="Cambria"/>
          <w:sz w:val="22"/>
          <w:szCs w:val="22"/>
        </w:rPr>
        <w:t xml:space="preserve">five </w:t>
      </w:r>
      <w:r w:rsidR="00956AA7">
        <w:rPr>
          <w:rFonts w:ascii="Cambria" w:hAnsi="Cambria"/>
          <w:sz w:val="22"/>
          <w:szCs w:val="22"/>
        </w:rPr>
        <w:t>initial</w:t>
      </w:r>
      <w:r w:rsidR="00F73FD1" w:rsidRPr="00C5235F">
        <w:rPr>
          <w:rFonts w:ascii="Cambria" w:hAnsi="Cambria"/>
          <w:sz w:val="22"/>
          <w:szCs w:val="22"/>
        </w:rPr>
        <w:t xml:space="preserve"> reform actions</w:t>
      </w:r>
      <w:r w:rsidR="00956AA7">
        <w:rPr>
          <w:rFonts w:ascii="Cambria" w:hAnsi="Cambria"/>
          <w:sz w:val="22"/>
          <w:szCs w:val="22"/>
        </w:rPr>
        <w:t xml:space="preserve">, </w:t>
      </w:r>
      <w:r w:rsidR="0043489B" w:rsidRPr="00C5235F">
        <w:rPr>
          <w:rFonts w:ascii="Cambria" w:hAnsi="Cambria"/>
          <w:sz w:val="22"/>
          <w:szCs w:val="22"/>
        </w:rPr>
        <w:t>outlined below.</w:t>
      </w:r>
      <w:r w:rsidR="009C0E1D" w:rsidRPr="00C5235F">
        <w:rPr>
          <w:rFonts w:ascii="Cambria" w:hAnsi="Cambria"/>
          <w:sz w:val="22"/>
          <w:szCs w:val="22"/>
        </w:rPr>
        <w:t xml:space="preserve"> </w:t>
      </w:r>
      <w:r w:rsidR="00630FA0" w:rsidRPr="00C5235F">
        <w:rPr>
          <w:rFonts w:ascii="Cambria" w:hAnsi="Cambria"/>
          <w:sz w:val="22"/>
          <w:szCs w:val="22"/>
        </w:rPr>
        <w:t xml:space="preserve">These are additional to </w:t>
      </w:r>
      <w:r w:rsidR="00077E6D" w:rsidRPr="00C5235F">
        <w:rPr>
          <w:rFonts w:ascii="Cambria" w:hAnsi="Cambria"/>
          <w:sz w:val="22"/>
          <w:szCs w:val="22"/>
        </w:rPr>
        <w:t>the work that has already been progressed independently by Basin governments since the ACCC’s inquiry</w:t>
      </w:r>
      <w:r w:rsidR="00A20802" w:rsidRPr="00C5235F">
        <w:rPr>
          <w:rFonts w:ascii="Cambria" w:hAnsi="Cambria"/>
          <w:sz w:val="22"/>
          <w:szCs w:val="22"/>
        </w:rPr>
        <w:t xml:space="preserve"> that address its findings, </w:t>
      </w:r>
      <w:r w:rsidR="00637EBF" w:rsidRPr="00C5235F">
        <w:rPr>
          <w:rFonts w:ascii="Cambria" w:hAnsi="Cambria"/>
          <w:sz w:val="22"/>
          <w:szCs w:val="22"/>
        </w:rPr>
        <w:t xml:space="preserve">also </w:t>
      </w:r>
      <w:r w:rsidR="005D5D63" w:rsidRPr="00C5235F">
        <w:rPr>
          <w:rFonts w:ascii="Cambria" w:hAnsi="Cambria"/>
          <w:sz w:val="22"/>
          <w:szCs w:val="22"/>
        </w:rPr>
        <w:t>outlined below.</w:t>
      </w:r>
    </w:p>
    <w:p w14:paraId="4AB1D758" w14:textId="6EE1E3B6" w:rsidR="00C5235F" w:rsidRDefault="00C87152" w:rsidP="00C66F0F">
      <w:pPr>
        <w:spacing w:after="200" w:line="276" w:lineRule="auto"/>
        <w:rPr>
          <w:rFonts w:ascii="Cambria" w:eastAsia="Calibri" w:hAnsi="Cambria" w:cs="Calibri"/>
          <w:color w:val="000000" w:themeColor="text1"/>
          <w:sz w:val="22"/>
          <w:szCs w:val="22"/>
          <w:lang w:eastAsia="en-AU"/>
        </w:rPr>
      </w:pPr>
      <w:r>
        <w:rPr>
          <w:rFonts w:ascii="Cambria" w:hAnsi="Cambria"/>
          <w:sz w:val="22"/>
          <w:szCs w:val="22"/>
        </w:rPr>
        <w:t xml:space="preserve">The Principal Adviser has met </w:t>
      </w:r>
      <w:r w:rsidR="00DB6903" w:rsidRPr="003D7FCC">
        <w:rPr>
          <w:rFonts w:ascii="Cambria" w:hAnsi="Cambria"/>
          <w:sz w:val="22"/>
          <w:szCs w:val="22"/>
        </w:rPr>
        <w:t>with t</w:t>
      </w:r>
      <w:r w:rsidR="000554F5" w:rsidRPr="003D7FCC">
        <w:rPr>
          <w:rFonts w:ascii="Cambria" w:hAnsi="Cambria"/>
          <w:sz w:val="22"/>
          <w:szCs w:val="22"/>
        </w:rPr>
        <w:t>he advisory grou</w:t>
      </w:r>
      <w:r w:rsidR="00DB6903" w:rsidRPr="003D7FCC">
        <w:rPr>
          <w:rFonts w:ascii="Cambria" w:hAnsi="Cambria"/>
          <w:sz w:val="22"/>
          <w:szCs w:val="22"/>
        </w:rPr>
        <w:t xml:space="preserve">p since their appointment on </w:t>
      </w:r>
      <w:r w:rsidR="0036248D" w:rsidRPr="003D7FCC">
        <w:rPr>
          <w:rFonts w:ascii="Cambria" w:hAnsi="Cambria"/>
          <w:sz w:val="22"/>
          <w:szCs w:val="22"/>
        </w:rPr>
        <w:t>1</w:t>
      </w:r>
      <w:r w:rsidR="00C7715E" w:rsidRPr="003D7FCC">
        <w:rPr>
          <w:rFonts w:ascii="Cambria" w:hAnsi="Cambria"/>
          <w:sz w:val="22"/>
          <w:szCs w:val="22"/>
        </w:rPr>
        <w:t>1</w:t>
      </w:r>
      <w:r w:rsidR="0036248D" w:rsidRPr="003D7FCC">
        <w:rPr>
          <w:rFonts w:ascii="Cambria" w:hAnsi="Cambria"/>
          <w:sz w:val="22"/>
          <w:szCs w:val="22"/>
        </w:rPr>
        <w:t xml:space="preserve"> November</w:t>
      </w:r>
      <w:r w:rsidR="00C7715E" w:rsidRPr="003D7FCC">
        <w:rPr>
          <w:rFonts w:ascii="Cambria" w:hAnsi="Cambria"/>
          <w:sz w:val="22"/>
          <w:szCs w:val="22"/>
        </w:rPr>
        <w:t xml:space="preserve"> 2021</w:t>
      </w:r>
      <w:r w:rsidR="002F307E" w:rsidRPr="003D7FCC">
        <w:rPr>
          <w:rFonts w:ascii="Cambria" w:hAnsi="Cambria"/>
          <w:sz w:val="22"/>
          <w:szCs w:val="22"/>
        </w:rPr>
        <w:t xml:space="preserve">, and </w:t>
      </w:r>
      <w:r w:rsidR="00956AA7">
        <w:rPr>
          <w:rFonts w:ascii="Cambria" w:hAnsi="Cambria"/>
          <w:sz w:val="22"/>
          <w:szCs w:val="22"/>
        </w:rPr>
        <w:t>commenced discussions</w:t>
      </w:r>
      <w:r w:rsidR="007E02EC">
        <w:rPr>
          <w:rFonts w:ascii="Cambria" w:hAnsi="Cambria"/>
          <w:sz w:val="22"/>
          <w:szCs w:val="22"/>
        </w:rPr>
        <w:t xml:space="preserve"> with</w:t>
      </w:r>
      <w:r w:rsidR="002F307E" w:rsidRPr="003D7FCC">
        <w:rPr>
          <w:rFonts w:ascii="Cambria" w:hAnsi="Cambria"/>
          <w:sz w:val="22"/>
          <w:szCs w:val="22"/>
        </w:rPr>
        <w:t xml:space="preserve"> </w:t>
      </w:r>
      <w:r w:rsidR="000554F5" w:rsidRPr="003D7FCC">
        <w:rPr>
          <w:rFonts w:ascii="Cambria" w:eastAsia="Calibri" w:hAnsi="Cambria" w:cs="Calibri"/>
          <w:color w:val="000000" w:themeColor="text1"/>
          <w:sz w:val="22"/>
          <w:szCs w:val="22"/>
          <w:lang w:eastAsia="en-AU"/>
        </w:rPr>
        <w:t>irrigation infrastructure operators</w:t>
      </w:r>
      <w:r w:rsidR="007E02EC">
        <w:rPr>
          <w:rFonts w:ascii="Cambria" w:eastAsia="Calibri" w:hAnsi="Cambria" w:cs="Calibri"/>
          <w:color w:val="000000" w:themeColor="text1"/>
          <w:sz w:val="22"/>
          <w:szCs w:val="22"/>
          <w:lang w:eastAsia="en-AU"/>
        </w:rPr>
        <w:t>,</w:t>
      </w:r>
      <w:r w:rsidR="000554F5" w:rsidRPr="003D7FCC">
        <w:rPr>
          <w:rFonts w:ascii="Cambria" w:eastAsia="Calibri" w:hAnsi="Cambria" w:cs="Calibri"/>
          <w:color w:val="000000" w:themeColor="text1"/>
          <w:sz w:val="22"/>
          <w:szCs w:val="22"/>
          <w:lang w:eastAsia="en-AU"/>
        </w:rPr>
        <w:t xml:space="preserve"> </w:t>
      </w:r>
      <w:r w:rsidR="002F307E" w:rsidRPr="003D7FCC">
        <w:rPr>
          <w:rFonts w:ascii="Cambria" w:eastAsia="Calibri" w:hAnsi="Cambria" w:cs="Calibri"/>
          <w:color w:val="000000" w:themeColor="text1"/>
          <w:sz w:val="22"/>
          <w:szCs w:val="22"/>
          <w:lang w:eastAsia="en-AU"/>
        </w:rPr>
        <w:t xml:space="preserve">water market </w:t>
      </w:r>
      <w:r w:rsidR="000554F5" w:rsidRPr="003D7FCC">
        <w:rPr>
          <w:rFonts w:ascii="Cambria" w:eastAsia="Calibri" w:hAnsi="Cambria" w:cs="Calibri"/>
          <w:color w:val="000000" w:themeColor="text1"/>
          <w:sz w:val="22"/>
          <w:szCs w:val="22"/>
          <w:lang w:eastAsia="en-AU"/>
        </w:rPr>
        <w:t xml:space="preserve">brokers </w:t>
      </w:r>
      <w:r w:rsidR="007E02EC">
        <w:rPr>
          <w:rFonts w:ascii="Cambria" w:eastAsia="Calibri" w:hAnsi="Cambria" w:cs="Calibri"/>
          <w:color w:val="000000" w:themeColor="text1"/>
          <w:sz w:val="22"/>
          <w:szCs w:val="22"/>
          <w:lang w:eastAsia="en-AU"/>
        </w:rPr>
        <w:t xml:space="preserve">and </w:t>
      </w:r>
      <w:r w:rsidR="000338F6">
        <w:rPr>
          <w:rFonts w:ascii="Cambria" w:eastAsia="Calibri" w:hAnsi="Cambria" w:cs="Calibri"/>
          <w:color w:val="000000" w:themeColor="text1"/>
          <w:sz w:val="22"/>
          <w:szCs w:val="22"/>
          <w:lang w:eastAsia="en-AU"/>
        </w:rPr>
        <w:t xml:space="preserve">community members </w:t>
      </w:r>
      <w:r w:rsidR="00956AA7">
        <w:rPr>
          <w:rFonts w:ascii="Cambria" w:eastAsia="Calibri" w:hAnsi="Cambria" w:cs="Calibri"/>
          <w:color w:val="000000" w:themeColor="text1"/>
          <w:sz w:val="22"/>
          <w:szCs w:val="22"/>
          <w:lang w:eastAsia="en-AU"/>
        </w:rPr>
        <w:t>generally</w:t>
      </w:r>
      <w:r w:rsidR="000338F6">
        <w:rPr>
          <w:rFonts w:ascii="Cambria" w:eastAsia="Calibri" w:hAnsi="Cambria" w:cs="Calibri"/>
          <w:color w:val="000000" w:themeColor="text1"/>
          <w:sz w:val="22"/>
          <w:szCs w:val="22"/>
          <w:lang w:eastAsia="en-AU"/>
        </w:rPr>
        <w:t xml:space="preserve">, including </w:t>
      </w:r>
      <w:r w:rsidR="000554F5" w:rsidRPr="003D7FCC">
        <w:rPr>
          <w:rFonts w:ascii="Cambria" w:eastAsia="Calibri" w:hAnsi="Cambria" w:cs="Calibri"/>
          <w:color w:val="000000" w:themeColor="text1"/>
          <w:sz w:val="22"/>
          <w:szCs w:val="22"/>
          <w:lang w:eastAsia="en-AU"/>
        </w:rPr>
        <w:t>to discuss areas of potential reform that could directly affect business models and impose compliance costs</w:t>
      </w:r>
      <w:r w:rsidR="002F307E" w:rsidRPr="003D7FCC">
        <w:rPr>
          <w:rFonts w:ascii="Cambria" w:eastAsia="Calibri" w:hAnsi="Cambria" w:cs="Calibri"/>
          <w:color w:val="000000" w:themeColor="text1"/>
          <w:sz w:val="22"/>
          <w:szCs w:val="22"/>
          <w:lang w:eastAsia="en-AU"/>
        </w:rPr>
        <w:t xml:space="preserve">. </w:t>
      </w:r>
    </w:p>
    <w:p w14:paraId="1AC524A3" w14:textId="7191ADB7" w:rsidR="00AE6443" w:rsidRDefault="00956AA7" w:rsidP="00C66F0F">
      <w:pPr>
        <w:spacing w:after="200" w:line="276" w:lineRule="auto"/>
        <w:rPr>
          <w:rFonts w:ascii="Cambria" w:eastAsia="Calibri" w:hAnsi="Cambria" w:cs="Calibri"/>
          <w:color w:val="000000" w:themeColor="text1"/>
          <w:sz w:val="22"/>
          <w:szCs w:val="22"/>
          <w:lang w:eastAsia="en-AU"/>
        </w:rPr>
      </w:pPr>
      <w:r>
        <w:rPr>
          <w:rFonts w:ascii="Cambria" w:eastAsia="Calibri" w:hAnsi="Cambria" w:cs="Calibri"/>
          <w:color w:val="000000" w:themeColor="text1"/>
          <w:sz w:val="22"/>
          <w:szCs w:val="22"/>
          <w:lang w:eastAsia="en-AU"/>
        </w:rPr>
        <w:t>It is also</w:t>
      </w:r>
      <w:r w:rsidR="00F311B5">
        <w:rPr>
          <w:rFonts w:ascii="Cambria" w:eastAsia="Calibri" w:hAnsi="Cambria" w:cs="Calibri"/>
          <w:color w:val="000000" w:themeColor="text1"/>
          <w:sz w:val="22"/>
          <w:szCs w:val="22"/>
          <w:lang w:eastAsia="en-AU"/>
        </w:rPr>
        <w:t xml:space="preserve"> apparent that the community’s </w:t>
      </w:r>
      <w:r w:rsidR="00E138B2">
        <w:rPr>
          <w:rFonts w:ascii="Cambria" w:eastAsia="Calibri" w:hAnsi="Cambria" w:cs="Calibri"/>
          <w:color w:val="000000" w:themeColor="text1"/>
          <w:sz w:val="22"/>
          <w:szCs w:val="22"/>
          <w:lang w:eastAsia="en-AU"/>
        </w:rPr>
        <w:t xml:space="preserve">continued access to this roadmap process and ability to provide advice will be important. </w:t>
      </w:r>
      <w:r w:rsidR="00C87152">
        <w:rPr>
          <w:rFonts w:ascii="Cambria" w:eastAsia="Calibri" w:hAnsi="Cambria" w:cs="Calibri"/>
          <w:color w:val="000000" w:themeColor="text1"/>
          <w:sz w:val="22"/>
          <w:szCs w:val="22"/>
          <w:lang w:eastAsia="en-AU"/>
        </w:rPr>
        <w:t>The Principal Adviser</w:t>
      </w:r>
      <w:r w:rsidR="00AE6443">
        <w:rPr>
          <w:rFonts w:ascii="Cambria" w:eastAsia="Calibri" w:hAnsi="Cambria" w:cs="Calibri"/>
          <w:color w:val="000000" w:themeColor="text1"/>
          <w:sz w:val="22"/>
          <w:szCs w:val="22"/>
          <w:lang w:eastAsia="en-AU"/>
        </w:rPr>
        <w:t xml:space="preserve"> ha</w:t>
      </w:r>
      <w:r w:rsidR="00C87152">
        <w:rPr>
          <w:rFonts w:ascii="Cambria" w:eastAsia="Calibri" w:hAnsi="Cambria" w:cs="Calibri"/>
          <w:color w:val="000000" w:themeColor="text1"/>
          <w:sz w:val="22"/>
          <w:szCs w:val="22"/>
          <w:lang w:eastAsia="en-AU"/>
        </w:rPr>
        <w:t>s</w:t>
      </w:r>
      <w:r w:rsidR="00AE6443">
        <w:rPr>
          <w:rFonts w:ascii="Cambria" w:eastAsia="Calibri" w:hAnsi="Cambria" w:cs="Calibri"/>
          <w:color w:val="000000" w:themeColor="text1"/>
          <w:sz w:val="22"/>
          <w:szCs w:val="22"/>
          <w:lang w:eastAsia="en-AU"/>
        </w:rPr>
        <w:t xml:space="preserve"> also </w:t>
      </w:r>
      <w:r w:rsidR="00B01C59">
        <w:rPr>
          <w:rFonts w:ascii="Cambria" w:eastAsia="Calibri" w:hAnsi="Cambria" w:cs="Calibri"/>
          <w:color w:val="000000" w:themeColor="text1"/>
          <w:sz w:val="22"/>
          <w:szCs w:val="22"/>
          <w:lang w:eastAsia="en-AU"/>
        </w:rPr>
        <w:t xml:space="preserve">reached out to Traditional Owner and environmental groups </w:t>
      </w:r>
      <w:r w:rsidR="00AE6443">
        <w:rPr>
          <w:rFonts w:ascii="Cambria" w:eastAsia="Calibri" w:hAnsi="Cambria" w:cs="Calibri"/>
          <w:color w:val="000000" w:themeColor="text1"/>
          <w:sz w:val="22"/>
          <w:szCs w:val="22"/>
          <w:lang w:eastAsia="en-AU"/>
        </w:rPr>
        <w:t>in respect of this roadmap project and hope</w:t>
      </w:r>
      <w:r w:rsidR="00C5235F">
        <w:rPr>
          <w:rFonts w:ascii="Cambria" w:eastAsia="Calibri" w:hAnsi="Cambria" w:cs="Calibri"/>
          <w:color w:val="000000" w:themeColor="text1"/>
          <w:sz w:val="22"/>
          <w:szCs w:val="22"/>
          <w:lang w:eastAsia="en-AU"/>
        </w:rPr>
        <w:t>s</w:t>
      </w:r>
      <w:r w:rsidR="00AE6443">
        <w:rPr>
          <w:rFonts w:ascii="Cambria" w:eastAsia="Calibri" w:hAnsi="Cambria" w:cs="Calibri"/>
          <w:color w:val="000000" w:themeColor="text1"/>
          <w:sz w:val="22"/>
          <w:szCs w:val="22"/>
          <w:lang w:eastAsia="en-AU"/>
        </w:rPr>
        <w:t xml:space="preserve"> to have the opportunity to hear their views and concerns </w:t>
      </w:r>
      <w:r>
        <w:rPr>
          <w:rFonts w:ascii="Cambria" w:eastAsia="Calibri" w:hAnsi="Cambria" w:cs="Calibri"/>
          <w:color w:val="000000" w:themeColor="text1"/>
          <w:sz w:val="22"/>
          <w:szCs w:val="22"/>
          <w:lang w:eastAsia="en-AU"/>
        </w:rPr>
        <w:t>early next year</w:t>
      </w:r>
      <w:r w:rsidR="00AE6443">
        <w:rPr>
          <w:rFonts w:ascii="Cambria" w:eastAsia="Calibri" w:hAnsi="Cambria" w:cs="Calibri"/>
          <w:color w:val="000000" w:themeColor="text1"/>
          <w:sz w:val="22"/>
          <w:szCs w:val="22"/>
          <w:lang w:eastAsia="en-AU"/>
        </w:rPr>
        <w:t>.</w:t>
      </w:r>
    </w:p>
    <w:p w14:paraId="16E52F87" w14:textId="2211EBE3" w:rsidR="003C3C10" w:rsidRPr="003D7FCC" w:rsidRDefault="002F307E" w:rsidP="00C66F0F">
      <w:pPr>
        <w:spacing w:after="200" w:line="276" w:lineRule="auto"/>
        <w:rPr>
          <w:rFonts w:ascii="Cambria" w:eastAsia="Calibri" w:hAnsi="Cambria" w:cs="Calibri"/>
          <w:color w:val="000000" w:themeColor="text1"/>
          <w:sz w:val="22"/>
          <w:szCs w:val="22"/>
          <w:lang w:eastAsia="en-AU"/>
        </w:rPr>
      </w:pPr>
      <w:r w:rsidRPr="003D7FCC">
        <w:rPr>
          <w:rFonts w:ascii="Cambria" w:eastAsia="Calibri" w:hAnsi="Cambria" w:cs="Calibri"/>
          <w:color w:val="000000" w:themeColor="text1"/>
          <w:sz w:val="22"/>
          <w:szCs w:val="22"/>
          <w:lang w:eastAsia="en-AU"/>
        </w:rPr>
        <w:t xml:space="preserve">These </w:t>
      </w:r>
      <w:r w:rsidR="00956AA7">
        <w:rPr>
          <w:rFonts w:ascii="Cambria" w:eastAsia="Calibri" w:hAnsi="Cambria" w:cs="Calibri"/>
          <w:color w:val="000000" w:themeColor="text1"/>
          <w:sz w:val="22"/>
          <w:szCs w:val="22"/>
          <w:lang w:eastAsia="en-AU"/>
        </w:rPr>
        <w:t xml:space="preserve">discussions </w:t>
      </w:r>
      <w:r w:rsidR="00FD23B1" w:rsidRPr="003D7FCC">
        <w:rPr>
          <w:rFonts w:ascii="Cambria" w:eastAsia="Calibri" w:hAnsi="Cambria" w:cs="Calibri"/>
          <w:color w:val="000000" w:themeColor="text1"/>
          <w:sz w:val="22"/>
          <w:szCs w:val="22"/>
          <w:lang w:eastAsia="en-AU"/>
        </w:rPr>
        <w:t xml:space="preserve">will continue as </w:t>
      </w:r>
      <w:r w:rsidR="00AD4ABD">
        <w:rPr>
          <w:rFonts w:ascii="Cambria" w:eastAsia="Calibri" w:hAnsi="Cambria" w:cs="Calibri"/>
          <w:color w:val="000000" w:themeColor="text1"/>
          <w:sz w:val="22"/>
          <w:szCs w:val="22"/>
          <w:lang w:eastAsia="en-AU"/>
        </w:rPr>
        <w:t>the roadmap is developed</w:t>
      </w:r>
      <w:r w:rsidR="00FD23B1" w:rsidRPr="003D7FCC">
        <w:rPr>
          <w:rFonts w:ascii="Cambria" w:eastAsia="Calibri" w:hAnsi="Cambria" w:cs="Calibri"/>
          <w:color w:val="000000" w:themeColor="text1"/>
          <w:sz w:val="22"/>
          <w:szCs w:val="22"/>
          <w:lang w:eastAsia="en-AU"/>
        </w:rPr>
        <w:t xml:space="preserve">, </w:t>
      </w:r>
      <w:r w:rsidR="00C20877">
        <w:rPr>
          <w:rFonts w:ascii="Cambria" w:eastAsia="Calibri" w:hAnsi="Cambria" w:cs="Calibri"/>
          <w:color w:val="000000" w:themeColor="text1"/>
          <w:sz w:val="22"/>
          <w:szCs w:val="22"/>
          <w:lang w:eastAsia="en-AU"/>
        </w:rPr>
        <w:t>with the aim that</w:t>
      </w:r>
      <w:r w:rsidR="00633E23" w:rsidRPr="003D7FCC">
        <w:rPr>
          <w:rFonts w:ascii="Cambria" w:eastAsia="Calibri" w:hAnsi="Cambria" w:cs="Calibri"/>
          <w:color w:val="000000" w:themeColor="text1"/>
          <w:sz w:val="22"/>
          <w:szCs w:val="22"/>
          <w:lang w:eastAsia="en-AU"/>
        </w:rPr>
        <w:t xml:space="preserve"> </w:t>
      </w:r>
      <w:r w:rsidR="00741290" w:rsidRPr="003D7FCC">
        <w:rPr>
          <w:rFonts w:ascii="Cambria" w:eastAsia="Calibri" w:hAnsi="Cambria" w:cs="Calibri"/>
          <w:color w:val="000000" w:themeColor="text1"/>
          <w:sz w:val="22"/>
          <w:szCs w:val="22"/>
          <w:lang w:eastAsia="en-AU"/>
        </w:rPr>
        <w:t>affected parties understand the impact of proposed reforms</w:t>
      </w:r>
      <w:r w:rsidR="00D725F2">
        <w:rPr>
          <w:rFonts w:ascii="Cambria" w:eastAsia="Calibri" w:hAnsi="Cambria" w:cs="Calibri"/>
          <w:color w:val="000000" w:themeColor="text1"/>
          <w:sz w:val="22"/>
          <w:szCs w:val="22"/>
          <w:lang w:eastAsia="en-AU"/>
        </w:rPr>
        <w:t>,</w:t>
      </w:r>
      <w:r w:rsidR="00C20877">
        <w:rPr>
          <w:rFonts w:ascii="Cambria" w:eastAsia="Calibri" w:hAnsi="Cambria" w:cs="Calibri"/>
          <w:color w:val="000000" w:themeColor="text1"/>
          <w:sz w:val="22"/>
          <w:szCs w:val="22"/>
          <w:lang w:eastAsia="en-AU"/>
        </w:rPr>
        <w:t xml:space="preserve"> that those</w:t>
      </w:r>
      <w:r w:rsidR="00741290" w:rsidRPr="003D7FCC">
        <w:rPr>
          <w:rFonts w:ascii="Cambria" w:eastAsia="Calibri" w:hAnsi="Cambria" w:cs="Calibri"/>
          <w:color w:val="000000" w:themeColor="text1"/>
          <w:sz w:val="22"/>
          <w:szCs w:val="22"/>
          <w:lang w:eastAsia="en-AU"/>
        </w:rPr>
        <w:t xml:space="preserve"> impact</w:t>
      </w:r>
      <w:r w:rsidR="00C20877">
        <w:rPr>
          <w:rFonts w:ascii="Cambria" w:eastAsia="Calibri" w:hAnsi="Cambria" w:cs="Calibri"/>
          <w:color w:val="000000" w:themeColor="text1"/>
          <w:sz w:val="22"/>
          <w:szCs w:val="22"/>
          <w:lang w:eastAsia="en-AU"/>
        </w:rPr>
        <w:t>s are</w:t>
      </w:r>
      <w:r w:rsidR="00FC7014" w:rsidRPr="003D7FCC">
        <w:rPr>
          <w:rFonts w:ascii="Cambria" w:eastAsia="Calibri" w:hAnsi="Cambria" w:cs="Calibri"/>
          <w:color w:val="000000" w:themeColor="text1"/>
          <w:sz w:val="22"/>
          <w:szCs w:val="22"/>
          <w:lang w:eastAsia="en-AU"/>
        </w:rPr>
        <w:t xml:space="preserve"> </w:t>
      </w:r>
      <w:r w:rsidR="009846A3" w:rsidRPr="003D7FCC">
        <w:rPr>
          <w:rFonts w:ascii="Cambria" w:eastAsia="Calibri" w:hAnsi="Cambria" w:cs="Calibri"/>
          <w:color w:val="000000" w:themeColor="text1"/>
          <w:sz w:val="22"/>
          <w:szCs w:val="22"/>
          <w:lang w:eastAsia="en-AU"/>
        </w:rPr>
        <w:t>proportionate</w:t>
      </w:r>
      <w:r w:rsidR="00D725F2">
        <w:rPr>
          <w:rFonts w:ascii="Cambria" w:eastAsia="Calibri" w:hAnsi="Cambria" w:cs="Calibri"/>
          <w:color w:val="000000" w:themeColor="text1"/>
          <w:sz w:val="22"/>
          <w:szCs w:val="22"/>
          <w:lang w:eastAsia="en-AU"/>
        </w:rPr>
        <w:t>, and th</w:t>
      </w:r>
      <w:r w:rsidR="00C20877">
        <w:rPr>
          <w:rFonts w:ascii="Cambria" w:eastAsia="Calibri" w:hAnsi="Cambria" w:cs="Calibri"/>
          <w:color w:val="000000" w:themeColor="text1"/>
          <w:sz w:val="22"/>
          <w:szCs w:val="22"/>
          <w:lang w:eastAsia="en-AU"/>
        </w:rPr>
        <w:t>at</w:t>
      </w:r>
      <w:r w:rsidR="00D725F2">
        <w:rPr>
          <w:rFonts w:ascii="Cambria" w:eastAsia="Calibri" w:hAnsi="Cambria" w:cs="Calibri"/>
          <w:color w:val="000000" w:themeColor="text1"/>
          <w:sz w:val="22"/>
          <w:szCs w:val="22"/>
          <w:lang w:eastAsia="en-AU"/>
        </w:rPr>
        <w:t xml:space="preserve"> water reforms deliver</w:t>
      </w:r>
      <w:r w:rsidR="00C20877">
        <w:rPr>
          <w:rFonts w:ascii="Cambria" w:eastAsia="Calibri" w:hAnsi="Cambria" w:cs="Calibri"/>
          <w:color w:val="000000" w:themeColor="text1"/>
          <w:sz w:val="22"/>
          <w:szCs w:val="22"/>
          <w:lang w:eastAsia="en-AU"/>
        </w:rPr>
        <w:t xml:space="preserve"> </w:t>
      </w:r>
      <w:r w:rsidR="00D725F2">
        <w:rPr>
          <w:rFonts w:ascii="Cambria" w:eastAsia="Calibri" w:hAnsi="Cambria" w:cs="Calibri"/>
          <w:color w:val="000000" w:themeColor="text1"/>
          <w:sz w:val="22"/>
          <w:szCs w:val="22"/>
          <w:lang w:eastAsia="en-AU"/>
        </w:rPr>
        <w:t xml:space="preserve">benefits to </w:t>
      </w:r>
      <w:r w:rsidR="009A763D">
        <w:rPr>
          <w:rFonts w:ascii="Cambria" w:eastAsia="Calibri" w:hAnsi="Cambria" w:cs="Calibri"/>
          <w:color w:val="000000" w:themeColor="text1"/>
          <w:sz w:val="22"/>
          <w:szCs w:val="22"/>
          <w:lang w:eastAsia="en-AU"/>
        </w:rPr>
        <w:t>Basin communities</w:t>
      </w:r>
      <w:r w:rsidR="00741290" w:rsidRPr="003D7FCC">
        <w:rPr>
          <w:rFonts w:ascii="Cambria" w:eastAsia="Calibri" w:hAnsi="Cambria" w:cs="Calibri"/>
          <w:color w:val="000000" w:themeColor="text1"/>
          <w:sz w:val="22"/>
          <w:szCs w:val="22"/>
          <w:lang w:eastAsia="en-AU"/>
        </w:rPr>
        <w:t>.</w:t>
      </w:r>
    </w:p>
    <w:p w14:paraId="0FFCAA2F" w14:textId="45FC0B5D" w:rsidR="006372AC" w:rsidRPr="00C66F0F" w:rsidRDefault="00515012" w:rsidP="00C66F0F">
      <w:pPr>
        <w:pStyle w:val="Heading3"/>
        <w:spacing w:before="0"/>
        <w:ind w:left="964" w:hanging="964"/>
        <w:rPr>
          <w:rFonts w:ascii="Calibri" w:eastAsia="Times New Roman" w:hAnsi="Calibri" w:cs="Times New Roman"/>
          <w:b/>
          <w:bCs/>
          <w:color w:val="auto"/>
          <w:sz w:val="36"/>
        </w:rPr>
      </w:pPr>
      <w:bookmarkStart w:id="10" w:name="_Toc90470958"/>
      <w:r>
        <w:rPr>
          <w:rFonts w:ascii="Calibri" w:eastAsia="Times New Roman" w:hAnsi="Calibri" w:cs="Times New Roman"/>
          <w:b/>
          <w:bCs/>
          <w:color w:val="auto"/>
          <w:sz w:val="36"/>
        </w:rPr>
        <w:t>2.2</w:t>
      </w:r>
      <w:r>
        <w:rPr>
          <w:rFonts w:ascii="Calibri" w:eastAsia="Times New Roman" w:hAnsi="Calibri" w:cs="Times New Roman"/>
          <w:b/>
          <w:bCs/>
          <w:color w:val="auto"/>
          <w:sz w:val="36"/>
        </w:rPr>
        <w:tab/>
      </w:r>
      <w:r w:rsidR="00167540">
        <w:rPr>
          <w:rFonts w:ascii="Calibri" w:eastAsia="Times New Roman" w:hAnsi="Calibri" w:cs="Times New Roman"/>
          <w:b/>
          <w:bCs/>
          <w:color w:val="auto"/>
          <w:sz w:val="36"/>
        </w:rPr>
        <w:t xml:space="preserve">Enhancing </w:t>
      </w:r>
      <w:r w:rsidR="007F0C7B">
        <w:rPr>
          <w:rFonts w:ascii="Calibri" w:eastAsia="Times New Roman" w:hAnsi="Calibri" w:cs="Times New Roman"/>
          <w:b/>
          <w:bCs/>
          <w:color w:val="auto"/>
          <w:sz w:val="36"/>
        </w:rPr>
        <w:t xml:space="preserve">the </w:t>
      </w:r>
      <w:r w:rsidR="00E86A0B" w:rsidRPr="00C66F0F">
        <w:rPr>
          <w:rFonts w:ascii="Calibri" w:eastAsia="Times New Roman" w:hAnsi="Calibri" w:cs="Times New Roman"/>
          <w:b/>
          <w:bCs/>
          <w:color w:val="auto"/>
          <w:sz w:val="36"/>
        </w:rPr>
        <w:t>evidence base</w:t>
      </w:r>
      <w:r w:rsidR="007F0C7B">
        <w:rPr>
          <w:rFonts w:ascii="Calibri" w:eastAsia="Times New Roman" w:hAnsi="Calibri" w:cs="Times New Roman"/>
          <w:b/>
          <w:bCs/>
          <w:color w:val="auto"/>
          <w:sz w:val="36"/>
        </w:rPr>
        <w:t xml:space="preserve"> for </w:t>
      </w:r>
      <w:r w:rsidR="00167540">
        <w:rPr>
          <w:rFonts w:ascii="Calibri" w:eastAsia="Times New Roman" w:hAnsi="Calibri" w:cs="Times New Roman"/>
          <w:b/>
          <w:bCs/>
          <w:color w:val="auto"/>
          <w:sz w:val="36"/>
        </w:rPr>
        <w:t xml:space="preserve">a water market reform </w:t>
      </w:r>
      <w:r w:rsidR="007F0C7B">
        <w:rPr>
          <w:rFonts w:ascii="Calibri" w:eastAsia="Times New Roman" w:hAnsi="Calibri" w:cs="Times New Roman"/>
          <w:b/>
          <w:bCs/>
          <w:color w:val="auto"/>
          <w:sz w:val="36"/>
        </w:rPr>
        <w:t>roadmap</w:t>
      </w:r>
      <w:bookmarkEnd w:id="10"/>
    </w:p>
    <w:p w14:paraId="1D7E2207" w14:textId="24933810" w:rsidR="00CD278F" w:rsidRPr="00A3226D" w:rsidRDefault="00CD278F" w:rsidP="004E2890">
      <w:pPr>
        <w:spacing w:after="200" w:line="276" w:lineRule="auto"/>
        <w:rPr>
          <w:rFonts w:ascii="Cambria" w:eastAsia="Calibri" w:hAnsi="Cambria" w:cs="Calibri"/>
          <w:color w:val="000000" w:themeColor="text1"/>
          <w:sz w:val="22"/>
          <w:szCs w:val="22"/>
          <w:lang w:eastAsia="en-AU"/>
        </w:rPr>
      </w:pPr>
      <w:r w:rsidRPr="00A3226D">
        <w:rPr>
          <w:rFonts w:ascii="Cambria" w:eastAsia="Calibri" w:hAnsi="Cambria" w:cs="Calibri"/>
          <w:color w:val="000000" w:themeColor="text1"/>
          <w:sz w:val="22"/>
          <w:szCs w:val="22"/>
          <w:lang w:eastAsia="en-AU"/>
        </w:rPr>
        <w:t xml:space="preserve">In addition to the significant evidence </w:t>
      </w:r>
      <w:r w:rsidR="004422C9" w:rsidRPr="00A3226D">
        <w:rPr>
          <w:rFonts w:ascii="Cambria" w:eastAsia="Calibri" w:hAnsi="Cambria" w:cs="Calibri"/>
          <w:color w:val="000000" w:themeColor="text1"/>
          <w:sz w:val="22"/>
          <w:szCs w:val="22"/>
          <w:lang w:eastAsia="en-AU"/>
        </w:rPr>
        <w:t xml:space="preserve">gathered by the ACCC, </w:t>
      </w:r>
      <w:r w:rsidR="00F311B5">
        <w:rPr>
          <w:rFonts w:ascii="Cambria" w:eastAsia="Calibri" w:hAnsi="Cambria" w:cs="Calibri"/>
          <w:color w:val="000000" w:themeColor="text1"/>
          <w:sz w:val="22"/>
          <w:szCs w:val="22"/>
          <w:lang w:eastAsia="en-AU"/>
        </w:rPr>
        <w:t xml:space="preserve">the </w:t>
      </w:r>
      <w:r w:rsidR="004422C9" w:rsidRPr="00A3226D">
        <w:rPr>
          <w:rFonts w:ascii="Cambria" w:eastAsia="Calibri" w:hAnsi="Cambria" w:cs="Calibri"/>
          <w:color w:val="000000" w:themeColor="text1"/>
          <w:sz w:val="22"/>
          <w:szCs w:val="22"/>
          <w:lang w:eastAsia="en-AU"/>
        </w:rPr>
        <w:t xml:space="preserve">following actions </w:t>
      </w:r>
      <w:r w:rsidR="00F311B5">
        <w:rPr>
          <w:rFonts w:ascii="Cambria" w:eastAsia="Calibri" w:hAnsi="Cambria" w:cs="Calibri"/>
          <w:color w:val="000000" w:themeColor="text1"/>
          <w:sz w:val="22"/>
          <w:szCs w:val="22"/>
          <w:lang w:eastAsia="en-AU"/>
        </w:rPr>
        <w:t xml:space="preserve">have been undertaken </w:t>
      </w:r>
      <w:r w:rsidR="004422C9" w:rsidRPr="00A3226D">
        <w:rPr>
          <w:rFonts w:ascii="Cambria" w:eastAsia="Calibri" w:hAnsi="Cambria" w:cs="Calibri"/>
          <w:color w:val="000000" w:themeColor="text1"/>
          <w:sz w:val="22"/>
          <w:szCs w:val="22"/>
          <w:lang w:eastAsia="en-AU"/>
        </w:rPr>
        <w:t xml:space="preserve">to help ensure that the roadmap’s reform actions </w:t>
      </w:r>
      <w:r w:rsidR="00D66D51" w:rsidRPr="00A3226D">
        <w:rPr>
          <w:rFonts w:ascii="Cambria" w:eastAsia="Calibri" w:hAnsi="Cambria" w:cs="Calibri"/>
          <w:color w:val="000000" w:themeColor="text1"/>
          <w:sz w:val="22"/>
          <w:szCs w:val="22"/>
          <w:lang w:eastAsia="en-AU"/>
        </w:rPr>
        <w:t>are sound and adequately consider benefits and costs for affected parties:</w:t>
      </w:r>
    </w:p>
    <w:p w14:paraId="04A838D6" w14:textId="38ECDB86" w:rsidR="00E86A0B" w:rsidRPr="00A3226D" w:rsidRDefault="00C20877" w:rsidP="00283CA8">
      <w:pPr>
        <w:pStyle w:val="ListParagraph"/>
        <w:numPr>
          <w:ilvl w:val="0"/>
          <w:numId w:val="6"/>
        </w:numPr>
        <w:spacing w:after="200" w:line="276" w:lineRule="auto"/>
        <w:ind w:left="357" w:hanging="357"/>
        <w:rPr>
          <w:rFonts w:ascii="Cambria" w:eastAsia="Calibri" w:hAnsi="Cambria" w:cs="Calibri"/>
          <w:color w:val="000000" w:themeColor="text1"/>
          <w:sz w:val="22"/>
          <w:szCs w:val="22"/>
          <w:lang w:eastAsia="en-AU"/>
        </w:rPr>
      </w:pPr>
      <w:r>
        <w:rPr>
          <w:rFonts w:ascii="Cambria" w:eastAsia="Calibri" w:hAnsi="Cambria" w:cs="Calibri"/>
          <w:color w:val="000000" w:themeColor="text1"/>
          <w:sz w:val="22"/>
          <w:szCs w:val="22"/>
          <w:lang w:eastAsia="en-AU"/>
        </w:rPr>
        <w:t>E</w:t>
      </w:r>
      <w:r w:rsidR="00174C34" w:rsidRPr="00A3226D">
        <w:rPr>
          <w:rFonts w:ascii="Cambria" w:eastAsia="Calibri" w:hAnsi="Cambria" w:cs="Calibri"/>
          <w:color w:val="000000" w:themeColor="text1"/>
          <w:sz w:val="22"/>
          <w:szCs w:val="22"/>
          <w:lang w:eastAsia="en-AU"/>
        </w:rPr>
        <w:t>ngag</w:t>
      </w:r>
      <w:r w:rsidR="00C22C79" w:rsidRPr="00A3226D">
        <w:rPr>
          <w:rFonts w:ascii="Cambria" w:eastAsia="Calibri" w:hAnsi="Cambria" w:cs="Calibri"/>
          <w:color w:val="000000" w:themeColor="text1"/>
          <w:sz w:val="22"/>
          <w:szCs w:val="22"/>
          <w:lang w:eastAsia="en-AU"/>
        </w:rPr>
        <w:t>ing</w:t>
      </w:r>
      <w:r w:rsidR="00174C34" w:rsidRPr="00A3226D">
        <w:rPr>
          <w:rFonts w:ascii="Cambria" w:eastAsia="Calibri" w:hAnsi="Cambria" w:cs="Calibri"/>
          <w:color w:val="000000" w:themeColor="text1"/>
          <w:sz w:val="22"/>
          <w:szCs w:val="22"/>
          <w:lang w:eastAsia="en-AU"/>
        </w:rPr>
        <w:t xml:space="preserve"> </w:t>
      </w:r>
      <w:r w:rsidR="00174C34" w:rsidRPr="00A3226D">
        <w:rPr>
          <w:rFonts w:ascii="Cambria" w:hAnsi="Cambria"/>
          <w:sz w:val="22"/>
          <w:szCs w:val="22"/>
        </w:rPr>
        <w:t>with</w:t>
      </w:r>
      <w:r w:rsidR="00174C34" w:rsidRPr="00A3226D">
        <w:rPr>
          <w:rFonts w:ascii="Cambria" w:eastAsia="Calibri" w:hAnsi="Cambria" w:cs="Calibri"/>
          <w:color w:val="000000" w:themeColor="text1"/>
          <w:sz w:val="22"/>
          <w:szCs w:val="22"/>
          <w:lang w:eastAsia="en-AU"/>
        </w:rPr>
        <w:t xml:space="preserve"> the ACCC to ensure </w:t>
      </w:r>
      <w:r w:rsidR="00973A88" w:rsidRPr="00A3226D">
        <w:rPr>
          <w:rFonts w:ascii="Cambria" w:eastAsia="Calibri" w:hAnsi="Cambria" w:cs="Calibri"/>
          <w:color w:val="000000" w:themeColor="text1"/>
          <w:sz w:val="22"/>
          <w:szCs w:val="22"/>
          <w:lang w:eastAsia="en-AU"/>
        </w:rPr>
        <w:t xml:space="preserve">the ACCC’s </w:t>
      </w:r>
      <w:r w:rsidR="00174C34" w:rsidRPr="00A3226D">
        <w:rPr>
          <w:rFonts w:ascii="Cambria" w:eastAsia="Calibri" w:hAnsi="Cambria" w:cs="Calibri"/>
          <w:color w:val="000000" w:themeColor="text1"/>
          <w:sz w:val="22"/>
          <w:szCs w:val="22"/>
          <w:lang w:eastAsia="en-AU"/>
        </w:rPr>
        <w:t>recommendations</w:t>
      </w:r>
      <w:r w:rsidR="00973A88" w:rsidRPr="00A3226D">
        <w:rPr>
          <w:rFonts w:ascii="Cambria" w:eastAsia="Calibri" w:hAnsi="Cambria" w:cs="Calibri"/>
          <w:color w:val="000000" w:themeColor="text1"/>
          <w:sz w:val="22"/>
          <w:szCs w:val="22"/>
          <w:lang w:eastAsia="en-AU"/>
        </w:rPr>
        <w:t xml:space="preserve"> are well-understood.</w:t>
      </w:r>
    </w:p>
    <w:p w14:paraId="6B19972D" w14:textId="71AE72F3" w:rsidR="006372AC" w:rsidRPr="00A3226D" w:rsidRDefault="006372AC" w:rsidP="00DE7EB7">
      <w:pPr>
        <w:pStyle w:val="ListParagraph"/>
        <w:numPr>
          <w:ilvl w:val="0"/>
          <w:numId w:val="6"/>
        </w:numPr>
        <w:spacing w:afterLines="200" w:after="480" w:line="276" w:lineRule="auto"/>
        <w:ind w:left="357" w:hanging="357"/>
        <w:rPr>
          <w:rFonts w:ascii="Cambria" w:eastAsia="Calibri" w:hAnsi="Cambria" w:cs="Calibri"/>
          <w:color w:val="000000" w:themeColor="text1"/>
          <w:sz w:val="22"/>
          <w:szCs w:val="22"/>
          <w:lang w:eastAsia="en-AU"/>
        </w:rPr>
      </w:pPr>
      <w:r w:rsidRPr="00A3226D">
        <w:rPr>
          <w:rFonts w:ascii="Cambria" w:eastAsia="Calibri" w:hAnsi="Cambria" w:cs="Calibri"/>
          <w:color w:val="000000" w:themeColor="text1"/>
          <w:sz w:val="22"/>
          <w:szCs w:val="22"/>
          <w:lang w:eastAsia="en-AU"/>
        </w:rPr>
        <w:t xml:space="preserve">CSIRO </w:t>
      </w:r>
      <w:r w:rsidR="00A7577D" w:rsidRPr="00A3226D">
        <w:rPr>
          <w:rFonts w:ascii="Cambria" w:eastAsia="Calibri" w:hAnsi="Cambria" w:cs="Calibri"/>
          <w:color w:val="000000" w:themeColor="text1"/>
          <w:sz w:val="22"/>
          <w:szCs w:val="22"/>
          <w:lang w:eastAsia="en-AU"/>
        </w:rPr>
        <w:t xml:space="preserve">is </w:t>
      </w:r>
      <w:r w:rsidRPr="00A3226D">
        <w:rPr>
          <w:rFonts w:ascii="Cambria" w:eastAsia="Calibri" w:hAnsi="Cambria" w:cs="Calibri"/>
          <w:color w:val="000000" w:themeColor="text1"/>
          <w:sz w:val="22"/>
          <w:szCs w:val="22"/>
          <w:lang w:eastAsia="en-AU"/>
        </w:rPr>
        <w:t xml:space="preserve">consulting with trade service providers </w:t>
      </w:r>
      <w:r w:rsidR="00DA3D7D">
        <w:rPr>
          <w:rFonts w:ascii="Cambria" w:eastAsia="Calibri" w:hAnsi="Cambria" w:cs="Calibri"/>
          <w:color w:val="000000" w:themeColor="text1"/>
          <w:sz w:val="22"/>
          <w:szCs w:val="22"/>
          <w:lang w:eastAsia="en-AU"/>
        </w:rPr>
        <w:t xml:space="preserve">(including those administering state water registers) </w:t>
      </w:r>
      <w:r w:rsidRPr="00A3226D">
        <w:rPr>
          <w:rFonts w:ascii="Cambria" w:eastAsia="Calibri" w:hAnsi="Cambria" w:cs="Calibri"/>
          <w:color w:val="000000" w:themeColor="text1"/>
          <w:sz w:val="22"/>
          <w:szCs w:val="22"/>
          <w:lang w:eastAsia="en-AU"/>
        </w:rPr>
        <w:t xml:space="preserve">to understand what changes would be required to their systems to </w:t>
      </w:r>
      <w:r w:rsidR="0015581C">
        <w:rPr>
          <w:rFonts w:ascii="Cambria" w:eastAsia="Calibri" w:hAnsi="Cambria" w:cs="Calibri"/>
          <w:color w:val="000000" w:themeColor="text1"/>
          <w:sz w:val="22"/>
          <w:szCs w:val="22"/>
          <w:lang w:eastAsia="en-AU"/>
        </w:rPr>
        <w:t xml:space="preserve">improve data flows between </w:t>
      </w:r>
      <w:r w:rsidR="00E93927">
        <w:rPr>
          <w:rFonts w:ascii="Cambria" w:eastAsia="Calibri" w:hAnsi="Cambria" w:cs="Calibri"/>
          <w:color w:val="000000" w:themeColor="text1"/>
          <w:sz w:val="22"/>
          <w:szCs w:val="22"/>
          <w:lang w:eastAsia="en-AU"/>
        </w:rPr>
        <w:t xml:space="preserve">trade service providers and </w:t>
      </w:r>
      <w:r w:rsidRPr="00A3226D">
        <w:rPr>
          <w:rFonts w:ascii="Cambria" w:eastAsia="Calibri" w:hAnsi="Cambria" w:cs="Calibri"/>
          <w:color w:val="000000" w:themeColor="text1"/>
          <w:sz w:val="22"/>
          <w:szCs w:val="22"/>
          <w:lang w:eastAsia="en-AU"/>
        </w:rPr>
        <w:t xml:space="preserve">enable </w:t>
      </w:r>
      <w:r w:rsidRPr="00A3226D">
        <w:rPr>
          <w:rFonts w:ascii="Cambria" w:hAnsi="Cambria"/>
          <w:sz w:val="22"/>
          <w:szCs w:val="22"/>
        </w:rPr>
        <w:t>them</w:t>
      </w:r>
      <w:r w:rsidRPr="00A3226D">
        <w:rPr>
          <w:rFonts w:ascii="Cambria" w:eastAsia="Calibri" w:hAnsi="Cambria" w:cs="Calibri"/>
          <w:color w:val="000000" w:themeColor="text1"/>
          <w:sz w:val="22"/>
          <w:szCs w:val="22"/>
          <w:lang w:eastAsia="en-AU"/>
        </w:rPr>
        <w:t xml:space="preserve"> to provide government with the necessary information to improve water market data and regulation</w:t>
      </w:r>
      <w:r w:rsidR="00BB766C" w:rsidRPr="00A3226D">
        <w:rPr>
          <w:rFonts w:ascii="Cambria" w:eastAsia="Calibri" w:hAnsi="Cambria" w:cs="Calibri"/>
          <w:color w:val="000000" w:themeColor="text1"/>
          <w:sz w:val="22"/>
          <w:szCs w:val="22"/>
          <w:lang w:eastAsia="en-AU"/>
        </w:rPr>
        <w:t>.</w:t>
      </w:r>
    </w:p>
    <w:p w14:paraId="4903AC74" w14:textId="3EDA7410" w:rsidR="003C3C10" w:rsidRPr="004E2890" w:rsidRDefault="00F311B5" w:rsidP="004E2890">
      <w:pPr>
        <w:pStyle w:val="ListParagraph"/>
        <w:numPr>
          <w:ilvl w:val="0"/>
          <w:numId w:val="6"/>
        </w:numPr>
        <w:spacing w:afterLines="200" w:after="480" w:line="276" w:lineRule="auto"/>
        <w:rPr>
          <w:rFonts w:ascii="Cambria" w:hAnsi="Cambria"/>
          <w:sz w:val="22"/>
          <w:szCs w:val="22"/>
        </w:rPr>
      </w:pPr>
      <w:r>
        <w:rPr>
          <w:rFonts w:ascii="Cambria" w:hAnsi="Cambria"/>
          <w:sz w:val="22"/>
          <w:szCs w:val="22"/>
        </w:rPr>
        <w:t>W</w:t>
      </w:r>
      <w:r w:rsidR="006372AC" w:rsidRPr="00A3226D">
        <w:rPr>
          <w:rFonts w:ascii="Cambria" w:hAnsi="Cambria"/>
          <w:sz w:val="22"/>
          <w:szCs w:val="22"/>
        </w:rPr>
        <w:t xml:space="preserve">ork to </w:t>
      </w:r>
      <w:r w:rsidR="00C20877">
        <w:rPr>
          <w:rFonts w:ascii="Cambria" w:hAnsi="Cambria"/>
          <w:sz w:val="22"/>
          <w:szCs w:val="22"/>
        </w:rPr>
        <w:t>assess potential</w:t>
      </w:r>
      <w:r w:rsidR="006372AC" w:rsidRPr="00A3226D">
        <w:rPr>
          <w:rFonts w:ascii="Cambria" w:hAnsi="Cambria"/>
          <w:sz w:val="22"/>
          <w:szCs w:val="22"/>
        </w:rPr>
        <w:t xml:space="preserve"> costs and benefits </w:t>
      </w:r>
      <w:r>
        <w:rPr>
          <w:rFonts w:ascii="Cambria" w:hAnsi="Cambria"/>
          <w:sz w:val="22"/>
          <w:szCs w:val="22"/>
        </w:rPr>
        <w:t>has begun</w:t>
      </w:r>
      <w:r w:rsidR="006372AC" w:rsidRPr="00A3226D">
        <w:rPr>
          <w:rFonts w:ascii="Cambria" w:hAnsi="Cambria"/>
          <w:sz w:val="22"/>
          <w:szCs w:val="22"/>
        </w:rPr>
        <w:t xml:space="preserve">. This </w:t>
      </w:r>
      <w:r w:rsidR="00C20877">
        <w:rPr>
          <w:rFonts w:ascii="Cambria" w:hAnsi="Cambria"/>
          <w:sz w:val="22"/>
          <w:szCs w:val="22"/>
        </w:rPr>
        <w:t xml:space="preserve">will </w:t>
      </w:r>
      <w:r w:rsidR="006372AC" w:rsidRPr="00A3226D">
        <w:rPr>
          <w:rFonts w:ascii="Cambria" w:hAnsi="Cambria"/>
          <w:sz w:val="22"/>
          <w:szCs w:val="22"/>
        </w:rPr>
        <w:t>provide</w:t>
      </w:r>
      <w:r w:rsidR="00C20877">
        <w:rPr>
          <w:rFonts w:ascii="Cambria" w:hAnsi="Cambria"/>
          <w:sz w:val="22"/>
          <w:szCs w:val="22"/>
        </w:rPr>
        <w:t xml:space="preserve"> a basis for comparing proposed and alternative reform measure</w:t>
      </w:r>
      <w:r w:rsidR="00CA75BC">
        <w:rPr>
          <w:rFonts w:ascii="Cambria" w:hAnsi="Cambria"/>
          <w:sz w:val="22"/>
          <w:szCs w:val="22"/>
        </w:rPr>
        <w:t>s</w:t>
      </w:r>
      <w:r w:rsidR="00C20877">
        <w:rPr>
          <w:rFonts w:ascii="Cambria" w:hAnsi="Cambria"/>
          <w:sz w:val="22"/>
          <w:szCs w:val="22"/>
        </w:rPr>
        <w:t xml:space="preserve"> and assist in guiding judgements about resourcing requirements and minimising </w:t>
      </w:r>
      <w:r w:rsidR="00B86D46">
        <w:rPr>
          <w:rFonts w:ascii="Cambria" w:hAnsi="Cambria"/>
          <w:sz w:val="22"/>
          <w:szCs w:val="22"/>
        </w:rPr>
        <w:t>complexity</w:t>
      </w:r>
      <w:r w:rsidR="006372AC" w:rsidRPr="00A3226D">
        <w:rPr>
          <w:rFonts w:ascii="Cambria" w:hAnsi="Cambria"/>
          <w:sz w:val="22"/>
          <w:szCs w:val="22"/>
        </w:rPr>
        <w:t>.</w:t>
      </w:r>
    </w:p>
    <w:p w14:paraId="42089DB6" w14:textId="0BFCC1B9" w:rsidR="002225B7" w:rsidRPr="00A3226D" w:rsidRDefault="00515012" w:rsidP="00C66F0F">
      <w:pPr>
        <w:pStyle w:val="Heading2"/>
        <w:keepNext w:val="0"/>
        <w:keepLines w:val="0"/>
        <w:pageBreakBefore/>
        <w:spacing w:before="0" w:after="240"/>
        <w:ind w:left="720" w:hanging="720"/>
        <w:rPr>
          <w:rFonts w:asciiTheme="minorHAnsi" w:hAnsiTheme="minorHAnsi" w:cstheme="minorHAnsi"/>
          <w:color w:val="auto"/>
          <w:sz w:val="56"/>
          <w:szCs w:val="56"/>
        </w:rPr>
      </w:pPr>
      <w:bookmarkStart w:id="11" w:name="_Toc90470959"/>
      <w:r>
        <w:rPr>
          <w:rFonts w:asciiTheme="minorHAnsi" w:hAnsiTheme="minorHAnsi" w:cstheme="minorHAnsi"/>
          <w:color w:val="auto"/>
          <w:sz w:val="56"/>
          <w:szCs w:val="56"/>
        </w:rPr>
        <w:lastRenderedPageBreak/>
        <w:t>3</w:t>
      </w:r>
      <w:r>
        <w:rPr>
          <w:rFonts w:asciiTheme="minorHAnsi" w:hAnsiTheme="minorHAnsi" w:cstheme="minorHAnsi"/>
          <w:color w:val="auto"/>
          <w:sz w:val="56"/>
          <w:szCs w:val="56"/>
        </w:rPr>
        <w:tab/>
      </w:r>
      <w:r w:rsidR="002660CF" w:rsidRPr="00A3226D">
        <w:rPr>
          <w:rFonts w:asciiTheme="minorHAnsi" w:hAnsiTheme="minorHAnsi" w:cstheme="minorHAnsi"/>
          <w:color w:val="auto"/>
          <w:sz w:val="56"/>
          <w:szCs w:val="56"/>
        </w:rPr>
        <w:t>P</w:t>
      </w:r>
      <w:r w:rsidR="002225B7" w:rsidRPr="00A3226D">
        <w:rPr>
          <w:rFonts w:asciiTheme="minorHAnsi" w:hAnsiTheme="minorHAnsi" w:cstheme="minorHAnsi"/>
          <w:color w:val="auto"/>
          <w:sz w:val="56"/>
          <w:szCs w:val="56"/>
        </w:rPr>
        <w:t>rogress towards reform</w:t>
      </w:r>
      <w:r w:rsidR="002660CF" w:rsidRPr="00A3226D">
        <w:rPr>
          <w:rFonts w:asciiTheme="minorHAnsi" w:hAnsiTheme="minorHAnsi" w:cstheme="minorHAnsi"/>
          <w:color w:val="auto"/>
          <w:sz w:val="56"/>
          <w:szCs w:val="56"/>
        </w:rPr>
        <w:t xml:space="preserve"> </w:t>
      </w:r>
      <w:r w:rsidR="000721C1">
        <w:rPr>
          <w:rFonts w:asciiTheme="minorHAnsi" w:hAnsiTheme="minorHAnsi" w:cstheme="minorHAnsi"/>
          <w:color w:val="auto"/>
          <w:sz w:val="56"/>
          <w:szCs w:val="56"/>
        </w:rPr>
        <w:t xml:space="preserve">that </w:t>
      </w:r>
      <w:r w:rsidR="002660CF" w:rsidRPr="00A3226D">
        <w:rPr>
          <w:rFonts w:asciiTheme="minorHAnsi" w:hAnsiTheme="minorHAnsi" w:cstheme="minorHAnsi"/>
          <w:color w:val="auto"/>
          <w:sz w:val="56"/>
          <w:szCs w:val="56"/>
        </w:rPr>
        <w:t>is already in train</w:t>
      </w:r>
      <w:bookmarkEnd w:id="11"/>
    </w:p>
    <w:p w14:paraId="4C008D0D" w14:textId="6998EE44" w:rsidR="00A500AD" w:rsidRPr="00C66F0F" w:rsidRDefault="00A500AD" w:rsidP="00C66F0F">
      <w:pPr>
        <w:spacing w:after="200" w:line="276" w:lineRule="auto"/>
        <w:rPr>
          <w:rFonts w:ascii="Cambria" w:hAnsi="Cambria"/>
          <w:sz w:val="22"/>
          <w:szCs w:val="22"/>
        </w:rPr>
      </w:pPr>
      <w:r w:rsidRPr="00C66F0F">
        <w:rPr>
          <w:rFonts w:ascii="Cambria" w:hAnsi="Cambria"/>
          <w:sz w:val="22"/>
          <w:szCs w:val="22"/>
        </w:rPr>
        <w:t xml:space="preserve">Basin </w:t>
      </w:r>
      <w:r w:rsidR="00524D69">
        <w:rPr>
          <w:rFonts w:ascii="Cambria" w:hAnsi="Cambria"/>
          <w:sz w:val="22"/>
          <w:szCs w:val="22"/>
        </w:rPr>
        <w:t>governments</w:t>
      </w:r>
      <w:r w:rsidRPr="00C66F0F">
        <w:rPr>
          <w:rFonts w:ascii="Cambria" w:hAnsi="Cambria"/>
          <w:sz w:val="22"/>
          <w:szCs w:val="22"/>
        </w:rPr>
        <w:t xml:space="preserve"> have already made substantial progress in addressing the ACCC’s findings. </w:t>
      </w:r>
      <w:r>
        <w:rPr>
          <w:rFonts w:ascii="Cambria" w:hAnsi="Cambria"/>
          <w:sz w:val="22"/>
          <w:szCs w:val="22"/>
        </w:rPr>
        <w:t>This work is described below and outlined in further detail in Appendix B to this advice.</w:t>
      </w:r>
    </w:p>
    <w:p w14:paraId="73FC8741" w14:textId="682A918A" w:rsidR="00C66F0F" w:rsidRPr="00C66F0F" w:rsidRDefault="00C66F0F" w:rsidP="00C66F0F">
      <w:pPr>
        <w:pStyle w:val="Heading3"/>
        <w:spacing w:before="0"/>
        <w:ind w:left="964" w:hanging="964"/>
        <w:rPr>
          <w:rFonts w:ascii="Calibri" w:eastAsia="Times New Roman" w:hAnsi="Calibri" w:cs="Times New Roman"/>
          <w:b/>
          <w:bCs/>
          <w:color w:val="auto"/>
          <w:sz w:val="36"/>
        </w:rPr>
      </w:pPr>
      <w:bookmarkStart w:id="12" w:name="_Toc90470960"/>
      <w:r>
        <w:rPr>
          <w:rFonts w:ascii="Calibri" w:eastAsia="Times New Roman" w:hAnsi="Calibri" w:cs="Times New Roman"/>
          <w:b/>
          <w:bCs/>
          <w:color w:val="auto"/>
          <w:sz w:val="36"/>
        </w:rPr>
        <w:t>3.1</w:t>
      </w:r>
      <w:r>
        <w:rPr>
          <w:rFonts w:ascii="Calibri" w:eastAsia="Times New Roman" w:hAnsi="Calibri" w:cs="Times New Roman"/>
          <w:b/>
          <w:bCs/>
          <w:color w:val="auto"/>
          <w:sz w:val="36"/>
        </w:rPr>
        <w:tab/>
      </w:r>
      <w:r w:rsidRPr="00C66F0F">
        <w:rPr>
          <w:rFonts w:ascii="Calibri" w:eastAsia="Times New Roman" w:hAnsi="Calibri" w:cs="Times New Roman"/>
          <w:b/>
          <w:bCs/>
          <w:color w:val="auto"/>
          <w:sz w:val="36"/>
        </w:rPr>
        <w:t>Improving transparency and enabling effective participation in water markets</w:t>
      </w:r>
      <w:bookmarkEnd w:id="12"/>
    </w:p>
    <w:p w14:paraId="39DDCF2F" w14:textId="5D5E6FEE" w:rsidR="00C66F0F" w:rsidRPr="00DE7EB7" w:rsidRDefault="00C66F0F" w:rsidP="00504E41">
      <w:pPr>
        <w:spacing w:after="200" w:line="276" w:lineRule="auto"/>
        <w:rPr>
          <w:rFonts w:ascii="Cambria" w:hAnsi="Cambria"/>
          <w:sz w:val="22"/>
          <w:szCs w:val="22"/>
        </w:rPr>
      </w:pPr>
      <w:r w:rsidRPr="00DE7EB7">
        <w:rPr>
          <w:rFonts w:ascii="Cambria" w:hAnsi="Cambria"/>
          <w:sz w:val="22"/>
          <w:szCs w:val="22"/>
        </w:rPr>
        <w:t xml:space="preserve">The ACCC recommended several actions to improve the accessibility of meaningful water management and market information, to improve the effectiveness </w:t>
      </w:r>
      <w:r w:rsidR="00504E41">
        <w:rPr>
          <w:rFonts w:ascii="Cambria" w:hAnsi="Cambria"/>
          <w:sz w:val="22"/>
          <w:szCs w:val="22"/>
        </w:rPr>
        <w:t xml:space="preserve">of stakeholder participation </w:t>
      </w:r>
      <w:r w:rsidRPr="00DE7EB7">
        <w:rPr>
          <w:rFonts w:ascii="Cambria" w:hAnsi="Cambria"/>
          <w:sz w:val="22"/>
          <w:szCs w:val="22"/>
        </w:rPr>
        <w:t xml:space="preserve">in water markets, increase trust and confidence, and encourage new entrant participation. In this regard, </w:t>
      </w:r>
      <w:r w:rsidRPr="00A3226D">
        <w:rPr>
          <w:rFonts w:ascii="Cambria" w:hAnsi="Cambria"/>
          <w:sz w:val="22"/>
          <w:szCs w:val="22"/>
        </w:rPr>
        <w:t xml:space="preserve">Basin states have </w:t>
      </w:r>
      <w:r w:rsidR="00524D69">
        <w:rPr>
          <w:rFonts w:ascii="Cambria" w:hAnsi="Cambria"/>
          <w:sz w:val="22"/>
          <w:szCs w:val="22"/>
        </w:rPr>
        <w:t>improved the</w:t>
      </w:r>
      <w:r w:rsidRPr="00A3226D">
        <w:rPr>
          <w:rFonts w:ascii="Cambria" w:hAnsi="Cambria"/>
          <w:sz w:val="22"/>
          <w:szCs w:val="22"/>
        </w:rPr>
        <w:t xml:space="preserve"> tr</w:t>
      </w:r>
      <w:r w:rsidRPr="00D473E2">
        <w:rPr>
          <w:rFonts w:ascii="Cambria" w:hAnsi="Cambria"/>
          <w:sz w:val="22"/>
          <w:szCs w:val="22"/>
        </w:rPr>
        <w:t xml:space="preserve">ansparency of how water is managed. Currently, all Basin states and the MDBA publish information on water markets and relevant policy, and regulation within their </w:t>
      </w:r>
      <w:r w:rsidRPr="00DE7EB7">
        <w:rPr>
          <w:rFonts w:ascii="Cambria" w:hAnsi="Cambria"/>
          <w:sz w:val="22"/>
          <w:szCs w:val="22"/>
        </w:rPr>
        <w:t>jurisdictions.</w:t>
      </w:r>
    </w:p>
    <w:p w14:paraId="0D62209C" w14:textId="77777777" w:rsidR="00C66F0F" w:rsidRPr="00DE7EB7" w:rsidRDefault="00C66F0F" w:rsidP="00504E41">
      <w:pPr>
        <w:spacing w:after="200" w:line="276" w:lineRule="auto"/>
        <w:rPr>
          <w:rFonts w:ascii="Cambria" w:hAnsi="Cambria"/>
          <w:sz w:val="22"/>
          <w:szCs w:val="22"/>
        </w:rPr>
      </w:pPr>
      <w:r w:rsidRPr="00DE7EB7">
        <w:rPr>
          <w:rFonts w:ascii="Cambria" w:hAnsi="Cambria"/>
          <w:sz w:val="22"/>
          <w:szCs w:val="22"/>
        </w:rPr>
        <w:t>There are also a range of digital resources available, such as online information portals, webinars held by the MDBA and Basin state agencies, and the Waterflow platform developed with funding from the Commonwealth Government.</w:t>
      </w:r>
    </w:p>
    <w:p w14:paraId="17FDA0A6" w14:textId="32C68C87" w:rsidR="001D7A0B" w:rsidRPr="00C66F0F" w:rsidRDefault="00C66F0F" w:rsidP="00C66F0F">
      <w:pPr>
        <w:pStyle w:val="Heading3"/>
        <w:spacing w:before="0"/>
        <w:ind w:left="964" w:hanging="964"/>
        <w:rPr>
          <w:rFonts w:ascii="Calibri" w:eastAsia="Times New Roman" w:hAnsi="Calibri" w:cs="Times New Roman"/>
          <w:b/>
          <w:bCs/>
          <w:color w:val="auto"/>
          <w:sz w:val="36"/>
        </w:rPr>
      </w:pPr>
      <w:bookmarkStart w:id="13" w:name="_Toc90470961"/>
      <w:r>
        <w:rPr>
          <w:rFonts w:ascii="Calibri" w:eastAsia="Times New Roman" w:hAnsi="Calibri" w:cs="Times New Roman"/>
          <w:b/>
          <w:bCs/>
          <w:color w:val="auto"/>
          <w:sz w:val="36"/>
        </w:rPr>
        <w:t>3.2</w:t>
      </w:r>
      <w:r>
        <w:rPr>
          <w:rFonts w:ascii="Calibri" w:eastAsia="Times New Roman" w:hAnsi="Calibri" w:cs="Times New Roman"/>
          <w:b/>
          <w:bCs/>
          <w:color w:val="auto"/>
          <w:sz w:val="36"/>
        </w:rPr>
        <w:tab/>
      </w:r>
      <w:r w:rsidR="001D7A0B" w:rsidRPr="00C66F0F">
        <w:rPr>
          <w:rFonts w:ascii="Calibri" w:eastAsia="Times New Roman" w:hAnsi="Calibri" w:cs="Times New Roman"/>
          <w:b/>
          <w:bCs/>
          <w:color w:val="auto"/>
          <w:sz w:val="36"/>
        </w:rPr>
        <w:t>Improving data and systems for water trading</w:t>
      </w:r>
      <w:bookmarkEnd w:id="13"/>
    </w:p>
    <w:p w14:paraId="0EAB6B9F" w14:textId="0AF8D98D" w:rsidR="001D7A0B" w:rsidRPr="00E32847" w:rsidRDefault="00BC5095" w:rsidP="00DE7EB7">
      <w:pPr>
        <w:spacing w:after="200" w:line="276" w:lineRule="auto"/>
        <w:rPr>
          <w:rFonts w:ascii="Cambria" w:hAnsi="Cambria"/>
          <w:sz w:val="22"/>
          <w:szCs w:val="22"/>
        </w:rPr>
      </w:pPr>
      <w:r w:rsidRPr="00E32847">
        <w:rPr>
          <w:rFonts w:ascii="Cambria" w:hAnsi="Cambria"/>
          <w:sz w:val="22"/>
          <w:szCs w:val="22"/>
        </w:rPr>
        <w:t xml:space="preserve">The ACCC recommended both </w:t>
      </w:r>
      <w:r w:rsidR="00EA02EA" w:rsidRPr="00E32847">
        <w:rPr>
          <w:rFonts w:ascii="Cambria" w:hAnsi="Cambria"/>
          <w:sz w:val="22"/>
          <w:szCs w:val="22"/>
        </w:rPr>
        <w:t xml:space="preserve">making </w:t>
      </w:r>
      <w:r w:rsidRPr="00E32847">
        <w:rPr>
          <w:rFonts w:ascii="Cambria" w:hAnsi="Cambria"/>
          <w:sz w:val="22"/>
          <w:szCs w:val="22"/>
        </w:rPr>
        <w:t xml:space="preserve">incremental </w:t>
      </w:r>
      <w:r w:rsidR="00C94EBE" w:rsidRPr="00E32847">
        <w:rPr>
          <w:rFonts w:ascii="Cambria" w:hAnsi="Cambria"/>
          <w:sz w:val="22"/>
          <w:szCs w:val="22"/>
        </w:rPr>
        <w:t xml:space="preserve">improvements and significant new investments to improve the data and </w:t>
      </w:r>
      <w:r w:rsidR="0044529F" w:rsidRPr="00E32847">
        <w:rPr>
          <w:rFonts w:ascii="Cambria" w:hAnsi="Cambria"/>
          <w:sz w:val="22"/>
          <w:szCs w:val="22"/>
        </w:rPr>
        <w:t xml:space="preserve">systems for water trading. These recommendations </w:t>
      </w:r>
      <w:r w:rsidR="00B25574" w:rsidRPr="00E32847">
        <w:rPr>
          <w:rFonts w:ascii="Cambria" w:hAnsi="Cambria"/>
          <w:sz w:val="22"/>
          <w:szCs w:val="22"/>
        </w:rPr>
        <w:t xml:space="preserve">underpin </w:t>
      </w:r>
      <w:proofErr w:type="gramStart"/>
      <w:r w:rsidR="00510C7E" w:rsidRPr="00E32847">
        <w:rPr>
          <w:rFonts w:ascii="Cambria" w:hAnsi="Cambria"/>
          <w:sz w:val="22"/>
          <w:szCs w:val="22"/>
        </w:rPr>
        <w:t>a number of</w:t>
      </w:r>
      <w:proofErr w:type="gramEnd"/>
      <w:r w:rsidR="00510C7E" w:rsidRPr="00E32847">
        <w:rPr>
          <w:rFonts w:ascii="Cambria" w:hAnsi="Cambria"/>
          <w:sz w:val="22"/>
          <w:szCs w:val="22"/>
        </w:rPr>
        <w:t xml:space="preserve"> benefits, including </w:t>
      </w:r>
      <w:r w:rsidR="00B25574" w:rsidRPr="00E32847">
        <w:rPr>
          <w:rFonts w:ascii="Cambria" w:hAnsi="Cambria"/>
          <w:sz w:val="22"/>
          <w:szCs w:val="22"/>
        </w:rPr>
        <w:t xml:space="preserve">enabling effective oversight of water market activity, </w:t>
      </w:r>
      <w:r w:rsidR="00510C7E" w:rsidRPr="00E32847">
        <w:rPr>
          <w:rFonts w:ascii="Cambria" w:hAnsi="Cambria"/>
          <w:sz w:val="22"/>
          <w:szCs w:val="22"/>
        </w:rPr>
        <w:t>better and more timely data and information for traders</w:t>
      </w:r>
      <w:r w:rsidR="00B25574" w:rsidRPr="00E32847">
        <w:rPr>
          <w:rFonts w:ascii="Cambria" w:hAnsi="Cambria"/>
          <w:sz w:val="22"/>
          <w:szCs w:val="22"/>
        </w:rPr>
        <w:t>,</w:t>
      </w:r>
      <w:r w:rsidR="00510C7E" w:rsidRPr="00E32847">
        <w:rPr>
          <w:rFonts w:ascii="Cambria" w:hAnsi="Cambria"/>
          <w:sz w:val="22"/>
          <w:szCs w:val="22"/>
        </w:rPr>
        <w:t xml:space="preserve"> reduc</w:t>
      </w:r>
      <w:r w:rsidR="0021596C" w:rsidRPr="00E32847">
        <w:rPr>
          <w:rFonts w:ascii="Cambria" w:hAnsi="Cambria"/>
          <w:sz w:val="22"/>
          <w:szCs w:val="22"/>
        </w:rPr>
        <w:t>ing</w:t>
      </w:r>
      <w:r w:rsidR="00510C7E" w:rsidRPr="00E32847">
        <w:rPr>
          <w:rFonts w:ascii="Cambria" w:hAnsi="Cambria"/>
          <w:sz w:val="22"/>
          <w:szCs w:val="22"/>
        </w:rPr>
        <w:t xml:space="preserve"> transaction costs of trade and improving competition in trade service provision.</w:t>
      </w:r>
    </w:p>
    <w:p w14:paraId="07F2B0BF" w14:textId="39DCDA0D" w:rsidR="001D7A0B" w:rsidRPr="00E32847" w:rsidRDefault="006203B3" w:rsidP="00DE7EB7">
      <w:pPr>
        <w:spacing w:after="200" w:line="276" w:lineRule="auto"/>
        <w:rPr>
          <w:rFonts w:ascii="Cambria" w:hAnsi="Cambria"/>
          <w:sz w:val="22"/>
          <w:szCs w:val="22"/>
        </w:rPr>
      </w:pPr>
      <w:r w:rsidRPr="00E32847">
        <w:rPr>
          <w:rFonts w:ascii="Cambria" w:hAnsi="Cambria"/>
          <w:sz w:val="22"/>
          <w:szCs w:val="22"/>
        </w:rPr>
        <w:t xml:space="preserve">The ACCC’s report acknowledged that significant improvements in </w:t>
      </w:r>
      <w:r w:rsidR="00943984" w:rsidRPr="00E32847">
        <w:rPr>
          <w:rFonts w:ascii="Cambria" w:hAnsi="Cambria"/>
          <w:sz w:val="22"/>
          <w:szCs w:val="22"/>
        </w:rPr>
        <w:t>water trade data</w:t>
      </w:r>
      <w:r w:rsidR="00D13B60" w:rsidRPr="00E32847">
        <w:rPr>
          <w:rFonts w:ascii="Cambria" w:hAnsi="Cambria"/>
          <w:sz w:val="22"/>
          <w:szCs w:val="22"/>
        </w:rPr>
        <w:t xml:space="preserve"> and systems were already </w:t>
      </w:r>
      <w:r w:rsidR="00106F58" w:rsidRPr="00E32847">
        <w:rPr>
          <w:rFonts w:ascii="Cambria" w:hAnsi="Cambria"/>
          <w:sz w:val="22"/>
          <w:szCs w:val="22"/>
        </w:rPr>
        <w:t xml:space="preserve">underway </w:t>
      </w:r>
      <w:r w:rsidR="00D13B60" w:rsidRPr="00E32847">
        <w:rPr>
          <w:rFonts w:ascii="Cambria" w:hAnsi="Cambria"/>
          <w:sz w:val="22"/>
          <w:szCs w:val="22"/>
        </w:rPr>
        <w:t>during the timeframe of the Inquiry. These improvements have carried on in</w:t>
      </w:r>
      <w:r w:rsidR="009668DB" w:rsidRPr="00E32847">
        <w:rPr>
          <w:rFonts w:ascii="Cambria" w:hAnsi="Cambria"/>
          <w:sz w:val="22"/>
          <w:szCs w:val="22"/>
        </w:rPr>
        <w:t xml:space="preserve">to </w:t>
      </w:r>
      <w:r w:rsidR="00D13B60" w:rsidRPr="00E32847">
        <w:rPr>
          <w:rFonts w:ascii="Cambria" w:hAnsi="Cambria"/>
          <w:sz w:val="22"/>
          <w:szCs w:val="22"/>
        </w:rPr>
        <w:t>2021</w:t>
      </w:r>
      <w:r w:rsidR="00CA75BC">
        <w:rPr>
          <w:rFonts w:ascii="Cambria" w:hAnsi="Cambria"/>
          <w:sz w:val="22"/>
          <w:szCs w:val="22"/>
        </w:rPr>
        <w:t>.</w:t>
      </w:r>
      <w:r w:rsidR="00D13B60" w:rsidRPr="00E32847">
        <w:rPr>
          <w:rFonts w:ascii="Cambria" w:hAnsi="Cambria"/>
          <w:sz w:val="22"/>
          <w:szCs w:val="22"/>
        </w:rPr>
        <w:t xml:space="preserve"> </w:t>
      </w:r>
      <w:r w:rsidR="00CA75BC">
        <w:rPr>
          <w:rFonts w:ascii="Cambria" w:hAnsi="Cambria"/>
          <w:sz w:val="22"/>
          <w:szCs w:val="22"/>
        </w:rPr>
        <w:t>M</w:t>
      </w:r>
      <w:r w:rsidR="00D13B60" w:rsidRPr="00E32847">
        <w:rPr>
          <w:rFonts w:ascii="Cambria" w:hAnsi="Cambria"/>
          <w:sz w:val="22"/>
          <w:szCs w:val="22"/>
        </w:rPr>
        <w:t xml:space="preserve">ost jurisdictions have now launched new </w:t>
      </w:r>
      <w:r w:rsidR="00F827BF" w:rsidRPr="00E32847">
        <w:rPr>
          <w:rFonts w:ascii="Cambria" w:hAnsi="Cambria"/>
          <w:sz w:val="22"/>
          <w:szCs w:val="22"/>
        </w:rPr>
        <w:t xml:space="preserve">or improved </w:t>
      </w:r>
      <w:r w:rsidR="00D13B60" w:rsidRPr="00E32847">
        <w:rPr>
          <w:rFonts w:ascii="Cambria" w:hAnsi="Cambria"/>
          <w:sz w:val="22"/>
          <w:szCs w:val="22"/>
        </w:rPr>
        <w:t xml:space="preserve">online platforms </w:t>
      </w:r>
      <w:r w:rsidR="005268C9" w:rsidRPr="00E32847">
        <w:rPr>
          <w:rFonts w:ascii="Cambria" w:hAnsi="Cambria"/>
          <w:sz w:val="22"/>
          <w:szCs w:val="22"/>
        </w:rPr>
        <w:t xml:space="preserve">or mobile apps </w:t>
      </w:r>
      <w:r w:rsidR="00EB22E3" w:rsidRPr="00E32847">
        <w:rPr>
          <w:rFonts w:ascii="Cambria" w:hAnsi="Cambria"/>
          <w:sz w:val="22"/>
          <w:szCs w:val="22"/>
        </w:rPr>
        <w:t>to allow better</w:t>
      </w:r>
      <w:r w:rsidR="00F827BF" w:rsidRPr="00E32847">
        <w:rPr>
          <w:rFonts w:ascii="Cambria" w:hAnsi="Cambria"/>
          <w:sz w:val="22"/>
          <w:szCs w:val="22"/>
        </w:rPr>
        <w:t xml:space="preserve"> access to data and information in their jurisdictions, and</w:t>
      </w:r>
      <w:r w:rsidR="00DA677B" w:rsidRPr="00E32847">
        <w:rPr>
          <w:rFonts w:ascii="Cambria" w:hAnsi="Cambria"/>
          <w:sz w:val="22"/>
          <w:szCs w:val="22"/>
        </w:rPr>
        <w:t xml:space="preserve"> some states have started collecting and/or publishing new data to respond to </w:t>
      </w:r>
      <w:r w:rsidR="00073C6C" w:rsidRPr="00E32847">
        <w:rPr>
          <w:rFonts w:ascii="Cambria" w:hAnsi="Cambria"/>
          <w:sz w:val="22"/>
          <w:szCs w:val="22"/>
        </w:rPr>
        <w:t>traders’ and water users’ information needs.</w:t>
      </w:r>
      <w:r w:rsidR="009668DB" w:rsidRPr="00E32847">
        <w:rPr>
          <w:rFonts w:ascii="Cambria" w:hAnsi="Cambria"/>
          <w:sz w:val="22"/>
          <w:szCs w:val="22"/>
        </w:rPr>
        <w:t xml:space="preserve"> </w:t>
      </w:r>
      <w:r w:rsidR="0030330F" w:rsidRPr="00E32847">
        <w:rPr>
          <w:rFonts w:ascii="Cambria" w:hAnsi="Cambria"/>
          <w:sz w:val="22"/>
          <w:szCs w:val="22"/>
        </w:rPr>
        <w:t>The Commonwealth government is also continuing to invest in the Bureau of Meteorology’s broader water information functions</w:t>
      </w:r>
      <w:r w:rsidR="00DE6007" w:rsidRPr="00E32847">
        <w:rPr>
          <w:rFonts w:ascii="Cambria" w:hAnsi="Cambria"/>
          <w:sz w:val="22"/>
          <w:szCs w:val="22"/>
        </w:rPr>
        <w:t>.</w:t>
      </w:r>
    </w:p>
    <w:p w14:paraId="7E09BDAF" w14:textId="46969F8E" w:rsidR="00C66F0F" w:rsidRPr="00C66F0F" w:rsidRDefault="00C66F0F" w:rsidP="00C66F0F">
      <w:pPr>
        <w:pStyle w:val="Heading3"/>
        <w:spacing w:before="0"/>
        <w:ind w:left="964" w:hanging="964"/>
        <w:rPr>
          <w:rFonts w:ascii="Calibri" w:eastAsia="Times New Roman" w:hAnsi="Calibri" w:cs="Times New Roman"/>
          <w:b/>
          <w:bCs/>
          <w:color w:val="auto"/>
          <w:sz w:val="36"/>
        </w:rPr>
      </w:pPr>
      <w:bookmarkStart w:id="14" w:name="_Toc90470962"/>
      <w:r>
        <w:rPr>
          <w:rFonts w:ascii="Calibri" w:eastAsia="Times New Roman" w:hAnsi="Calibri" w:cs="Times New Roman"/>
          <w:b/>
          <w:bCs/>
          <w:color w:val="auto"/>
          <w:sz w:val="36"/>
        </w:rPr>
        <w:t>3.3</w:t>
      </w:r>
      <w:r>
        <w:rPr>
          <w:rFonts w:ascii="Calibri" w:eastAsia="Times New Roman" w:hAnsi="Calibri" w:cs="Times New Roman"/>
          <w:b/>
          <w:bCs/>
          <w:color w:val="auto"/>
          <w:sz w:val="36"/>
        </w:rPr>
        <w:tab/>
      </w:r>
      <w:r w:rsidRPr="00C66F0F">
        <w:rPr>
          <w:rFonts w:ascii="Calibri" w:eastAsia="Times New Roman" w:hAnsi="Calibri" w:cs="Times New Roman"/>
          <w:b/>
          <w:bCs/>
          <w:color w:val="auto"/>
          <w:sz w:val="36"/>
        </w:rPr>
        <w:t>Improving administration of interzone trade</w:t>
      </w:r>
      <w:bookmarkEnd w:id="14"/>
    </w:p>
    <w:p w14:paraId="56BEEB9E" w14:textId="68A5FE2F" w:rsidR="00C66F0F" w:rsidRPr="00E32847" w:rsidRDefault="00C66F0F" w:rsidP="00C66F0F">
      <w:pPr>
        <w:spacing w:after="200" w:line="276" w:lineRule="auto"/>
        <w:rPr>
          <w:rFonts w:ascii="Cambria" w:hAnsi="Cambria"/>
          <w:sz w:val="22"/>
          <w:szCs w:val="22"/>
        </w:rPr>
      </w:pPr>
      <w:r w:rsidRPr="00E32847">
        <w:rPr>
          <w:rFonts w:ascii="Cambria" w:hAnsi="Cambria"/>
          <w:sz w:val="22"/>
          <w:szCs w:val="22"/>
        </w:rPr>
        <w:t xml:space="preserve">Trade between zones, including interstate trade, is subject to a range of restrictions that reflect underlying hydrological limits and water supply </w:t>
      </w:r>
      <w:r>
        <w:rPr>
          <w:rFonts w:ascii="Cambria" w:hAnsi="Cambria"/>
          <w:sz w:val="22"/>
          <w:szCs w:val="22"/>
        </w:rPr>
        <w:t xml:space="preserve">and environmental </w:t>
      </w:r>
      <w:r w:rsidRPr="00E32847">
        <w:rPr>
          <w:rFonts w:ascii="Cambria" w:hAnsi="Cambria"/>
          <w:sz w:val="22"/>
          <w:szCs w:val="22"/>
        </w:rPr>
        <w:t>considerations. Trade restrictions are managed by the states and the MDBA. The ACCC found that</w:t>
      </w:r>
      <w:proofErr w:type="gramStart"/>
      <w:r w:rsidRPr="00E32847">
        <w:rPr>
          <w:rFonts w:ascii="Cambria" w:hAnsi="Cambria"/>
          <w:sz w:val="22"/>
          <w:szCs w:val="22"/>
        </w:rPr>
        <w:t>, generally speaking, Basin</w:t>
      </w:r>
      <w:proofErr w:type="gramEnd"/>
      <w:r w:rsidRPr="00E32847">
        <w:rPr>
          <w:rFonts w:ascii="Cambria" w:hAnsi="Cambria"/>
          <w:sz w:val="22"/>
          <w:szCs w:val="22"/>
        </w:rPr>
        <w:t xml:space="preserve"> water trading systems and opportunities are best understood and leveraged by professional traders and large agribusinesses with the time and knowledge to analyse and navigate them. Further, the ACCC identified that a key area where significant imbalances exist is in relation to inter-zone trade, where trade is restricted by </w:t>
      </w:r>
      <w:r w:rsidR="00CA75BC">
        <w:rPr>
          <w:rFonts w:ascii="Cambria" w:hAnsi="Cambria"/>
          <w:sz w:val="22"/>
          <w:szCs w:val="22"/>
        </w:rPr>
        <w:t>volumetric</w:t>
      </w:r>
      <w:r w:rsidR="00CA75BC" w:rsidRPr="00E32847">
        <w:rPr>
          <w:rFonts w:ascii="Cambria" w:hAnsi="Cambria"/>
          <w:sz w:val="22"/>
          <w:szCs w:val="22"/>
        </w:rPr>
        <w:t xml:space="preserve"> </w:t>
      </w:r>
      <w:r w:rsidRPr="00E32847">
        <w:rPr>
          <w:rFonts w:ascii="Cambria" w:hAnsi="Cambria"/>
          <w:sz w:val="22"/>
          <w:szCs w:val="22"/>
        </w:rPr>
        <w:t xml:space="preserve">limits (in particular, the Goulburn and Murrumbidgee IVT limits, and the Barmah Choke downstream trade restriction). </w:t>
      </w:r>
    </w:p>
    <w:p w14:paraId="7561EEC7" w14:textId="34159B17" w:rsidR="00C66F0F" w:rsidRPr="00E32847" w:rsidRDefault="00C66F0F" w:rsidP="00C66F0F">
      <w:pPr>
        <w:spacing w:after="200" w:line="276" w:lineRule="auto"/>
        <w:rPr>
          <w:rFonts w:ascii="Cambria" w:hAnsi="Cambria"/>
          <w:sz w:val="22"/>
          <w:szCs w:val="22"/>
        </w:rPr>
      </w:pPr>
      <w:r w:rsidRPr="00E32847">
        <w:rPr>
          <w:rFonts w:ascii="Cambria" w:hAnsi="Cambria"/>
          <w:sz w:val="22"/>
          <w:szCs w:val="22"/>
        </w:rPr>
        <w:lastRenderedPageBreak/>
        <w:t xml:space="preserve">Basin states and the MDBA are continually working to improve the administration of interzone trade within the existing rules framework, both jointly and within their respective jurisdictions. Recent actions include providing greater transparency of how trade limits work and when inter-zone trade opportunities are anticipated to open. </w:t>
      </w:r>
      <w:r w:rsidRPr="005A65F6">
        <w:rPr>
          <w:rFonts w:ascii="Cambria" w:hAnsi="Cambria"/>
          <w:sz w:val="22"/>
          <w:szCs w:val="22"/>
        </w:rPr>
        <w:t xml:space="preserve">Southern jurisdictions have also been working together to </w:t>
      </w:r>
      <w:r>
        <w:rPr>
          <w:rFonts w:ascii="Cambria" w:hAnsi="Cambria"/>
          <w:sz w:val="22"/>
          <w:szCs w:val="22"/>
        </w:rPr>
        <w:t xml:space="preserve">improve the efficient and effective operation of </w:t>
      </w:r>
      <w:r w:rsidRPr="005A65F6">
        <w:rPr>
          <w:rFonts w:ascii="Cambria" w:hAnsi="Cambria"/>
          <w:sz w:val="22"/>
          <w:szCs w:val="22"/>
        </w:rPr>
        <w:t>administrative procedures for interstate trade and water orders.</w:t>
      </w:r>
    </w:p>
    <w:p w14:paraId="49123517" w14:textId="77777777" w:rsidR="00C66F0F" w:rsidRPr="00E32847" w:rsidRDefault="00C66F0F" w:rsidP="00C66F0F">
      <w:pPr>
        <w:spacing w:after="200" w:line="276" w:lineRule="auto"/>
        <w:rPr>
          <w:rFonts w:ascii="Cambria" w:hAnsi="Cambria"/>
          <w:sz w:val="22"/>
          <w:szCs w:val="22"/>
        </w:rPr>
      </w:pPr>
      <w:r w:rsidRPr="00E32847">
        <w:rPr>
          <w:rFonts w:ascii="Cambria" w:hAnsi="Cambria"/>
          <w:sz w:val="22"/>
          <w:szCs w:val="22"/>
        </w:rPr>
        <w:t>ACCC recommendations to improve the digital infrastructure supporting interzone trade (and trade more generally) and consider more fundamental changes to the way interzone trade works (to consider whether rules themselves can be improved) will be further considered in the next phase of the roadmap’s development.</w:t>
      </w:r>
    </w:p>
    <w:p w14:paraId="613E6765" w14:textId="79743D52" w:rsidR="00C66F0F" w:rsidRPr="00C66F0F" w:rsidRDefault="00C66F0F" w:rsidP="00C66F0F">
      <w:pPr>
        <w:pStyle w:val="Heading3"/>
        <w:spacing w:before="0"/>
        <w:ind w:left="964" w:hanging="964"/>
        <w:rPr>
          <w:rFonts w:ascii="Calibri" w:eastAsia="Times New Roman" w:hAnsi="Calibri" w:cs="Times New Roman"/>
          <w:b/>
          <w:bCs/>
          <w:color w:val="auto"/>
          <w:sz w:val="36"/>
        </w:rPr>
      </w:pPr>
      <w:bookmarkStart w:id="15" w:name="_Toc90470963"/>
      <w:r>
        <w:rPr>
          <w:rFonts w:ascii="Calibri" w:eastAsia="Times New Roman" w:hAnsi="Calibri" w:cs="Times New Roman"/>
          <w:b/>
          <w:bCs/>
          <w:color w:val="auto"/>
          <w:sz w:val="36"/>
        </w:rPr>
        <w:t>3.4</w:t>
      </w:r>
      <w:r>
        <w:rPr>
          <w:rFonts w:ascii="Calibri" w:eastAsia="Times New Roman" w:hAnsi="Calibri" w:cs="Times New Roman"/>
          <w:b/>
          <w:bCs/>
          <w:color w:val="auto"/>
          <w:sz w:val="36"/>
        </w:rPr>
        <w:tab/>
      </w:r>
      <w:r w:rsidRPr="00C66F0F">
        <w:rPr>
          <w:rFonts w:ascii="Calibri" w:eastAsia="Times New Roman" w:hAnsi="Calibri" w:cs="Times New Roman"/>
          <w:b/>
          <w:bCs/>
          <w:color w:val="auto"/>
          <w:sz w:val="36"/>
        </w:rPr>
        <w:t>Improving metering and monitoring of water take</w:t>
      </w:r>
      <w:bookmarkEnd w:id="15"/>
    </w:p>
    <w:p w14:paraId="6CD67DB5" w14:textId="2278C935" w:rsidR="00D76B53" w:rsidRDefault="00C66F0F" w:rsidP="00C66F0F">
      <w:pPr>
        <w:spacing w:after="200" w:line="276" w:lineRule="auto"/>
        <w:rPr>
          <w:rFonts w:ascii="Cambria" w:hAnsi="Cambria"/>
          <w:sz w:val="22"/>
          <w:szCs w:val="22"/>
        </w:rPr>
      </w:pPr>
      <w:r w:rsidRPr="00E32847">
        <w:rPr>
          <w:rStyle w:val="normaltextrun"/>
          <w:rFonts w:ascii="Cambria" w:hAnsi="Cambria" w:cs="Calibri"/>
          <w:color w:val="000000"/>
          <w:sz w:val="22"/>
          <w:szCs w:val="22"/>
          <w:shd w:val="clear" w:color="auto" w:fill="FFFFFF"/>
        </w:rPr>
        <w:t xml:space="preserve">Robust </w:t>
      </w:r>
      <w:r w:rsidR="00D76B53">
        <w:rPr>
          <w:rStyle w:val="normaltextrun"/>
          <w:rFonts w:ascii="Cambria" w:hAnsi="Cambria" w:cs="Calibri"/>
          <w:color w:val="000000"/>
          <w:sz w:val="22"/>
          <w:szCs w:val="22"/>
          <w:shd w:val="clear" w:color="auto" w:fill="FFFFFF"/>
        </w:rPr>
        <w:t xml:space="preserve">and consistent </w:t>
      </w:r>
      <w:r w:rsidRPr="00E32847">
        <w:rPr>
          <w:rStyle w:val="normaltextrun"/>
          <w:rFonts w:ascii="Cambria" w:hAnsi="Cambria" w:cs="Calibri"/>
          <w:color w:val="000000"/>
          <w:sz w:val="22"/>
          <w:szCs w:val="22"/>
          <w:shd w:val="clear" w:color="auto" w:fill="FFFFFF"/>
        </w:rPr>
        <w:t>metering and measurement requirements provide communities and water users with confidence that rules are being applied equally to all water users and can be enforced appropriately. </w:t>
      </w:r>
      <w:r w:rsidRPr="00E32847">
        <w:rPr>
          <w:rFonts w:ascii="Cambria" w:hAnsi="Cambria"/>
          <w:sz w:val="22"/>
          <w:szCs w:val="22"/>
        </w:rPr>
        <w:t xml:space="preserve"> </w:t>
      </w:r>
      <w:r w:rsidR="00E24757">
        <w:rPr>
          <w:rFonts w:ascii="Cambria" w:hAnsi="Cambria"/>
          <w:sz w:val="22"/>
          <w:szCs w:val="22"/>
        </w:rPr>
        <w:t>I</w:t>
      </w:r>
      <w:r w:rsidRPr="00E32847">
        <w:rPr>
          <w:rFonts w:ascii="Cambria" w:hAnsi="Cambria"/>
          <w:sz w:val="22"/>
          <w:szCs w:val="22"/>
        </w:rPr>
        <w:t>nconsistent metering standards and telemetry capabilities across states can lead to</w:t>
      </w:r>
      <w:r w:rsidR="00D76B53">
        <w:rPr>
          <w:rFonts w:ascii="Cambria" w:hAnsi="Cambria"/>
          <w:sz w:val="22"/>
          <w:szCs w:val="22"/>
        </w:rPr>
        <w:t xml:space="preserve"> actual or perceived unfair advantages</w:t>
      </w:r>
      <w:r w:rsidRPr="00E32847">
        <w:rPr>
          <w:rFonts w:ascii="Cambria" w:hAnsi="Cambria"/>
          <w:sz w:val="22"/>
          <w:szCs w:val="22"/>
        </w:rPr>
        <w:t xml:space="preserve"> in water markets</w:t>
      </w:r>
      <w:r w:rsidR="00E24757">
        <w:rPr>
          <w:rFonts w:ascii="Cambria" w:hAnsi="Cambria"/>
          <w:sz w:val="22"/>
          <w:szCs w:val="22"/>
        </w:rPr>
        <w:t xml:space="preserve"> and is a concern for some jurisdictions</w:t>
      </w:r>
      <w:r w:rsidR="00D76B53">
        <w:rPr>
          <w:rFonts w:ascii="Cambria" w:hAnsi="Cambria"/>
          <w:sz w:val="22"/>
          <w:szCs w:val="22"/>
        </w:rPr>
        <w:t xml:space="preserve"> requiring further analysis</w:t>
      </w:r>
      <w:r w:rsidRPr="00E32847">
        <w:rPr>
          <w:rFonts w:ascii="Cambria" w:hAnsi="Cambria"/>
          <w:sz w:val="22"/>
          <w:szCs w:val="22"/>
        </w:rPr>
        <w:t xml:space="preserve">. </w:t>
      </w:r>
    </w:p>
    <w:p w14:paraId="654409F5" w14:textId="643355B0" w:rsidR="00C66F0F" w:rsidRPr="00E32847" w:rsidRDefault="00CA75BC" w:rsidP="00C66F0F">
      <w:pPr>
        <w:spacing w:after="200" w:line="276" w:lineRule="auto"/>
        <w:rPr>
          <w:rFonts w:ascii="Cambria" w:hAnsi="Cambria"/>
          <w:sz w:val="22"/>
          <w:szCs w:val="22"/>
        </w:rPr>
      </w:pPr>
      <w:r>
        <w:rPr>
          <w:rFonts w:ascii="Cambria" w:hAnsi="Cambria"/>
          <w:sz w:val="22"/>
          <w:szCs w:val="22"/>
        </w:rPr>
        <w:t xml:space="preserve">Nevertheless, </w:t>
      </w:r>
      <w:r w:rsidR="00C66F0F" w:rsidRPr="00E32847">
        <w:rPr>
          <w:rFonts w:ascii="Cambria" w:hAnsi="Cambria"/>
          <w:sz w:val="22"/>
          <w:szCs w:val="22"/>
        </w:rPr>
        <w:t xml:space="preserve">Basin states are on the trajectory of continuous improvement and harmonisation of metering standards and technology, and the roll out and monitoring to measure overland flow. All states are in various stages of developing and implementing new metering standards (such as Australian Standard 4747 and Metrological Assurance Framework 2) and telemetry requirements, which are essential steps toward harmonisation and reducing inequities across the Basin. In addition to reporting and other commitments under the </w:t>
      </w:r>
      <w:hyperlink r:id="rId17" w:history="1">
        <w:r w:rsidR="00C66F0F" w:rsidRPr="00E32847">
          <w:rPr>
            <w:rStyle w:val="Hyperlink"/>
            <w:rFonts w:ascii="Cambria" w:hAnsi="Cambria"/>
            <w:sz w:val="22"/>
            <w:szCs w:val="22"/>
          </w:rPr>
          <w:t>Murray Darling Basin Compliance Compact</w:t>
        </w:r>
      </w:hyperlink>
      <w:r w:rsidR="00C66F0F" w:rsidRPr="00E32847">
        <w:rPr>
          <w:rFonts w:ascii="Cambria" w:hAnsi="Cambria"/>
          <w:sz w:val="22"/>
          <w:szCs w:val="22"/>
        </w:rPr>
        <w:t xml:space="preserve"> (compliance compact), Basin states are now subject to increased oversight by the Inspector-General of Water Compliance (Inspector General), who can also issue metering standards that must be considered by Basin governments. </w:t>
      </w:r>
    </w:p>
    <w:p w14:paraId="7E3EF097" w14:textId="77777777" w:rsidR="00C66F0F" w:rsidRPr="00E32847" w:rsidRDefault="00C66F0F" w:rsidP="00C66F0F">
      <w:pPr>
        <w:spacing w:after="200" w:line="276" w:lineRule="auto"/>
        <w:rPr>
          <w:rFonts w:ascii="Cambria" w:hAnsi="Cambria"/>
          <w:sz w:val="22"/>
          <w:szCs w:val="22"/>
        </w:rPr>
      </w:pPr>
      <w:r w:rsidRPr="00E32847">
        <w:rPr>
          <w:rFonts w:ascii="Cambria" w:hAnsi="Cambria"/>
          <w:sz w:val="22"/>
          <w:szCs w:val="22"/>
        </w:rPr>
        <w:t xml:space="preserve">Although approaches vary across jurisdictions, Basin states have been improving their processes for enforcing take rules and metering requirements, including to prevent water users being able to go into negative balance. An identified focus of the newly established Inspector General includes addressing barriers that inhibit Basin state compliance and enforcement functions of this nature. These actions go some way towards eliminating the inequity for market participants arising from differing requirements across jurisdictions. </w:t>
      </w:r>
    </w:p>
    <w:p w14:paraId="0032D66A" w14:textId="2308F9FD" w:rsidR="00E6737D" w:rsidRPr="00C66F0F" w:rsidRDefault="00C66F0F" w:rsidP="00C66F0F">
      <w:pPr>
        <w:pStyle w:val="Heading3"/>
        <w:spacing w:before="0"/>
        <w:ind w:left="964" w:hanging="964"/>
        <w:rPr>
          <w:rFonts w:ascii="Calibri" w:eastAsia="Times New Roman" w:hAnsi="Calibri" w:cs="Times New Roman"/>
          <w:b/>
          <w:bCs/>
          <w:color w:val="auto"/>
          <w:sz w:val="36"/>
        </w:rPr>
      </w:pPr>
      <w:bookmarkStart w:id="16" w:name="_Toc90470964"/>
      <w:r>
        <w:rPr>
          <w:rFonts w:ascii="Calibri" w:eastAsia="Times New Roman" w:hAnsi="Calibri" w:cs="Times New Roman"/>
          <w:b/>
          <w:bCs/>
          <w:color w:val="auto"/>
          <w:sz w:val="36"/>
        </w:rPr>
        <w:t>3.5</w:t>
      </w:r>
      <w:r>
        <w:rPr>
          <w:rFonts w:ascii="Calibri" w:eastAsia="Times New Roman" w:hAnsi="Calibri" w:cs="Times New Roman"/>
          <w:b/>
          <w:bCs/>
          <w:color w:val="auto"/>
          <w:sz w:val="36"/>
        </w:rPr>
        <w:tab/>
      </w:r>
      <w:proofErr w:type="gramStart"/>
      <w:r w:rsidR="00721EAB" w:rsidRPr="00C66F0F">
        <w:rPr>
          <w:rFonts w:ascii="Calibri" w:eastAsia="Times New Roman" w:hAnsi="Calibri" w:cs="Times New Roman"/>
          <w:b/>
          <w:bCs/>
          <w:color w:val="auto"/>
          <w:sz w:val="36"/>
        </w:rPr>
        <w:t xml:space="preserve">Improving </w:t>
      </w:r>
      <w:r w:rsidR="00D22158" w:rsidRPr="00C66F0F">
        <w:rPr>
          <w:rFonts w:ascii="Calibri" w:eastAsia="Times New Roman" w:hAnsi="Calibri" w:cs="Times New Roman"/>
          <w:b/>
          <w:bCs/>
          <w:color w:val="auto"/>
          <w:sz w:val="36"/>
        </w:rPr>
        <w:t>r</w:t>
      </w:r>
      <w:r w:rsidR="00721EAB" w:rsidRPr="00C66F0F">
        <w:rPr>
          <w:rFonts w:ascii="Calibri" w:eastAsia="Times New Roman" w:hAnsi="Calibri" w:cs="Times New Roman"/>
          <w:b/>
          <w:bCs/>
          <w:color w:val="auto"/>
          <w:sz w:val="36"/>
        </w:rPr>
        <w:t>iver</w:t>
      </w:r>
      <w:proofErr w:type="gramEnd"/>
      <w:r w:rsidR="00721EAB" w:rsidRPr="00C66F0F">
        <w:rPr>
          <w:rFonts w:ascii="Calibri" w:eastAsia="Times New Roman" w:hAnsi="Calibri" w:cs="Times New Roman"/>
          <w:b/>
          <w:bCs/>
          <w:color w:val="auto"/>
          <w:sz w:val="36"/>
        </w:rPr>
        <w:t xml:space="preserve"> </w:t>
      </w:r>
      <w:r w:rsidR="00D22158" w:rsidRPr="00C66F0F">
        <w:rPr>
          <w:rFonts w:ascii="Calibri" w:eastAsia="Times New Roman" w:hAnsi="Calibri" w:cs="Times New Roman"/>
          <w:b/>
          <w:bCs/>
          <w:color w:val="auto"/>
          <w:sz w:val="36"/>
        </w:rPr>
        <w:t>o</w:t>
      </w:r>
      <w:r w:rsidR="00721EAB" w:rsidRPr="00C66F0F">
        <w:rPr>
          <w:rFonts w:ascii="Calibri" w:eastAsia="Times New Roman" w:hAnsi="Calibri" w:cs="Times New Roman"/>
          <w:b/>
          <w:bCs/>
          <w:color w:val="auto"/>
          <w:sz w:val="36"/>
        </w:rPr>
        <w:t xml:space="preserve">perations and interactions </w:t>
      </w:r>
      <w:r w:rsidR="00D22158" w:rsidRPr="00C66F0F">
        <w:rPr>
          <w:rFonts w:ascii="Calibri" w:eastAsia="Times New Roman" w:hAnsi="Calibri" w:cs="Times New Roman"/>
          <w:b/>
          <w:bCs/>
          <w:color w:val="auto"/>
          <w:sz w:val="36"/>
        </w:rPr>
        <w:t xml:space="preserve">with </w:t>
      </w:r>
      <w:r w:rsidR="00721EAB" w:rsidRPr="00C66F0F">
        <w:rPr>
          <w:rFonts w:ascii="Calibri" w:eastAsia="Times New Roman" w:hAnsi="Calibri" w:cs="Times New Roman"/>
          <w:b/>
          <w:bCs/>
          <w:color w:val="auto"/>
          <w:sz w:val="36"/>
        </w:rPr>
        <w:t>water markets</w:t>
      </w:r>
      <w:bookmarkEnd w:id="16"/>
    </w:p>
    <w:p w14:paraId="25A718EC" w14:textId="206B2A70" w:rsidR="00E6737D" w:rsidRPr="00A3226D" w:rsidRDefault="00354A53" w:rsidP="00283CA8">
      <w:pPr>
        <w:spacing w:after="200" w:line="276" w:lineRule="auto"/>
        <w:rPr>
          <w:rFonts w:ascii="Cambria" w:hAnsi="Cambria"/>
          <w:sz w:val="22"/>
          <w:szCs w:val="22"/>
        </w:rPr>
      </w:pPr>
      <w:r w:rsidRPr="00A3226D">
        <w:rPr>
          <w:rFonts w:ascii="Cambria" w:hAnsi="Cambria"/>
          <w:sz w:val="22"/>
          <w:szCs w:val="22"/>
        </w:rPr>
        <w:t xml:space="preserve">The ACCC </w:t>
      </w:r>
      <w:r w:rsidR="006E72CE" w:rsidRPr="00A3226D">
        <w:rPr>
          <w:rFonts w:ascii="Cambria" w:hAnsi="Cambria"/>
          <w:sz w:val="22"/>
          <w:szCs w:val="22"/>
        </w:rPr>
        <w:t xml:space="preserve">identified </w:t>
      </w:r>
      <w:r w:rsidRPr="00A3226D">
        <w:rPr>
          <w:rFonts w:ascii="Cambria" w:hAnsi="Cambria"/>
          <w:sz w:val="22"/>
          <w:szCs w:val="22"/>
        </w:rPr>
        <w:t xml:space="preserve">that </w:t>
      </w:r>
      <w:r w:rsidR="006E72CE" w:rsidRPr="00A3226D">
        <w:rPr>
          <w:rFonts w:ascii="Cambria" w:hAnsi="Cambria"/>
          <w:sz w:val="22"/>
          <w:szCs w:val="22"/>
        </w:rPr>
        <w:t xml:space="preserve">delivery issues </w:t>
      </w:r>
      <w:r w:rsidR="00D317F2">
        <w:rPr>
          <w:rFonts w:ascii="Cambria" w:hAnsi="Cambria"/>
          <w:sz w:val="22"/>
          <w:szCs w:val="22"/>
        </w:rPr>
        <w:t>affect</w:t>
      </w:r>
      <w:r w:rsidR="006E72CE" w:rsidRPr="00A3226D">
        <w:rPr>
          <w:rFonts w:ascii="Cambria" w:hAnsi="Cambria"/>
          <w:sz w:val="22"/>
          <w:szCs w:val="22"/>
        </w:rPr>
        <w:t xml:space="preserve"> water market outcomes and are</w:t>
      </w:r>
      <w:r w:rsidR="00D317F2">
        <w:rPr>
          <w:rFonts w:ascii="Cambria" w:hAnsi="Cambria"/>
          <w:sz w:val="22"/>
          <w:szCs w:val="22"/>
        </w:rPr>
        <w:t xml:space="preserve"> influenced</w:t>
      </w:r>
      <w:r w:rsidR="006E72CE" w:rsidRPr="00A3226D">
        <w:rPr>
          <w:rFonts w:ascii="Cambria" w:hAnsi="Cambria"/>
          <w:sz w:val="22"/>
          <w:szCs w:val="22"/>
        </w:rPr>
        <w:t xml:space="preserve"> by trading activity. </w:t>
      </w:r>
      <w:r w:rsidR="00D317F2">
        <w:rPr>
          <w:rFonts w:ascii="Cambria" w:hAnsi="Cambria"/>
          <w:sz w:val="22"/>
          <w:szCs w:val="22"/>
        </w:rPr>
        <w:t>M</w:t>
      </w:r>
      <w:r w:rsidR="006E72CE" w:rsidRPr="00A3226D">
        <w:rPr>
          <w:rFonts w:ascii="Cambria" w:hAnsi="Cambria"/>
          <w:sz w:val="22"/>
          <w:szCs w:val="22"/>
        </w:rPr>
        <w:t xml:space="preserve">arket mechanisms could form part of </w:t>
      </w:r>
      <w:r w:rsidR="00D778BB" w:rsidRPr="00A3226D">
        <w:rPr>
          <w:rFonts w:ascii="Cambria" w:hAnsi="Cambria"/>
          <w:sz w:val="22"/>
          <w:szCs w:val="22"/>
        </w:rPr>
        <w:t xml:space="preserve">a </w:t>
      </w:r>
      <w:r w:rsidR="006E72CE" w:rsidRPr="00A3226D">
        <w:rPr>
          <w:rFonts w:ascii="Cambria" w:hAnsi="Cambria"/>
          <w:sz w:val="22"/>
          <w:szCs w:val="22"/>
        </w:rPr>
        <w:t>suite of solutions to address delivery risk.</w:t>
      </w:r>
      <w:r w:rsidR="00AC6500" w:rsidRPr="00A3226D">
        <w:rPr>
          <w:rStyle w:val="FootnoteReference"/>
          <w:rFonts w:ascii="Cambria" w:hAnsi="Cambria"/>
          <w:sz w:val="22"/>
          <w:szCs w:val="22"/>
        </w:rPr>
        <w:footnoteReference w:id="9"/>
      </w:r>
    </w:p>
    <w:p w14:paraId="12F34CFB" w14:textId="41A6F145" w:rsidR="006E72CE" w:rsidRPr="00A3226D" w:rsidRDefault="00BE466B" w:rsidP="00283CA8">
      <w:pPr>
        <w:spacing w:after="200" w:line="276" w:lineRule="auto"/>
        <w:rPr>
          <w:rFonts w:ascii="Cambria" w:hAnsi="Cambria"/>
          <w:sz w:val="22"/>
          <w:szCs w:val="22"/>
        </w:rPr>
      </w:pPr>
      <w:r w:rsidRPr="00A3226D">
        <w:rPr>
          <w:rFonts w:ascii="Cambria" w:hAnsi="Cambria"/>
          <w:sz w:val="22"/>
          <w:szCs w:val="22"/>
        </w:rPr>
        <w:t>The MDBA and southern Basin states are already progressing work to address delivery risks under the ‘Capacity and Delivery Shortfall’ project.</w:t>
      </w:r>
      <w:r w:rsidR="00FB09B4" w:rsidRPr="00A3226D">
        <w:rPr>
          <w:rFonts w:ascii="Cambria" w:hAnsi="Cambria"/>
          <w:sz w:val="22"/>
          <w:szCs w:val="22"/>
        </w:rPr>
        <w:t xml:space="preserve"> S</w:t>
      </w:r>
      <w:r w:rsidR="002A228F" w:rsidRPr="00A3226D">
        <w:rPr>
          <w:rFonts w:ascii="Cambria" w:hAnsi="Cambria"/>
          <w:sz w:val="22"/>
          <w:szCs w:val="22"/>
        </w:rPr>
        <w:t xml:space="preserve">outhern Basin states </w:t>
      </w:r>
      <w:r w:rsidR="00FB09B4" w:rsidRPr="00A3226D">
        <w:rPr>
          <w:rFonts w:ascii="Cambria" w:hAnsi="Cambria"/>
          <w:sz w:val="22"/>
          <w:szCs w:val="22"/>
        </w:rPr>
        <w:t xml:space="preserve">have </w:t>
      </w:r>
      <w:r w:rsidR="002A228F" w:rsidRPr="00A3226D">
        <w:rPr>
          <w:rFonts w:ascii="Cambria" w:hAnsi="Cambria"/>
          <w:sz w:val="22"/>
          <w:szCs w:val="22"/>
        </w:rPr>
        <w:t xml:space="preserve">emphasised the importance of </w:t>
      </w:r>
      <w:r w:rsidR="00963F54" w:rsidRPr="00A3226D">
        <w:rPr>
          <w:rFonts w:ascii="Cambria" w:hAnsi="Cambria"/>
          <w:sz w:val="22"/>
          <w:szCs w:val="22"/>
        </w:rPr>
        <w:t xml:space="preserve">this work and </w:t>
      </w:r>
      <w:r w:rsidR="00FB09B4" w:rsidRPr="00A3226D">
        <w:rPr>
          <w:rFonts w:ascii="Cambria" w:hAnsi="Cambria"/>
          <w:sz w:val="22"/>
          <w:szCs w:val="22"/>
        </w:rPr>
        <w:t xml:space="preserve">the </w:t>
      </w:r>
      <w:r w:rsidR="00C7793E" w:rsidRPr="00A3226D">
        <w:rPr>
          <w:rFonts w:ascii="Cambria" w:hAnsi="Cambria"/>
          <w:sz w:val="22"/>
          <w:szCs w:val="22"/>
        </w:rPr>
        <w:t xml:space="preserve">opportunity </w:t>
      </w:r>
      <w:r w:rsidR="00FB09B4" w:rsidRPr="00A3226D">
        <w:rPr>
          <w:rFonts w:ascii="Cambria" w:hAnsi="Cambria"/>
          <w:sz w:val="22"/>
          <w:szCs w:val="22"/>
        </w:rPr>
        <w:t xml:space="preserve">it presents to meaningfully </w:t>
      </w:r>
      <w:r w:rsidR="001014F8" w:rsidRPr="00A3226D">
        <w:rPr>
          <w:rFonts w:ascii="Cambria" w:hAnsi="Cambria"/>
          <w:sz w:val="22"/>
          <w:szCs w:val="22"/>
        </w:rPr>
        <w:t xml:space="preserve">address </w:t>
      </w:r>
      <w:r w:rsidR="00DA3260" w:rsidRPr="00A3226D">
        <w:rPr>
          <w:rFonts w:ascii="Cambria" w:hAnsi="Cambria"/>
          <w:sz w:val="22"/>
          <w:szCs w:val="22"/>
        </w:rPr>
        <w:t xml:space="preserve">delivery risk. </w:t>
      </w:r>
      <w:r w:rsidR="00CA75BC">
        <w:rPr>
          <w:rFonts w:ascii="Cambria" w:hAnsi="Cambria"/>
          <w:sz w:val="22"/>
          <w:szCs w:val="22"/>
        </w:rPr>
        <w:lastRenderedPageBreak/>
        <w:t>F</w:t>
      </w:r>
      <w:r w:rsidR="00BA6FF1" w:rsidRPr="00A3226D">
        <w:rPr>
          <w:rFonts w:ascii="Cambria" w:hAnsi="Cambria"/>
          <w:sz w:val="22"/>
          <w:szCs w:val="22"/>
        </w:rPr>
        <w:t xml:space="preserve">urther development of the roadmap will </w:t>
      </w:r>
      <w:r w:rsidR="00E02379" w:rsidRPr="00A3226D">
        <w:rPr>
          <w:rFonts w:ascii="Cambria" w:hAnsi="Cambria"/>
          <w:sz w:val="22"/>
          <w:szCs w:val="22"/>
        </w:rPr>
        <w:t>consider how that process can be</w:t>
      </w:r>
      <w:r w:rsidR="00AB06B3" w:rsidRPr="00A3226D">
        <w:rPr>
          <w:rFonts w:ascii="Cambria" w:hAnsi="Cambria"/>
          <w:sz w:val="22"/>
          <w:szCs w:val="22"/>
        </w:rPr>
        <w:t xml:space="preserve"> best supported to </w:t>
      </w:r>
      <w:r w:rsidR="00043F4A" w:rsidRPr="00A3226D">
        <w:rPr>
          <w:rFonts w:ascii="Cambria" w:hAnsi="Cambria"/>
          <w:sz w:val="22"/>
          <w:szCs w:val="22"/>
        </w:rPr>
        <w:t>ensure i</w:t>
      </w:r>
      <w:r w:rsidR="008408E0" w:rsidRPr="00A3226D">
        <w:rPr>
          <w:rFonts w:ascii="Cambria" w:hAnsi="Cambria"/>
          <w:sz w:val="22"/>
          <w:szCs w:val="22"/>
        </w:rPr>
        <w:t>t considers the relevant issues raised by the ACCC Inquiry.</w:t>
      </w:r>
    </w:p>
    <w:p w14:paraId="349BF417" w14:textId="3AD00099" w:rsidR="008C4D3B" w:rsidRPr="00A3226D" w:rsidRDefault="00C66F0F" w:rsidP="00C66F0F">
      <w:pPr>
        <w:pStyle w:val="Heading3"/>
        <w:spacing w:before="0"/>
        <w:ind w:left="964" w:hanging="964"/>
        <w:rPr>
          <w:rFonts w:asciiTheme="minorHAnsi" w:hAnsiTheme="minorHAnsi" w:cstheme="minorHAnsi"/>
          <w:color w:val="auto"/>
          <w:sz w:val="28"/>
          <w:szCs w:val="28"/>
        </w:rPr>
      </w:pPr>
      <w:bookmarkStart w:id="17" w:name="_Toc90470965"/>
      <w:r>
        <w:rPr>
          <w:rFonts w:ascii="Calibri" w:eastAsia="Times New Roman" w:hAnsi="Calibri" w:cs="Times New Roman"/>
          <w:b/>
          <w:bCs/>
          <w:color w:val="auto"/>
          <w:sz w:val="36"/>
        </w:rPr>
        <w:t>3.6</w:t>
      </w:r>
      <w:r>
        <w:rPr>
          <w:rFonts w:ascii="Calibri" w:eastAsia="Times New Roman" w:hAnsi="Calibri" w:cs="Times New Roman"/>
          <w:b/>
          <w:bCs/>
          <w:color w:val="auto"/>
          <w:sz w:val="36"/>
        </w:rPr>
        <w:tab/>
      </w:r>
      <w:r w:rsidR="008C4D3B" w:rsidRPr="00C66F0F">
        <w:rPr>
          <w:rFonts w:ascii="Calibri" w:eastAsia="Times New Roman" w:hAnsi="Calibri" w:cs="Times New Roman"/>
          <w:b/>
          <w:bCs/>
          <w:color w:val="auto"/>
          <w:sz w:val="36"/>
        </w:rPr>
        <w:t>Improving integration of environmental water delivery and trade</w:t>
      </w:r>
      <w:bookmarkEnd w:id="17"/>
    </w:p>
    <w:p w14:paraId="0C3125E5" w14:textId="77777777" w:rsidR="00B364AD" w:rsidRDefault="00BD7851" w:rsidP="004E2890">
      <w:pPr>
        <w:spacing w:after="200" w:line="276" w:lineRule="auto"/>
        <w:rPr>
          <w:rFonts w:ascii="Cambria" w:hAnsi="Cambria"/>
          <w:sz w:val="22"/>
          <w:szCs w:val="22"/>
        </w:rPr>
      </w:pPr>
      <w:r w:rsidRPr="004E2890">
        <w:rPr>
          <w:rFonts w:ascii="Cambria" w:eastAsia="Arial Narrow" w:hAnsi="Cambria" w:cs="Calibri"/>
          <w:sz w:val="22"/>
          <w:szCs w:val="22"/>
        </w:rPr>
        <w:t>Although</w:t>
      </w:r>
      <w:r>
        <w:rPr>
          <w:rFonts w:ascii="Cambria" w:hAnsi="Cambria"/>
          <w:sz w:val="22"/>
          <w:szCs w:val="22"/>
        </w:rPr>
        <w:t xml:space="preserve"> environmental water holders </w:t>
      </w:r>
      <w:r w:rsidR="004E56A1">
        <w:rPr>
          <w:rFonts w:ascii="Cambria" w:hAnsi="Cambria"/>
          <w:sz w:val="22"/>
          <w:szCs w:val="22"/>
        </w:rPr>
        <w:t>are not significant participants in water markets (despite</w:t>
      </w:r>
      <w:r w:rsidR="0016387B">
        <w:rPr>
          <w:rFonts w:ascii="Cambria" w:hAnsi="Cambria"/>
          <w:sz w:val="22"/>
          <w:szCs w:val="22"/>
        </w:rPr>
        <w:t xml:space="preserve"> being large </w:t>
      </w:r>
      <w:r w:rsidR="004E56A1">
        <w:rPr>
          <w:rFonts w:ascii="Cambria" w:hAnsi="Cambria"/>
          <w:sz w:val="22"/>
          <w:szCs w:val="22"/>
        </w:rPr>
        <w:t>entitlement</w:t>
      </w:r>
      <w:r w:rsidR="0016387B">
        <w:rPr>
          <w:rFonts w:ascii="Cambria" w:hAnsi="Cambria"/>
          <w:sz w:val="22"/>
          <w:szCs w:val="22"/>
        </w:rPr>
        <w:t xml:space="preserve"> holders</w:t>
      </w:r>
      <w:r w:rsidR="004E56A1">
        <w:rPr>
          <w:rFonts w:ascii="Cambria" w:hAnsi="Cambria"/>
          <w:sz w:val="22"/>
          <w:szCs w:val="22"/>
        </w:rPr>
        <w:t>)</w:t>
      </w:r>
      <w:r w:rsidR="00075412">
        <w:rPr>
          <w:rFonts w:ascii="Cambria" w:hAnsi="Cambria"/>
          <w:sz w:val="22"/>
          <w:szCs w:val="22"/>
        </w:rPr>
        <w:t xml:space="preserve">, delivery of </w:t>
      </w:r>
      <w:r w:rsidR="00075412" w:rsidRPr="004E2890">
        <w:rPr>
          <w:rFonts w:ascii="Cambria" w:eastAsia="Arial Narrow" w:hAnsi="Cambria" w:cs="Calibri"/>
          <w:sz w:val="22"/>
          <w:szCs w:val="22"/>
        </w:rPr>
        <w:t>environmental</w:t>
      </w:r>
      <w:r w:rsidR="00075412">
        <w:rPr>
          <w:rFonts w:ascii="Cambria" w:hAnsi="Cambria"/>
          <w:sz w:val="22"/>
          <w:szCs w:val="22"/>
        </w:rPr>
        <w:t xml:space="preserve"> water </w:t>
      </w:r>
      <w:r w:rsidR="00061CE2">
        <w:rPr>
          <w:rFonts w:ascii="Cambria" w:hAnsi="Cambria"/>
          <w:sz w:val="22"/>
          <w:szCs w:val="22"/>
        </w:rPr>
        <w:t xml:space="preserve">can </w:t>
      </w:r>
      <w:r w:rsidR="00B364AD">
        <w:rPr>
          <w:rFonts w:ascii="Cambria" w:hAnsi="Cambria"/>
          <w:sz w:val="22"/>
          <w:szCs w:val="22"/>
        </w:rPr>
        <w:t>affect trading frameworks.</w:t>
      </w:r>
    </w:p>
    <w:p w14:paraId="2FE21108" w14:textId="4FB96747" w:rsidR="00B4548F" w:rsidRPr="00A3226D" w:rsidRDefault="00914225" w:rsidP="00283CA8">
      <w:pPr>
        <w:spacing w:after="200" w:line="276" w:lineRule="auto"/>
        <w:rPr>
          <w:rFonts w:ascii="Cambria" w:hAnsi="Cambria"/>
          <w:sz w:val="22"/>
          <w:szCs w:val="22"/>
        </w:rPr>
      </w:pPr>
      <w:r w:rsidRPr="00A3226D">
        <w:rPr>
          <w:rFonts w:ascii="Cambria" w:hAnsi="Cambria"/>
          <w:sz w:val="22"/>
          <w:szCs w:val="22"/>
        </w:rPr>
        <w:t xml:space="preserve">In response to </w:t>
      </w:r>
      <w:r w:rsidR="0036321F" w:rsidRPr="00A3226D">
        <w:rPr>
          <w:rFonts w:ascii="Cambria" w:hAnsi="Cambria"/>
          <w:sz w:val="22"/>
          <w:szCs w:val="22"/>
        </w:rPr>
        <w:t>advice provided by the ACCC, the MDBA has assess</w:t>
      </w:r>
      <w:r w:rsidR="00366B01" w:rsidRPr="00A3226D">
        <w:rPr>
          <w:rFonts w:ascii="Cambria" w:hAnsi="Cambria"/>
          <w:sz w:val="22"/>
          <w:szCs w:val="22"/>
        </w:rPr>
        <w:t>ed</w:t>
      </w:r>
      <w:r w:rsidR="0036321F" w:rsidRPr="00A3226D">
        <w:rPr>
          <w:rFonts w:ascii="Cambria" w:hAnsi="Cambria"/>
          <w:sz w:val="22"/>
          <w:szCs w:val="22"/>
        </w:rPr>
        <w:t xml:space="preserve"> possible options for the operation of Section 12.02 of the Basin Plan Water Trading Rules as it relates to the </w:t>
      </w:r>
      <w:r w:rsidR="005A19A3" w:rsidRPr="00A3226D">
        <w:rPr>
          <w:rFonts w:ascii="Cambria" w:hAnsi="Cambria"/>
          <w:sz w:val="22"/>
          <w:szCs w:val="22"/>
        </w:rPr>
        <w:t>movement</w:t>
      </w:r>
      <w:r w:rsidR="0036321F" w:rsidRPr="00A3226D">
        <w:rPr>
          <w:rFonts w:ascii="Cambria" w:hAnsi="Cambria"/>
          <w:sz w:val="22"/>
          <w:szCs w:val="22"/>
        </w:rPr>
        <w:t xml:space="preserve"> of environmental water</w:t>
      </w:r>
      <w:r w:rsidR="00B31718" w:rsidRPr="00A3226D">
        <w:rPr>
          <w:rFonts w:ascii="Cambria" w:hAnsi="Cambria"/>
          <w:sz w:val="22"/>
          <w:szCs w:val="22"/>
        </w:rPr>
        <w:t xml:space="preserve">. </w:t>
      </w:r>
      <w:r w:rsidR="006821F8" w:rsidRPr="00A3226D" w:rsidDel="00462640">
        <w:rPr>
          <w:rFonts w:ascii="Cambria" w:hAnsi="Cambria"/>
          <w:sz w:val="22"/>
          <w:szCs w:val="22"/>
        </w:rPr>
        <w:t xml:space="preserve">Some Basin states have </w:t>
      </w:r>
      <w:r w:rsidR="00CD5C7D" w:rsidRPr="00A3226D">
        <w:rPr>
          <w:rFonts w:ascii="Cambria" w:hAnsi="Cambria"/>
          <w:sz w:val="22"/>
          <w:szCs w:val="22"/>
        </w:rPr>
        <w:t xml:space="preserve">also </w:t>
      </w:r>
      <w:r w:rsidR="006821F8" w:rsidRPr="00A3226D" w:rsidDel="00462640">
        <w:rPr>
          <w:rFonts w:ascii="Cambria" w:hAnsi="Cambria"/>
          <w:sz w:val="22"/>
          <w:szCs w:val="22"/>
        </w:rPr>
        <w:t xml:space="preserve">made progress to better clarify delivery rights for environmental water and are joint proponents on programs for enhanced environmental water delivery in the southern </w:t>
      </w:r>
      <w:r w:rsidR="009B5434" w:rsidRPr="00A3226D" w:rsidDel="00462640">
        <w:rPr>
          <w:rFonts w:ascii="Cambria" w:hAnsi="Cambria"/>
          <w:sz w:val="22"/>
          <w:szCs w:val="22"/>
        </w:rPr>
        <w:t>B</w:t>
      </w:r>
      <w:r w:rsidR="006821F8" w:rsidRPr="00A3226D" w:rsidDel="00462640">
        <w:rPr>
          <w:rFonts w:ascii="Cambria" w:hAnsi="Cambria"/>
          <w:sz w:val="22"/>
          <w:szCs w:val="22"/>
        </w:rPr>
        <w:t xml:space="preserve">asin. </w:t>
      </w:r>
    </w:p>
    <w:p w14:paraId="7AFB2F85" w14:textId="6DB350E0" w:rsidR="00C66F0F" w:rsidRPr="00C66F0F" w:rsidRDefault="00C66F0F" w:rsidP="00C66F0F">
      <w:pPr>
        <w:pStyle w:val="Heading3"/>
        <w:spacing w:before="0"/>
        <w:ind w:left="964" w:hanging="964"/>
        <w:rPr>
          <w:rFonts w:ascii="Calibri" w:eastAsia="Times New Roman" w:hAnsi="Calibri" w:cs="Times New Roman"/>
          <w:b/>
          <w:bCs/>
          <w:color w:val="auto"/>
          <w:sz w:val="36"/>
        </w:rPr>
      </w:pPr>
      <w:bookmarkStart w:id="18" w:name="_Toc90470966"/>
      <w:r>
        <w:rPr>
          <w:rFonts w:ascii="Calibri" w:eastAsia="Times New Roman" w:hAnsi="Calibri" w:cs="Times New Roman"/>
          <w:b/>
          <w:bCs/>
          <w:color w:val="auto"/>
          <w:sz w:val="36"/>
        </w:rPr>
        <w:t>3.7</w:t>
      </w:r>
      <w:r>
        <w:rPr>
          <w:rFonts w:ascii="Calibri" w:eastAsia="Times New Roman" w:hAnsi="Calibri" w:cs="Times New Roman"/>
          <w:b/>
          <w:bCs/>
          <w:color w:val="auto"/>
          <w:sz w:val="36"/>
        </w:rPr>
        <w:tab/>
      </w:r>
      <w:r w:rsidRPr="00C66F0F">
        <w:rPr>
          <w:rFonts w:ascii="Calibri" w:eastAsia="Times New Roman" w:hAnsi="Calibri" w:cs="Times New Roman"/>
          <w:b/>
          <w:bCs/>
          <w:color w:val="auto"/>
          <w:sz w:val="36"/>
        </w:rPr>
        <w:t>Improving the evidence base for water market policy: research and development</w:t>
      </w:r>
      <w:bookmarkEnd w:id="18"/>
    </w:p>
    <w:p w14:paraId="115B02F2" w14:textId="4B24E882" w:rsidR="00C66F0F" w:rsidRPr="00E32847" w:rsidRDefault="00C66F0F" w:rsidP="00283CA8">
      <w:pPr>
        <w:spacing w:after="200" w:line="276" w:lineRule="auto"/>
        <w:rPr>
          <w:rFonts w:ascii="Cambria" w:hAnsi="Cambria"/>
          <w:sz w:val="22"/>
          <w:szCs w:val="22"/>
        </w:rPr>
      </w:pPr>
      <w:r w:rsidRPr="00E32847">
        <w:rPr>
          <w:rFonts w:ascii="Cambria" w:hAnsi="Cambria"/>
          <w:sz w:val="22"/>
          <w:szCs w:val="22"/>
        </w:rPr>
        <w:t>Water management and policy is an increasingly complex area which relies heavily on the use of models of both hydrological systems (catchments, rivers, dams etc.) and economic systems (water markets, irrigation farms etc). The ACCC recommended that Basin governments</w:t>
      </w:r>
      <w:r w:rsidR="001F390E">
        <w:rPr>
          <w:rFonts w:ascii="Cambria" w:hAnsi="Cambria"/>
          <w:sz w:val="22"/>
          <w:szCs w:val="22"/>
        </w:rPr>
        <w:t xml:space="preserve"> </w:t>
      </w:r>
      <w:r w:rsidRPr="00E32847">
        <w:rPr>
          <w:rFonts w:ascii="Cambria" w:hAnsi="Cambria"/>
          <w:sz w:val="22"/>
          <w:szCs w:val="22"/>
        </w:rPr>
        <w:t>collaborat</w:t>
      </w:r>
      <w:r w:rsidR="001F390E">
        <w:rPr>
          <w:rFonts w:ascii="Cambria" w:hAnsi="Cambria"/>
          <w:sz w:val="22"/>
          <w:szCs w:val="22"/>
        </w:rPr>
        <w:t>e on</w:t>
      </w:r>
      <w:r w:rsidRPr="00E32847">
        <w:rPr>
          <w:rFonts w:ascii="Cambria" w:hAnsi="Cambria"/>
          <w:sz w:val="22"/>
          <w:szCs w:val="22"/>
        </w:rPr>
        <w:t xml:space="preserve"> research to better inform policy decisions and continued improvement and development of modelling tools.</w:t>
      </w:r>
    </w:p>
    <w:p w14:paraId="6B8CBAAE" w14:textId="1AA0FA4D" w:rsidR="00C66F0F" w:rsidRPr="00E32847" w:rsidRDefault="00C66F0F" w:rsidP="00283CA8">
      <w:pPr>
        <w:spacing w:after="200" w:line="276" w:lineRule="auto"/>
        <w:rPr>
          <w:rFonts w:ascii="Cambria" w:hAnsi="Cambria"/>
          <w:sz w:val="22"/>
          <w:szCs w:val="22"/>
        </w:rPr>
      </w:pPr>
      <w:r w:rsidRPr="00E32847">
        <w:rPr>
          <w:rFonts w:ascii="Cambria" w:hAnsi="Cambria"/>
          <w:sz w:val="22"/>
          <w:szCs w:val="22"/>
        </w:rPr>
        <w:t>In this regard, the Australian Government’s 2021-22 Budget included new funding to improve the MDBA’s hydrological modelling capacity, and other Basin governments are also continuing efforts to progress and improve hydrological modelling. This work, in combination with hydro-economic modelling capabilities, will be crucial to establishing a common modelling framework for assessing the effects of policy changes, climate impacts and other developments on Basin water markets and water management across the Basin more broadly.</w:t>
      </w:r>
      <w:r w:rsidR="00E33F6A">
        <w:rPr>
          <w:rFonts w:ascii="Cambria" w:hAnsi="Cambria"/>
          <w:sz w:val="22"/>
          <w:szCs w:val="22"/>
        </w:rPr>
        <w:t xml:space="preserve">  This will be important as the Basin’s physical systems experience more stress and a need for more effective risk management in policy, operational and commercial decision making.</w:t>
      </w:r>
    </w:p>
    <w:p w14:paraId="47C01D26" w14:textId="596B564D" w:rsidR="00FF4A36" w:rsidRPr="00C66F0F" w:rsidRDefault="00C66F0F" w:rsidP="00C66F0F">
      <w:pPr>
        <w:pStyle w:val="Heading2"/>
        <w:keepNext w:val="0"/>
        <w:keepLines w:val="0"/>
        <w:pageBreakBefore/>
        <w:spacing w:before="0" w:after="240"/>
        <w:ind w:left="720" w:hanging="720"/>
        <w:rPr>
          <w:rFonts w:asciiTheme="minorHAnsi" w:hAnsiTheme="minorHAnsi" w:cstheme="minorHAnsi"/>
          <w:color w:val="auto"/>
          <w:sz w:val="56"/>
          <w:szCs w:val="56"/>
        </w:rPr>
      </w:pPr>
      <w:bookmarkStart w:id="19" w:name="_Toc90470967"/>
      <w:r>
        <w:rPr>
          <w:rFonts w:asciiTheme="minorHAnsi" w:hAnsiTheme="minorHAnsi" w:cstheme="minorHAnsi"/>
          <w:color w:val="auto"/>
          <w:sz w:val="56"/>
          <w:szCs w:val="56"/>
        </w:rPr>
        <w:lastRenderedPageBreak/>
        <w:t>4</w:t>
      </w:r>
      <w:r>
        <w:rPr>
          <w:rFonts w:asciiTheme="minorHAnsi" w:hAnsiTheme="minorHAnsi" w:cstheme="minorHAnsi"/>
          <w:color w:val="auto"/>
          <w:sz w:val="56"/>
          <w:szCs w:val="56"/>
        </w:rPr>
        <w:tab/>
      </w:r>
      <w:r w:rsidR="000721C1">
        <w:rPr>
          <w:rFonts w:asciiTheme="minorHAnsi" w:hAnsiTheme="minorHAnsi" w:cstheme="minorHAnsi"/>
          <w:color w:val="auto"/>
          <w:sz w:val="56"/>
          <w:szCs w:val="56"/>
        </w:rPr>
        <w:t>New commitments: i</w:t>
      </w:r>
      <w:r w:rsidR="00CD5C7D" w:rsidRPr="00C66F0F">
        <w:rPr>
          <w:rFonts w:asciiTheme="minorHAnsi" w:hAnsiTheme="minorHAnsi" w:cstheme="minorHAnsi"/>
          <w:color w:val="auto"/>
          <w:sz w:val="56"/>
          <w:szCs w:val="56"/>
        </w:rPr>
        <w:t>n-</w:t>
      </w:r>
      <w:proofErr w:type="gramStart"/>
      <w:r w:rsidR="00CD5C7D" w:rsidRPr="00C66F0F">
        <w:rPr>
          <w:rFonts w:asciiTheme="minorHAnsi" w:hAnsiTheme="minorHAnsi" w:cstheme="minorHAnsi"/>
          <w:color w:val="auto"/>
          <w:sz w:val="56"/>
          <w:szCs w:val="56"/>
        </w:rPr>
        <w:t>principle</w:t>
      </w:r>
      <w:proofErr w:type="gramEnd"/>
      <w:r w:rsidR="00CD5C7D" w:rsidRPr="00C66F0F">
        <w:rPr>
          <w:rFonts w:asciiTheme="minorHAnsi" w:hAnsiTheme="minorHAnsi" w:cstheme="minorHAnsi"/>
          <w:color w:val="auto"/>
          <w:sz w:val="56"/>
          <w:szCs w:val="56"/>
        </w:rPr>
        <w:t xml:space="preserve"> </w:t>
      </w:r>
      <w:r w:rsidR="000721C1">
        <w:rPr>
          <w:rFonts w:asciiTheme="minorHAnsi" w:hAnsiTheme="minorHAnsi" w:cstheme="minorHAnsi"/>
          <w:color w:val="auto"/>
          <w:sz w:val="56"/>
          <w:szCs w:val="56"/>
        </w:rPr>
        <w:t>support</w:t>
      </w:r>
      <w:r w:rsidR="000721C1" w:rsidRPr="00C66F0F">
        <w:rPr>
          <w:rFonts w:asciiTheme="minorHAnsi" w:hAnsiTheme="minorHAnsi" w:cstheme="minorHAnsi"/>
          <w:color w:val="auto"/>
          <w:sz w:val="56"/>
          <w:szCs w:val="56"/>
        </w:rPr>
        <w:t xml:space="preserve"> </w:t>
      </w:r>
      <w:r w:rsidR="00CD5C7D" w:rsidRPr="00C66F0F">
        <w:rPr>
          <w:rFonts w:asciiTheme="minorHAnsi" w:hAnsiTheme="minorHAnsi" w:cstheme="minorHAnsi"/>
          <w:color w:val="auto"/>
          <w:sz w:val="56"/>
          <w:szCs w:val="56"/>
        </w:rPr>
        <w:t>to n</w:t>
      </w:r>
      <w:r w:rsidR="001B37C3" w:rsidRPr="00C66F0F">
        <w:rPr>
          <w:rFonts w:asciiTheme="minorHAnsi" w:hAnsiTheme="minorHAnsi" w:cstheme="minorHAnsi"/>
          <w:color w:val="auto"/>
          <w:sz w:val="56"/>
          <w:szCs w:val="56"/>
        </w:rPr>
        <w:t xml:space="preserve">ew </w:t>
      </w:r>
      <w:r w:rsidR="00CD5C7D" w:rsidRPr="00C66F0F">
        <w:rPr>
          <w:rFonts w:asciiTheme="minorHAnsi" w:hAnsiTheme="minorHAnsi" w:cstheme="minorHAnsi"/>
          <w:color w:val="auto"/>
          <w:sz w:val="56"/>
          <w:szCs w:val="56"/>
        </w:rPr>
        <w:t>water market reform measures</w:t>
      </w:r>
      <w:bookmarkEnd w:id="19"/>
      <w:r w:rsidR="00CD5C7D" w:rsidRPr="00C66F0F">
        <w:rPr>
          <w:rFonts w:asciiTheme="minorHAnsi" w:hAnsiTheme="minorHAnsi" w:cstheme="minorHAnsi"/>
          <w:color w:val="auto"/>
          <w:sz w:val="56"/>
          <w:szCs w:val="56"/>
        </w:rPr>
        <w:t xml:space="preserve"> </w:t>
      </w:r>
    </w:p>
    <w:p w14:paraId="4C5D078C" w14:textId="450E7B89" w:rsidR="00506A60" w:rsidRPr="00A3226D" w:rsidRDefault="00506A60" w:rsidP="00DE7EB7">
      <w:pPr>
        <w:spacing w:after="200" w:line="276" w:lineRule="auto"/>
        <w:rPr>
          <w:rFonts w:ascii="Cambria" w:hAnsi="Cambria"/>
          <w:sz w:val="22"/>
          <w:szCs w:val="22"/>
        </w:rPr>
      </w:pPr>
      <w:r w:rsidRPr="00A3226D">
        <w:rPr>
          <w:rFonts w:ascii="Cambria" w:hAnsi="Cambria"/>
          <w:sz w:val="22"/>
          <w:szCs w:val="22"/>
        </w:rPr>
        <w:t>Basin states have provided in-</w:t>
      </w:r>
      <w:proofErr w:type="gramStart"/>
      <w:r w:rsidRPr="00A3226D">
        <w:rPr>
          <w:rFonts w:ascii="Cambria" w:hAnsi="Cambria"/>
          <w:sz w:val="22"/>
          <w:szCs w:val="22"/>
        </w:rPr>
        <w:t>principle</w:t>
      </w:r>
      <w:proofErr w:type="gramEnd"/>
      <w:r w:rsidRPr="00A3226D">
        <w:rPr>
          <w:rFonts w:ascii="Cambria" w:hAnsi="Cambria"/>
          <w:sz w:val="22"/>
          <w:szCs w:val="22"/>
        </w:rPr>
        <w:t xml:space="preserve"> support to include the actions </w:t>
      </w:r>
      <w:r w:rsidR="00CA75BC">
        <w:rPr>
          <w:rFonts w:ascii="Cambria" w:hAnsi="Cambria"/>
          <w:sz w:val="22"/>
          <w:szCs w:val="22"/>
        </w:rPr>
        <w:t>outlined in sections 4.</w:t>
      </w:r>
      <w:r w:rsidRPr="00A3226D">
        <w:rPr>
          <w:rFonts w:ascii="Cambria" w:hAnsi="Cambria"/>
          <w:sz w:val="22"/>
          <w:szCs w:val="22"/>
        </w:rPr>
        <w:t xml:space="preserve">1 </w:t>
      </w:r>
      <w:r w:rsidR="00CD0C93" w:rsidRPr="00A3226D">
        <w:rPr>
          <w:rFonts w:ascii="Cambria" w:hAnsi="Cambria"/>
          <w:sz w:val="22"/>
          <w:szCs w:val="22"/>
        </w:rPr>
        <w:t xml:space="preserve">to </w:t>
      </w:r>
      <w:r w:rsidR="00CA75BC">
        <w:rPr>
          <w:rFonts w:ascii="Cambria" w:hAnsi="Cambria"/>
          <w:sz w:val="22"/>
          <w:szCs w:val="22"/>
        </w:rPr>
        <w:t>4.</w:t>
      </w:r>
      <w:r w:rsidRPr="00A3226D">
        <w:rPr>
          <w:rFonts w:ascii="Cambria" w:hAnsi="Cambria"/>
          <w:sz w:val="22"/>
          <w:szCs w:val="22"/>
        </w:rPr>
        <w:t xml:space="preserve">4 </w:t>
      </w:r>
      <w:r w:rsidR="00CA75BC">
        <w:rPr>
          <w:rFonts w:ascii="Cambria" w:hAnsi="Cambria"/>
          <w:sz w:val="22"/>
          <w:szCs w:val="22"/>
        </w:rPr>
        <w:t xml:space="preserve">below </w:t>
      </w:r>
      <w:r w:rsidRPr="00A3226D">
        <w:rPr>
          <w:rFonts w:ascii="Cambria" w:hAnsi="Cambria"/>
          <w:sz w:val="22"/>
          <w:szCs w:val="22"/>
        </w:rPr>
        <w:t xml:space="preserve">in the first tranche of implementation measures, with </w:t>
      </w:r>
      <w:r w:rsidR="00E33F6A">
        <w:rPr>
          <w:rFonts w:ascii="Cambria" w:hAnsi="Cambria"/>
          <w:sz w:val="22"/>
          <w:szCs w:val="22"/>
        </w:rPr>
        <w:t>further implementation details</w:t>
      </w:r>
      <w:r w:rsidRPr="00A3226D">
        <w:rPr>
          <w:rFonts w:ascii="Cambria" w:hAnsi="Cambria"/>
          <w:sz w:val="22"/>
          <w:szCs w:val="22"/>
        </w:rPr>
        <w:t xml:space="preserve"> to be </w:t>
      </w:r>
      <w:r w:rsidR="00E33F6A">
        <w:rPr>
          <w:rFonts w:ascii="Cambria" w:hAnsi="Cambria"/>
          <w:sz w:val="22"/>
          <w:szCs w:val="22"/>
        </w:rPr>
        <w:t>included</w:t>
      </w:r>
      <w:r w:rsidRPr="00A3226D">
        <w:rPr>
          <w:rFonts w:ascii="Cambria" w:hAnsi="Cambria"/>
          <w:sz w:val="22"/>
          <w:szCs w:val="22"/>
        </w:rPr>
        <w:t xml:space="preserve"> in the final roadmap. </w:t>
      </w:r>
      <w:r w:rsidR="00CA75BC">
        <w:rPr>
          <w:rFonts w:ascii="Cambria" w:hAnsi="Cambria"/>
          <w:sz w:val="22"/>
          <w:szCs w:val="22"/>
        </w:rPr>
        <w:t>The a</w:t>
      </w:r>
      <w:r w:rsidR="00CA75BC" w:rsidRPr="00A3226D">
        <w:rPr>
          <w:rFonts w:ascii="Cambria" w:hAnsi="Cambria"/>
          <w:sz w:val="22"/>
          <w:szCs w:val="22"/>
        </w:rPr>
        <w:t xml:space="preserve">ction </w:t>
      </w:r>
      <w:r w:rsidR="00CA75BC">
        <w:rPr>
          <w:rFonts w:ascii="Cambria" w:hAnsi="Cambria"/>
          <w:sz w:val="22"/>
          <w:szCs w:val="22"/>
        </w:rPr>
        <w:t>outlined in section 4.</w:t>
      </w:r>
      <w:r w:rsidRPr="00A3226D">
        <w:rPr>
          <w:rFonts w:ascii="Cambria" w:hAnsi="Cambria"/>
          <w:sz w:val="22"/>
          <w:szCs w:val="22"/>
        </w:rPr>
        <w:t xml:space="preserve">5 </w:t>
      </w:r>
      <w:r w:rsidR="00E33F6A">
        <w:rPr>
          <w:rFonts w:ascii="Cambria" w:hAnsi="Cambria"/>
          <w:sz w:val="22"/>
          <w:szCs w:val="22"/>
        </w:rPr>
        <w:t>could</w:t>
      </w:r>
      <w:r w:rsidRPr="00A3226D">
        <w:rPr>
          <w:rFonts w:ascii="Cambria" w:hAnsi="Cambria"/>
          <w:sz w:val="22"/>
          <w:szCs w:val="22"/>
        </w:rPr>
        <w:t xml:space="preserve"> be </w:t>
      </w:r>
      <w:r w:rsidRPr="004E2890">
        <w:rPr>
          <w:rFonts w:ascii="Cambria" w:eastAsia="Arial Narrow" w:hAnsi="Cambria" w:cs="Calibri"/>
          <w:sz w:val="22"/>
          <w:szCs w:val="22"/>
        </w:rPr>
        <w:t>implemented</w:t>
      </w:r>
      <w:r w:rsidRPr="00A3226D">
        <w:rPr>
          <w:rFonts w:ascii="Cambria" w:hAnsi="Cambria"/>
          <w:sz w:val="22"/>
          <w:szCs w:val="22"/>
        </w:rPr>
        <w:t xml:space="preserve"> by amending the Basin Plan at the next available opportunity.</w:t>
      </w:r>
    </w:p>
    <w:p w14:paraId="27F760D3" w14:textId="57A61ACC" w:rsidR="00506A60" w:rsidRPr="007F7212" w:rsidRDefault="007F7212" w:rsidP="007F7212">
      <w:pPr>
        <w:pStyle w:val="Heading3"/>
        <w:spacing w:before="0"/>
        <w:ind w:left="964" w:hanging="964"/>
        <w:rPr>
          <w:rFonts w:ascii="Calibri" w:eastAsia="Times New Roman" w:hAnsi="Calibri" w:cs="Times New Roman"/>
          <w:b/>
          <w:bCs/>
          <w:color w:val="auto"/>
          <w:sz w:val="36"/>
        </w:rPr>
      </w:pPr>
      <w:bookmarkStart w:id="20" w:name="_Toc90470968"/>
      <w:r>
        <w:rPr>
          <w:rFonts w:ascii="Calibri" w:eastAsia="Times New Roman" w:hAnsi="Calibri" w:cs="Times New Roman"/>
          <w:b/>
          <w:bCs/>
          <w:color w:val="auto"/>
          <w:sz w:val="36"/>
        </w:rPr>
        <w:t>4.1</w:t>
      </w:r>
      <w:r>
        <w:rPr>
          <w:rFonts w:ascii="Calibri" w:eastAsia="Times New Roman" w:hAnsi="Calibri" w:cs="Times New Roman"/>
          <w:b/>
          <w:bCs/>
          <w:color w:val="auto"/>
          <w:sz w:val="36"/>
        </w:rPr>
        <w:tab/>
      </w:r>
      <w:r w:rsidR="00506A60" w:rsidRPr="007F7212">
        <w:rPr>
          <w:rFonts w:ascii="Calibri" w:eastAsia="Times New Roman" w:hAnsi="Calibri" w:cs="Times New Roman"/>
          <w:b/>
          <w:bCs/>
          <w:color w:val="auto"/>
          <w:sz w:val="36"/>
        </w:rPr>
        <w:t xml:space="preserve">Introduce Commonwealth legislation to </w:t>
      </w:r>
      <w:r w:rsidR="0043604D">
        <w:rPr>
          <w:rFonts w:ascii="Calibri" w:eastAsia="Times New Roman" w:hAnsi="Calibri" w:cs="Times New Roman"/>
          <w:b/>
          <w:bCs/>
          <w:color w:val="auto"/>
          <w:sz w:val="36"/>
        </w:rPr>
        <w:t xml:space="preserve">establish </w:t>
      </w:r>
      <w:r w:rsidR="00506A60" w:rsidRPr="007F7212">
        <w:rPr>
          <w:rFonts w:ascii="Calibri" w:eastAsia="Times New Roman" w:hAnsi="Calibri" w:cs="Times New Roman"/>
          <w:b/>
          <w:bCs/>
          <w:color w:val="auto"/>
          <w:sz w:val="36"/>
        </w:rPr>
        <w:t xml:space="preserve">a Basin-wide </w:t>
      </w:r>
      <w:r w:rsidR="0043604D">
        <w:rPr>
          <w:rFonts w:ascii="Calibri" w:eastAsia="Times New Roman" w:hAnsi="Calibri" w:cs="Times New Roman"/>
          <w:b/>
          <w:bCs/>
          <w:color w:val="auto"/>
          <w:sz w:val="36"/>
        </w:rPr>
        <w:t xml:space="preserve">mandatory </w:t>
      </w:r>
      <w:r w:rsidR="00165BA2" w:rsidRPr="007F7212">
        <w:rPr>
          <w:rFonts w:ascii="Calibri" w:eastAsia="Times New Roman" w:hAnsi="Calibri" w:cs="Times New Roman"/>
          <w:b/>
          <w:bCs/>
          <w:color w:val="auto"/>
          <w:sz w:val="36"/>
        </w:rPr>
        <w:t xml:space="preserve">water market </w:t>
      </w:r>
      <w:r w:rsidR="00506A60" w:rsidRPr="007F7212">
        <w:rPr>
          <w:rFonts w:ascii="Calibri" w:eastAsia="Times New Roman" w:hAnsi="Calibri" w:cs="Times New Roman"/>
          <w:b/>
          <w:bCs/>
          <w:color w:val="auto"/>
          <w:sz w:val="36"/>
        </w:rPr>
        <w:t>intermediaries</w:t>
      </w:r>
      <w:r w:rsidR="00E4555C" w:rsidRPr="007F7212">
        <w:rPr>
          <w:rFonts w:ascii="Calibri" w:eastAsia="Times New Roman" w:hAnsi="Calibri" w:cs="Times New Roman"/>
          <w:b/>
          <w:bCs/>
          <w:color w:val="auto"/>
          <w:sz w:val="36"/>
        </w:rPr>
        <w:t>’</w:t>
      </w:r>
      <w:r w:rsidR="00506A60" w:rsidRPr="007F7212">
        <w:rPr>
          <w:rFonts w:ascii="Calibri" w:eastAsia="Times New Roman" w:hAnsi="Calibri" w:cs="Times New Roman"/>
          <w:b/>
          <w:bCs/>
          <w:color w:val="auto"/>
          <w:sz w:val="36"/>
        </w:rPr>
        <w:t xml:space="preserve"> code</w:t>
      </w:r>
      <w:bookmarkEnd w:id="20"/>
    </w:p>
    <w:p w14:paraId="34630BC7" w14:textId="0A82CF54" w:rsidR="00506A60" w:rsidRPr="00DE7EB7" w:rsidRDefault="00506A60" w:rsidP="00283CA8">
      <w:pPr>
        <w:spacing w:after="200" w:line="276" w:lineRule="auto"/>
        <w:rPr>
          <w:rFonts w:ascii="Cambria" w:hAnsi="Cambria"/>
          <w:sz w:val="22"/>
          <w:szCs w:val="22"/>
        </w:rPr>
      </w:pPr>
      <w:r w:rsidRPr="00AB594C">
        <w:rPr>
          <w:rFonts w:ascii="Cambria" w:hAnsi="Cambria"/>
          <w:sz w:val="22"/>
          <w:szCs w:val="22"/>
        </w:rPr>
        <w:t>Water market intermediaries, including brokers, play an important role in water markets. They help potential buyers and sellers assess the market, form price expectations, mak</w:t>
      </w:r>
      <w:r w:rsidRPr="007C2117">
        <w:rPr>
          <w:rFonts w:ascii="Cambria" w:hAnsi="Cambria"/>
          <w:sz w:val="22"/>
          <w:szCs w:val="22"/>
        </w:rPr>
        <w:t>e decisions</w:t>
      </w:r>
      <w:r w:rsidR="00663912" w:rsidRPr="00DE7EB7">
        <w:rPr>
          <w:rFonts w:ascii="Cambria" w:hAnsi="Cambria"/>
          <w:sz w:val="22"/>
          <w:szCs w:val="22"/>
        </w:rPr>
        <w:t xml:space="preserve"> </w:t>
      </w:r>
      <w:r w:rsidRPr="00DE7EB7">
        <w:rPr>
          <w:rFonts w:ascii="Cambria" w:hAnsi="Cambria"/>
          <w:sz w:val="22"/>
          <w:szCs w:val="22"/>
        </w:rPr>
        <w:t xml:space="preserve">and provide exchange platforms that facilitate direct trading between buyers and sellers. </w:t>
      </w:r>
    </w:p>
    <w:p w14:paraId="56C7A523" w14:textId="363C3C78" w:rsidR="00506A60" w:rsidRPr="007C2117" w:rsidRDefault="00506A60" w:rsidP="00283CA8">
      <w:pPr>
        <w:spacing w:after="200" w:line="276" w:lineRule="auto"/>
        <w:rPr>
          <w:rFonts w:ascii="Cambria" w:hAnsi="Cambria"/>
          <w:sz w:val="22"/>
          <w:szCs w:val="22"/>
        </w:rPr>
      </w:pPr>
      <w:r w:rsidRPr="00DE7EB7">
        <w:rPr>
          <w:rFonts w:ascii="Cambria" w:hAnsi="Cambria"/>
          <w:sz w:val="22"/>
          <w:szCs w:val="22"/>
        </w:rPr>
        <w:t>However, water market intermediaries are also currently subject to limited regulation to define the acceptable terms of the relationship between intermediaries and their clients. Regulatory safeguards that apply to intermediaries in other markets (</w:t>
      </w:r>
      <w:proofErr w:type="gramStart"/>
      <w:r w:rsidRPr="00DE7EB7">
        <w:rPr>
          <w:rFonts w:ascii="Cambria" w:hAnsi="Cambria"/>
          <w:sz w:val="22"/>
          <w:szCs w:val="22"/>
        </w:rPr>
        <w:t>e.g.</w:t>
      </w:r>
      <w:proofErr w:type="gramEnd"/>
      <w:r w:rsidRPr="00DE7EB7">
        <w:rPr>
          <w:rFonts w:ascii="Cambria" w:hAnsi="Cambria"/>
          <w:sz w:val="22"/>
          <w:szCs w:val="22"/>
        </w:rPr>
        <w:t xml:space="preserve"> real estate agents, stock brokers and stock and station agents) do not apply</w:t>
      </w:r>
      <w:r w:rsidR="00A9128D" w:rsidRPr="00DE7EB7">
        <w:rPr>
          <w:rFonts w:ascii="Cambria" w:hAnsi="Cambria"/>
          <w:sz w:val="22"/>
          <w:szCs w:val="22"/>
        </w:rPr>
        <w:t xml:space="preserve"> to water market intermediaries</w:t>
      </w:r>
      <w:r w:rsidRPr="00AB594C">
        <w:rPr>
          <w:rFonts w:ascii="Cambria" w:hAnsi="Cambria"/>
          <w:sz w:val="22"/>
          <w:szCs w:val="22"/>
        </w:rPr>
        <w:t xml:space="preserve">. </w:t>
      </w:r>
      <w:r w:rsidRPr="007C2117">
        <w:rPr>
          <w:rFonts w:ascii="Cambria" w:hAnsi="Cambria"/>
          <w:sz w:val="22"/>
          <w:szCs w:val="22"/>
        </w:rPr>
        <w:t>A voluntary code introduced by the Australian Water Brokers Association (AWBA) has not been broadly adopted by the industry and is generally viewed by stakeholders as ineffective.</w:t>
      </w:r>
      <w:r w:rsidR="00E56C88" w:rsidRPr="00CD566E">
        <w:rPr>
          <w:vertAlign w:val="superscript"/>
        </w:rPr>
        <w:footnoteReference w:id="10"/>
      </w:r>
      <w:r w:rsidRPr="00AB594C">
        <w:rPr>
          <w:rFonts w:ascii="Cambria" w:hAnsi="Cambria"/>
          <w:sz w:val="22"/>
          <w:szCs w:val="22"/>
        </w:rPr>
        <w:t xml:space="preserve"> </w:t>
      </w:r>
    </w:p>
    <w:p w14:paraId="50F6BB0E" w14:textId="1A5EF0C2" w:rsidR="00C2277B" w:rsidRPr="00AB594C" w:rsidRDefault="00506A60" w:rsidP="00283CA8">
      <w:pPr>
        <w:spacing w:after="200" w:line="276" w:lineRule="auto"/>
        <w:rPr>
          <w:rFonts w:ascii="Cambria" w:hAnsi="Cambria"/>
          <w:sz w:val="22"/>
          <w:szCs w:val="22"/>
        </w:rPr>
      </w:pPr>
      <w:r w:rsidRPr="00DE7EB7">
        <w:rPr>
          <w:rFonts w:ascii="Cambria" w:hAnsi="Cambria"/>
          <w:sz w:val="22"/>
          <w:szCs w:val="22"/>
        </w:rPr>
        <w:t>Throughout its investigations, the ACCC found the potential for, but little evidence of actual, misconduct by water market intermediaries. However, the lack of oversight has fuelled concerns about intermediary conduct and contributes to th</w:t>
      </w:r>
      <w:r w:rsidRPr="004F5669">
        <w:rPr>
          <w:rFonts w:ascii="Cambria" w:hAnsi="Cambria"/>
          <w:sz w:val="22"/>
          <w:szCs w:val="22"/>
        </w:rPr>
        <w:t>e</w:t>
      </w:r>
      <w:r w:rsidRPr="001344D9">
        <w:rPr>
          <w:rFonts w:ascii="Cambria" w:hAnsi="Cambria"/>
          <w:sz w:val="22"/>
          <w:szCs w:val="22"/>
        </w:rPr>
        <w:t xml:space="preserve"> </w:t>
      </w:r>
      <w:r w:rsidRPr="00D00964">
        <w:rPr>
          <w:rFonts w:ascii="Cambria" w:hAnsi="Cambria"/>
          <w:sz w:val="22"/>
          <w:szCs w:val="22"/>
        </w:rPr>
        <w:t>lack of</w:t>
      </w:r>
      <w:r w:rsidRPr="007C1BF1">
        <w:rPr>
          <w:rFonts w:ascii="Cambria" w:hAnsi="Cambria"/>
          <w:sz w:val="22"/>
          <w:szCs w:val="22"/>
        </w:rPr>
        <w:t xml:space="preserve"> confidence in water markets often expressed by stakeholders. </w:t>
      </w:r>
      <w:r w:rsidR="00A43DF9" w:rsidRPr="00637EBF">
        <w:rPr>
          <w:rFonts w:ascii="Cambria" w:hAnsi="Cambria"/>
          <w:sz w:val="22"/>
          <w:szCs w:val="22"/>
        </w:rPr>
        <w:t>The ACCC therefore recommended an intermediary code be established as a proportionate response to ensure traders can have confidence in intermediaries, without undue regulatory burden for i</w:t>
      </w:r>
      <w:r w:rsidR="00A43DF9" w:rsidRPr="001A194D">
        <w:rPr>
          <w:rFonts w:ascii="Cambria" w:hAnsi="Cambria"/>
          <w:sz w:val="22"/>
          <w:szCs w:val="22"/>
        </w:rPr>
        <w:t>ntermediaries.</w:t>
      </w:r>
      <w:r w:rsidR="00A43DF9" w:rsidRPr="00CD566E">
        <w:rPr>
          <w:vertAlign w:val="superscript"/>
        </w:rPr>
        <w:footnoteReference w:id="11"/>
      </w:r>
      <w:r w:rsidR="002545D5">
        <w:rPr>
          <w:rFonts w:ascii="Cambria" w:hAnsi="Cambria"/>
          <w:sz w:val="22"/>
          <w:szCs w:val="22"/>
        </w:rPr>
        <w:t xml:space="preserve">  This would bring the disciplines existing in other trading markets to water market intermediaries.</w:t>
      </w:r>
    </w:p>
    <w:p w14:paraId="4417135F" w14:textId="4747047D" w:rsidR="00506A60" w:rsidRPr="008F64CD" w:rsidRDefault="00506A60" w:rsidP="00283CA8">
      <w:pPr>
        <w:spacing w:after="200" w:line="276" w:lineRule="auto"/>
        <w:rPr>
          <w:rFonts w:ascii="Cambria" w:hAnsi="Cambria"/>
          <w:sz w:val="22"/>
          <w:szCs w:val="22"/>
        </w:rPr>
      </w:pPr>
      <w:r w:rsidRPr="007C2117">
        <w:rPr>
          <w:rFonts w:ascii="Cambria" w:hAnsi="Cambria"/>
          <w:sz w:val="22"/>
          <w:szCs w:val="22"/>
        </w:rPr>
        <w:t xml:space="preserve">The AWBA now considers that enhanced regulation </w:t>
      </w:r>
      <w:r w:rsidR="002545D5">
        <w:rPr>
          <w:rFonts w:ascii="Cambria" w:hAnsi="Cambria"/>
          <w:sz w:val="22"/>
          <w:szCs w:val="22"/>
        </w:rPr>
        <w:t xml:space="preserve">of this kind </w:t>
      </w:r>
      <w:r w:rsidRPr="007C2117">
        <w:rPr>
          <w:rFonts w:ascii="Cambria" w:hAnsi="Cambria"/>
          <w:sz w:val="22"/>
          <w:szCs w:val="22"/>
        </w:rPr>
        <w:t xml:space="preserve">is a priority to support the reputation </w:t>
      </w:r>
      <w:r w:rsidR="002545D5">
        <w:rPr>
          <w:rFonts w:ascii="Cambria" w:hAnsi="Cambria"/>
          <w:sz w:val="22"/>
          <w:szCs w:val="22"/>
        </w:rPr>
        <w:t xml:space="preserve">and professional standards </w:t>
      </w:r>
      <w:r w:rsidRPr="007C2117">
        <w:rPr>
          <w:rFonts w:ascii="Cambria" w:hAnsi="Cambria"/>
          <w:sz w:val="22"/>
          <w:szCs w:val="22"/>
        </w:rPr>
        <w:t>of intermediaries</w:t>
      </w:r>
      <w:r w:rsidRPr="00DE7EB7">
        <w:rPr>
          <w:rFonts w:ascii="Cambria" w:hAnsi="Cambria"/>
          <w:sz w:val="22"/>
          <w:szCs w:val="22"/>
        </w:rPr>
        <w:t xml:space="preserve">. Regardless of the actual </w:t>
      </w:r>
      <w:r w:rsidR="002545D5">
        <w:rPr>
          <w:rFonts w:ascii="Cambria" w:hAnsi="Cambria"/>
          <w:sz w:val="22"/>
          <w:szCs w:val="22"/>
        </w:rPr>
        <w:t xml:space="preserve">current </w:t>
      </w:r>
      <w:r w:rsidRPr="00DE7EB7">
        <w:rPr>
          <w:rFonts w:ascii="Cambria" w:hAnsi="Cambria"/>
          <w:sz w:val="22"/>
          <w:szCs w:val="22"/>
        </w:rPr>
        <w:t>extent of unconscionable conduct by intermediari</w:t>
      </w:r>
      <w:r w:rsidRPr="004F5669">
        <w:rPr>
          <w:rFonts w:ascii="Cambria" w:hAnsi="Cambria"/>
          <w:sz w:val="22"/>
          <w:szCs w:val="22"/>
        </w:rPr>
        <w:t>e</w:t>
      </w:r>
      <w:r w:rsidRPr="001344D9">
        <w:rPr>
          <w:rFonts w:ascii="Cambria" w:hAnsi="Cambria"/>
          <w:sz w:val="22"/>
          <w:szCs w:val="22"/>
        </w:rPr>
        <w:t>s, inc</w:t>
      </w:r>
      <w:r w:rsidRPr="00D00964">
        <w:rPr>
          <w:rFonts w:ascii="Cambria" w:hAnsi="Cambria"/>
          <w:sz w:val="22"/>
          <w:szCs w:val="22"/>
        </w:rPr>
        <w:t xml:space="preserve">reased </w:t>
      </w:r>
      <w:proofErr w:type="gramStart"/>
      <w:r w:rsidRPr="00D00964">
        <w:rPr>
          <w:rFonts w:ascii="Cambria" w:hAnsi="Cambria"/>
          <w:sz w:val="22"/>
          <w:szCs w:val="22"/>
        </w:rPr>
        <w:t>regulation</w:t>
      </w:r>
      <w:proofErr w:type="gramEnd"/>
      <w:r w:rsidRPr="00D00964">
        <w:rPr>
          <w:rFonts w:ascii="Cambria" w:hAnsi="Cambria"/>
          <w:sz w:val="22"/>
          <w:szCs w:val="22"/>
        </w:rPr>
        <w:t xml:space="preserve"> </w:t>
      </w:r>
      <w:r w:rsidR="002545D5">
        <w:rPr>
          <w:rFonts w:ascii="Cambria" w:hAnsi="Cambria"/>
          <w:sz w:val="22"/>
          <w:szCs w:val="22"/>
        </w:rPr>
        <w:t xml:space="preserve">and clarity of the obligations of those providing these services </w:t>
      </w:r>
      <w:r w:rsidRPr="00D00964">
        <w:rPr>
          <w:rFonts w:ascii="Cambria" w:hAnsi="Cambria"/>
          <w:sz w:val="22"/>
          <w:szCs w:val="22"/>
        </w:rPr>
        <w:t xml:space="preserve">is </w:t>
      </w:r>
      <w:r w:rsidR="002545D5">
        <w:rPr>
          <w:rFonts w:ascii="Cambria" w:hAnsi="Cambria"/>
          <w:sz w:val="22"/>
          <w:szCs w:val="22"/>
        </w:rPr>
        <w:t>seen</w:t>
      </w:r>
      <w:r w:rsidRPr="00D00964">
        <w:rPr>
          <w:rFonts w:ascii="Cambria" w:hAnsi="Cambria"/>
          <w:sz w:val="22"/>
          <w:szCs w:val="22"/>
        </w:rPr>
        <w:t xml:space="preserve"> as a priority by Basin states, irrigator organisations and businesses. </w:t>
      </w:r>
    </w:p>
    <w:p w14:paraId="444EED51" w14:textId="2F4F318C" w:rsidR="00506A60" w:rsidRPr="00C859E6" w:rsidRDefault="00506A60" w:rsidP="00283CA8">
      <w:pPr>
        <w:spacing w:after="200" w:line="276" w:lineRule="auto"/>
        <w:rPr>
          <w:rFonts w:ascii="Cambria" w:hAnsi="Cambria"/>
          <w:sz w:val="22"/>
          <w:szCs w:val="22"/>
        </w:rPr>
      </w:pPr>
      <w:r w:rsidRPr="00443D77">
        <w:rPr>
          <w:rFonts w:ascii="Cambria" w:hAnsi="Cambria"/>
          <w:sz w:val="22"/>
          <w:szCs w:val="22"/>
        </w:rPr>
        <w:lastRenderedPageBreak/>
        <w:t>As a result, Basin states have provided in-</w:t>
      </w:r>
      <w:proofErr w:type="gramStart"/>
      <w:r w:rsidRPr="00443D77">
        <w:rPr>
          <w:rFonts w:ascii="Cambria" w:hAnsi="Cambria"/>
          <w:sz w:val="22"/>
          <w:szCs w:val="22"/>
        </w:rPr>
        <w:t>principle</w:t>
      </w:r>
      <w:proofErr w:type="gramEnd"/>
      <w:r w:rsidRPr="00443D77">
        <w:rPr>
          <w:rFonts w:ascii="Cambria" w:hAnsi="Cambria"/>
          <w:sz w:val="22"/>
          <w:szCs w:val="22"/>
        </w:rPr>
        <w:t xml:space="preserve"> support for Commonwealth legislation to be introduced as part of the first tranche of implementation measures to implement an intermediaries code, applicable at least across the Basin. Imposing a new cod</w:t>
      </w:r>
      <w:r w:rsidRPr="00EE3CBE">
        <w:rPr>
          <w:rFonts w:ascii="Cambria" w:hAnsi="Cambria"/>
          <w:sz w:val="22"/>
          <w:szCs w:val="22"/>
        </w:rPr>
        <w:t xml:space="preserve">e of conduct on water market intermediaries will improve the integrity of and trust in water market intermediaries, giving users of those </w:t>
      </w:r>
      <w:proofErr w:type="gramStart"/>
      <w:r w:rsidRPr="00EE3CBE">
        <w:rPr>
          <w:rFonts w:ascii="Cambria" w:hAnsi="Cambria"/>
          <w:sz w:val="22"/>
          <w:szCs w:val="22"/>
        </w:rPr>
        <w:t>services</w:t>
      </w:r>
      <w:proofErr w:type="gramEnd"/>
      <w:r w:rsidRPr="00EE3CBE">
        <w:rPr>
          <w:rFonts w:ascii="Cambria" w:hAnsi="Cambria"/>
          <w:sz w:val="22"/>
          <w:szCs w:val="22"/>
        </w:rPr>
        <w:t xml:space="preserve"> greater protection and confidence, helping to increase participation in water markets. A Commonwealth </w:t>
      </w:r>
      <w:r w:rsidR="00450168">
        <w:rPr>
          <w:rFonts w:ascii="Cambria" w:hAnsi="Cambria"/>
          <w:sz w:val="22"/>
          <w:szCs w:val="22"/>
        </w:rPr>
        <w:t>implemented</w:t>
      </w:r>
      <w:r w:rsidRPr="00EE3CBE">
        <w:rPr>
          <w:rFonts w:ascii="Cambria" w:hAnsi="Cambria"/>
          <w:sz w:val="22"/>
          <w:szCs w:val="22"/>
        </w:rPr>
        <w:t xml:space="preserve"> cod</w:t>
      </w:r>
      <w:r w:rsidRPr="00C859E6">
        <w:rPr>
          <w:rFonts w:ascii="Cambria" w:hAnsi="Cambria"/>
          <w:sz w:val="22"/>
          <w:szCs w:val="22"/>
        </w:rPr>
        <w:t xml:space="preserve">e will minimise the duplication of administrative costs and provide a consistent level of protection to water users using intermediary services across the Basin. </w:t>
      </w:r>
    </w:p>
    <w:p w14:paraId="22F3130C" w14:textId="0FF86B1B" w:rsidR="00506A60" w:rsidRPr="00C859E6" w:rsidRDefault="00506A60" w:rsidP="00283CA8">
      <w:pPr>
        <w:spacing w:after="200" w:line="276" w:lineRule="auto"/>
        <w:rPr>
          <w:rFonts w:ascii="Cambria" w:hAnsi="Cambria"/>
          <w:sz w:val="22"/>
          <w:szCs w:val="22"/>
        </w:rPr>
      </w:pPr>
      <w:r w:rsidRPr="00C859E6">
        <w:rPr>
          <w:rFonts w:ascii="Cambria" w:hAnsi="Cambria"/>
          <w:sz w:val="22"/>
          <w:szCs w:val="22"/>
        </w:rPr>
        <w:t>Basin state support for this action is subject to</w:t>
      </w:r>
      <w:r w:rsidR="00450168">
        <w:rPr>
          <w:rFonts w:ascii="Cambria" w:hAnsi="Cambria"/>
          <w:sz w:val="22"/>
          <w:szCs w:val="22"/>
        </w:rPr>
        <w:t xml:space="preserve"> resolving</w:t>
      </w:r>
      <w:r w:rsidRPr="00C859E6">
        <w:rPr>
          <w:rFonts w:ascii="Cambria" w:hAnsi="Cambria"/>
          <w:sz w:val="22"/>
          <w:szCs w:val="22"/>
        </w:rPr>
        <w:t xml:space="preserve"> implementation mechanisms and details being worked out in developing the roadmap. </w:t>
      </w:r>
      <w:r w:rsidR="00B2506A" w:rsidRPr="00C859E6">
        <w:rPr>
          <w:rFonts w:ascii="Cambria" w:hAnsi="Cambria"/>
          <w:sz w:val="22"/>
          <w:szCs w:val="22"/>
        </w:rPr>
        <w:t>These include:</w:t>
      </w:r>
    </w:p>
    <w:p w14:paraId="622E65EF" w14:textId="05DA9DEB" w:rsidR="00506A60" w:rsidRPr="00BF0483" w:rsidRDefault="00506A60" w:rsidP="00283CA8">
      <w:pPr>
        <w:pStyle w:val="ListParagraph"/>
        <w:numPr>
          <w:ilvl w:val="0"/>
          <w:numId w:val="6"/>
        </w:numPr>
        <w:spacing w:after="200" w:line="276" w:lineRule="auto"/>
        <w:ind w:left="357" w:hanging="357"/>
        <w:rPr>
          <w:rFonts w:ascii="Cambria" w:eastAsia="Calibri" w:hAnsi="Cambria" w:cs="Calibri"/>
          <w:color w:val="000000" w:themeColor="text1"/>
          <w:sz w:val="22"/>
          <w:szCs w:val="22"/>
          <w:lang w:eastAsia="en-AU"/>
        </w:rPr>
      </w:pPr>
      <w:r w:rsidRPr="00BF0483">
        <w:rPr>
          <w:rFonts w:ascii="Cambria" w:eastAsia="Calibri" w:hAnsi="Cambria" w:cs="Calibri"/>
          <w:color w:val="000000" w:themeColor="text1"/>
          <w:sz w:val="22"/>
          <w:szCs w:val="22"/>
          <w:lang w:eastAsia="en-AU"/>
        </w:rPr>
        <w:t xml:space="preserve">the extent to which irrigation </w:t>
      </w:r>
      <w:r w:rsidRPr="00283CA8">
        <w:rPr>
          <w:rFonts w:ascii="Cambria" w:hAnsi="Cambria"/>
          <w:sz w:val="22"/>
          <w:szCs w:val="22"/>
        </w:rPr>
        <w:t>infrastructure</w:t>
      </w:r>
      <w:r w:rsidRPr="00BF0483">
        <w:rPr>
          <w:rFonts w:ascii="Cambria" w:eastAsia="Calibri" w:hAnsi="Cambria" w:cs="Calibri"/>
          <w:color w:val="000000" w:themeColor="text1"/>
          <w:sz w:val="22"/>
          <w:szCs w:val="22"/>
          <w:lang w:eastAsia="en-AU"/>
        </w:rPr>
        <w:t xml:space="preserve"> operators provide water market intermediary </w:t>
      </w:r>
      <w:r w:rsidRPr="00BF0483">
        <w:rPr>
          <w:rFonts w:ascii="Cambria" w:hAnsi="Cambria"/>
          <w:sz w:val="22"/>
          <w:szCs w:val="22"/>
        </w:rPr>
        <w:t>services</w:t>
      </w:r>
      <w:r w:rsidRPr="00BF0483">
        <w:rPr>
          <w:rFonts w:ascii="Cambria" w:eastAsia="Calibri" w:hAnsi="Cambria" w:cs="Calibri"/>
          <w:color w:val="000000" w:themeColor="text1"/>
          <w:sz w:val="22"/>
          <w:szCs w:val="22"/>
          <w:lang w:eastAsia="en-AU"/>
        </w:rPr>
        <w:t xml:space="preserve">, and how these </w:t>
      </w:r>
      <w:r w:rsidRPr="00283CA8">
        <w:rPr>
          <w:rFonts w:ascii="Cambria" w:hAnsi="Cambria"/>
          <w:sz w:val="22"/>
          <w:szCs w:val="22"/>
        </w:rPr>
        <w:t>operators</w:t>
      </w:r>
      <w:r w:rsidRPr="00BF0483">
        <w:rPr>
          <w:rFonts w:ascii="Cambria" w:eastAsia="Calibri" w:hAnsi="Cambria" w:cs="Calibri"/>
          <w:color w:val="000000" w:themeColor="text1"/>
          <w:sz w:val="22"/>
          <w:szCs w:val="22"/>
          <w:lang w:eastAsia="en-AU"/>
        </w:rPr>
        <w:t xml:space="preserve"> should be subject to the mandatory code </w:t>
      </w:r>
    </w:p>
    <w:p w14:paraId="290972F8" w14:textId="5687AA66" w:rsidR="00506A60" w:rsidRPr="00BF0483" w:rsidRDefault="00450168" w:rsidP="00283CA8">
      <w:pPr>
        <w:pStyle w:val="ListParagraph"/>
        <w:numPr>
          <w:ilvl w:val="0"/>
          <w:numId w:val="6"/>
        </w:numPr>
        <w:spacing w:after="200" w:line="276" w:lineRule="auto"/>
        <w:ind w:left="357" w:hanging="357"/>
        <w:rPr>
          <w:rFonts w:ascii="Cambria" w:eastAsia="Calibri" w:hAnsi="Cambria" w:cs="Calibri"/>
          <w:color w:val="000000" w:themeColor="text1"/>
          <w:sz w:val="22"/>
          <w:szCs w:val="22"/>
          <w:lang w:eastAsia="en-AU"/>
        </w:rPr>
      </w:pPr>
      <w:r>
        <w:rPr>
          <w:rFonts w:ascii="Cambria" w:eastAsia="Calibri" w:hAnsi="Cambria" w:cs="Calibri"/>
          <w:color w:val="000000" w:themeColor="text1"/>
          <w:sz w:val="22"/>
          <w:szCs w:val="22"/>
          <w:lang w:eastAsia="en-AU"/>
        </w:rPr>
        <w:t xml:space="preserve">responsibility for </w:t>
      </w:r>
      <w:r w:rsidR="00776C8E">
        <w:rPr>
          <w:rFonts w:ascii="Cambria" w:eastAsia="Calibri" w:hAnsi="Cambria" w:cs="Calibri"/>
          <w:color w:val="000000" w:themeColor="text1"/>
          <w:sz w:val="22"/>
          <w:szCs w:val="22"/>
          <w:lang w:eastAsia="en-AU"/>
        </w:rPr>
        <w:t>regulat</w:t>
      </w:r>
      <w:r>
        <w:rPr>
          <w:rFonts w:ascii="Cambria" w:eastAsia="Calibri" w:hAnsi="Cambria" w:cs="Calibri"/>
          <w:color w:val="000000" w:themeColor="text1"/>
          <w:sz w:val="22"/>
          <w:szCs w:val="22"/>
          <w:lang w:eastAsia="en-AU"/>
        </w:rPr>
        <w:t>ing</w:t>
      </w:r>
      <w:r w:rsidR="00776C8E">
        <w:rPr>
          <w:rFonts w:ascii="Cambria" w:eastAsia="Calibri" w:hAnsi="Cambria" w:cs="Calibri"/>
          <w:color w:val="000000" w:themeColor="text1"/>
          <w:sz w:val="22"/>
          <w:szCs w:val="22"/>
          <w:lang w:eastAsia="en-AU"/>
        </w:rPr>
        <w:t xml:space="preserve"> compliance with </w:t>
      </w:r>
      <w:r w:rsidR="00506A60" w:rsidRPr="00BF0483">
        <w:rPr>
          <w:rFonts w:ascii="Cambria" w:eastAsia="Calibri" w:hAnsi="Cambria" w:cs="Calibri"/>
          <w:color w:val="000000" w:themeColor="text1"/>
          <w:sz w:val="22"/>
          <w:szCs w:val="22"/>
          <w:lang w:eastAsia="en-AU"/>
        </w:rPr>
        <w:t xml:space="preserve">the intermediaries’ </w:t>
      </w:r>
      <w:r w:rsidR="00506A60" w:rsidRPr="00283CA8">
        <w:rPr>
          <w:rFonts w:ascii="Cambria" w:hAnsi="Cambria"/>
          <w:sz w:val="22"/>
          <w:szCs w:val="22"/>
        </w:rPr>
        <w:t>code</w:t>
      </w:r>
      <w:r w:rsidR="00506A60" w:rsidRPr="00BF0483">
        <w:rPr>
          <w:rFonts w:ascii="Cambria" w:eastAsia="Calibri" w:hAnsi="Cambria" w:cs="Calibri"/>
          <w:color w:val="000000" w:themeColor="text1"/>
          <w:sz w:val="22"/>
          <w:szCs w:val="22"/>
          <w:lang w:eastAsia="en-AU"/>
        </w:rPr>
        <w:t xml:space="preserve">, and what (if any) additional powers or regulatory </w:t>
      </w:r>
      <w:r w:rsidR="00506A60" w:rsidRPr="00283CA8">
        <w:rPr>
          <w:rFonts w:ascii="Cambria" w:hAnsi="Cambria"/>
          <w:sz w:val="22"/>
          <w:szCs w:val="22"/>
        </w:rPr>
        <w:t>tools</w:t>
      </w:r>
      <w:r w:rsidR="00506A60" w:rsidRPr="00BF0483">
        <w:rPr>
          <w:rFonts w:ascii="Cambria" w:eastAsia="Calibri" w:hAnsi="Cambria" w:cs="Calibri"/>
          <w:color w:val="000000" w:themeColor="text1"/>
          <w:sz w:val="22"/>
          <w:szCs w:val="22"/>
          <w:lang w:eastAsia="en-AU"/>
        </w:rPr>
        <w:t xml:space="preserve"> are required to </w:t>
      </w:r>
      <w:r>
        <w:rPr>
          <w:rFonts w:ascii="Cambria" w:eastAsia="Calibri" w:hAnsi="Cambria" w:cs="Calibri"/>
          <w:color w:val="000000" w:themeColor="text1"/>
          <w:sz w:val="22"/>
          <w:szCs w:val="22"/>
          <w:lang w:eastAsia="en-AU"/>
        </w:rPr>
        <w:t>achieve</w:t>
      </w:r>
      <w:r w:rsidR="00506A60" w:rsidRPr="00BF0483">
        <w:rPr>
          <w:rFonts w:ascii="Cambria" w:eastAsia="Calibri" w:hAnsi="Cambria" w:cs="Calibri"/>
          <w:color w:val="000000" w:themeColor="text1"/>
          <w:sz w:val="22"/>
          <w:szCs w:val="22"/>
          <w:lang w:eastAsia="en-AU"/>
        </w:rPr>
        <w:t xml:space="preserve"> effective compliance and enforcement</w:t>
      </w:r>
    </w:p>
    <w:p w14:paraId="6A8C5235" w14:textId="28415A53" w:rsidR="00506A60" w:rsidRPr="00BF0483" w:rsidRDefault="00506A60" w:rsidP="00283CA8">
      <w:pPr>
        <w:pStyle w:val="ListParagraph"/>
        <w:numPr>
          <w:ilvl w:val="0"/>
          <w:numId w:val="6"/>
        </w:numPr>
        <w:spacing w:after="200" w:line="276" w:lineRule="auto"/>
        <w:ind w:left="357" w:hanging="357"/>
        <w:rPr>
          <w:rFonts w:ascii="Cambria" w:eastAsia="Calibri" w:hAnsi="Cambria" w:cs="Calibri"/>
          <w:color w:val="000000" w:themeColor="text1"/>
          <w:sz w:val="22"/>
          <w:szCs w:val="22"/>
          <w:lang w:eastAsia="en-AU"/>
        </w:rPr>
      </w:pPr>
      <w:r w:rsidRPr="00BF0483">
        <w:rPr>
          <w:rFonts w:ascii="Cambria" w:hAnsi="Cambria"/>
          <w:sz w:val="22"/>
          <w:szCs w:val="22"/>
        </w:rPr>
        <w:t>whether</w:t>
      </w:r>
      <w:r w:rsidRPr="00BF0483">
        <w:rPr>
          <w:rFonts w:ascii="Cambria" w:eastAsia="Calibri" w:hAnsi="Cambria" w:cs="Calibri"/>
          <w:color w:val="000000" w:themeColor="text1"/>
          <w:sz w:val="22"/>
          <w:szCs w:val="22"/>
          <w:lang w:eastAsia="en-AU"/>
        </w:rPr>
        <w:t xml:space="preserve"> the mandatory Commonwealth water market intermediaries’ code should have broader </w:t>
      </w:r>
      <w:r w:rsidRPr="00283CA8">
        <w:rPr>
          <w:rFonts w:ascii="Cambria" w:hAnsi="Cambria"/>
          <w:sz w:val="22"/>
          <w:szCs w:val="22"/>
        </w:rPr>
        <w:t>applicability</w:t>
      </w:r>
      <w:r w:rsidRPr="00BF0483">
        <w:rPr>
          <w:rFonts w:ascii="Cambria" w:eastAsia="Calibri" w:hAnsi="Cambria" w:cs="Calibri"/>
          <w:color w:val="000000" w:themeColor="text1"/>
          <w:sz w:val="22"/>
          <w:szCs w:val="22"/>
          <w:lang w:eastAsia="en-AU"/>
        </w:rPr>
        <w:t xml:space="preserve"> beyond the Basin, and if so, on what basis, and</w:t>
      </w:r>
    </w:p>
    <w:p w14:paraId="243AAB59" w14:textId="1165AC43" w:rsidR="00506A60" w:rsidRPr="00BF0483" w:rsidRDefault="00450168" w:rsidP="00283CA8">
      <w:pPr>
        <w:pStyle w:val="ListParagraph"/>
        <w:numPr>
          <w:ilvl w:val="0"/>
          <w:numId w:val="6"/>
        </w:numPr>
        <w:spacing w:after="200" w:line="276" w:lineRule="auto"/>
        <w:ind w:left="357" w:hanging="357"/>
        <w:rPr>
          <w:rFonts w:ascii="Cambria" w:eastAsia="Calibri" w:hAnsi="Cambria" w:cs="Calibri"/>
          <w:color w:val="000000" w:themeColor="text1"/>
          <w:sz w:val="22"/>
          <w:szCs w:val="22"/>
          <w:lang w:eastAsia="en-AU"/>
        </w:rPr>
      </w:pPr>
      <w:r>
        <w:rPr>
          <w:rFonts w:ascii="Cambria" w:hAnsi="Cambria"/>
          <w:sz w:val="22"/>
          <w:szCs w:val="22"/>
        </w:rPr>
        <w:t>resourcing</w:t>
      </w:r>
      <w:r w:rsidR="00506A60" w:rsidRPr="00BF0483">
        <w:rPr>
          <w:rFonts w:ascii="Cambria" w:eastAsia="Calibri" w:hAnsi="Cambria" w:cs="Calibri"/>
          <w:color w:val="000000" w:themeColor="text1"/>
          <w:sz w:val="22"/>
          <w:szCs w:val="22"/>
          <w:lang w:eastAsia="en-AU"/>
        </w:rPr>
        <w:t xml:space="preserve"> </w:t>
      </w:r>
      <w:r w:rsidR="00506A60" w:rsidRPr="00283CA8">
        <w:rPr>
          <w:rFonts w:ascii="Cambria" w:hAnsi="Cambria"/>
          <w:sz w:val="22"/>
          <w:szCs w:val="22"/>
        </w:rPr>
        <w:t>arrangements</w:t>
      </w:r>
      <w:r w:rsidR="00506A60" w:rsidRPr="00BF0483">
        <w:rPr>
          <w:rFonts w:ascii="Cambria" w:eastAsia="Calibri" w:hAnsi="Cambria" w:cs="Calibri"/>
          <w:color w:val="000000" w:themeColor="text1"/>
          <w:sz w:val="22"/>
          <w:szCs w:val="22"/>
          <w:lang w:eastAsia="en-AU"/>
        </w:rPr>
        <w:t xml:space="preserve">. </w:t>
      </w:r>
    </w:p>
    <w:p w14:paraId="6C71409A" w14:textId="694B02E2" w:rsidR="00CF034E" w:rsidRDefault="00450168" w:rsidP="004E2890">
      <w:pPr>
        <w:spacing w:after="200" w:line="276" w:lineRule="auto"/>
        <w:rPr>
          <w:rFonts w:ascii="Cambria" w:hAnsi="Cambria"/>
          <w:sz w:val="22"/>
          <w:szCs w:val="22"/>
        </w:rPr>
      </w:pPr>
      <w:r>
        <w:rPr>
          <w:rFonts w:ascii="Cambria" w:hAnsi="Cambria"/>
          <w:sz w:val="22"/>
          <w:szCs w:val="22"/>
        </w:rPr>
        <w:t xml:space="preserve">As with </w:t>
      </w:r>
      <w:proofErr w:type="gramStart"/>
      <w:r>
        <w:rPr>
          <w:rFonts w:ascii="Cambria" w:hAnsi="Cambria"/>
          <w:sz w:val="22"/>
          <w:szCs w:val="22"/>
        </w:rPr>
        <w:t>a number of</w:t>
      </w:r>
      <w:proofErr w:type="gramEnd"/>
      <w:r>
        <w:rPr>
          <w:rFonts w:ascii="Cambria" w:hAnsi="Cambria"/>
          <w:sz w:val="22"/>
          <w:szCs w:val="22"/>
        </w:rPr>
        <w:t xml:space="preserve"> ACCC recommendations</w:t>
      </w:r>
      <w:r w:rsidR="008F64CD">
        <w:rPr>
          <w:rFonts w:ascii="Cambria" w:hAnsi="Cambria"/>
          <w:sz w:val="22"/>
          <w:szCs w:val="22"/>
        </w:rPr>
        <w:t xml:space="preserve">, implementation </w:t>
      </w:r>
      <w:r w:rsidR="005B5479">
        <w:rPr>
          <w:rFonts w:ascii="Cambria" w:hAnsi="Cambria"/>
          <w:sz w:val="22"/>
          <w:szCs w:val="22"/>
        </w:rPr>
        <w:t xml:space="preserve">of this commitment </w:t>
      </w:r>
      <w:r w:rsidR="00C6298A">
        <w:rPr>
          <w:rFonts w:ascii="Cambria" w:hAnsi="Cambria"/>
          <w:sz w:val="22"/>
          <w:szCs w:val="22"/>
        </w:rPr>
        <w:t xml:space="preserve">raises </w:t>
      </w:r>
      <w:r w:rsidR="009E1B96">
        <w:rPr>
          <w:rFonts w:ascii="Cambria" w:hAnsi="Cambria"/>
          <w:sz w:val="22"/>
          <w:szCs w:val="22"/>
        </w:rPr>
        <w:t>question</w:t>
      </w:r>
      <w:r w:rsidR="00C6298A">
        <w:rPr>
          <w:rFonts w:ascii="Cambria" w:hAnsi="Cambria"/>
          <w:sz w:val="22"/>
          <w:szCs w:val="22"/>
        </w:rPr>
        <w:t>s about the</w:t>
      </w:r>
      <w:r w:rsidR="00D23962">
        <w:rPr>
          <w:rFonts w:ascii="Cambria" w:hAnsi="Cambria"/>
          <w:sz w:val="22"/>
          <w:szCs w:val="22"/>
        </w:rPr>
        <w:t xml:space="preserve"> ACCC’s recommendation to establish </w:t>
      </w:r>
      <w:r w:rsidR="005B5479">
        <w:rPr>
          <w:rFonts w:ascii="Cambria" w:hAnsi="Cambria"/>
          <w:sz w:val="22"/>
          <w:szCs w:val="22"/>
        </w:rPr>
        <w:t>a new central water markets agency to, among other functions, regulate compliance with an intermediary code.</w:t>
      </w:r>
      <w:r w:rsidR="00D23962">
        <w:rPr>
          <w:rFonts w:ascii="Cambria" w:hAnsi="Cambria"/>
          <w:sz w:val="22"/>
          <w:szCs w:val="22"/>
        </w:rPr>
        <w:t xml:space="preserve"> </w:t>
      </w:r>
    </w:p>
    <w:p w14:paraId="2C7F2E3F" w14:textId="74038BBE" w:rsidR="00506A60" w:rsidRPr="00AB594C" w:rsidRDefault="00C6298A" w:rsidP="00283CA8">
      <w:pPr>
        <w:spacing w:after="200" w:line="276" w:lineRule="auto"/>
        <w:rPr>
          <w:rFonts w:ascii="Cambria" w:hAnsi="Cambria"/>
          <w:sz w:val="22"/>
          <w:szCs w:val="22"/>
        </w:rPr>
      </w:pPr>
      <w:r>
        <w:rPr>
          <w:rFonts w:ascii="Cambria" w:hAnsi="Cambria"/>
          <w:sz w:val="22"/>
          <w:szCs w:val="22"/>
        </w:rPr>
        <w:t xml:space="preserve">We </w:t>
      </w:r>
      <w:r w:rsidR="00506A60" w:rsidRPr="00DE7EB7">
        <w:rPr>
          <w:rFonts w:ascii="Cambria" w:hAnsi="Cambria"/>
          <w:sz w:val="22"/>
          <w:szCs w:val="22"/>
        </w:rPr>
        <w:t xml:space="preserve">will also work with Basin </w:t>
      </w:r>
      <w:r w:rsidR="007A3BCA" w:rsidRPr="00DE7EB7">
        <w:rPr>
          <w:rFonts w:ascii="Cambria" w:hAnsi="Cambria"/>
          <w:sz w:val="22"/>
          <w:szCs w:val="22"/>
        </w:rPr>
        <w:t>states</w:t>
      </w:r>
      <w:r w:rsidR="00506A60" w:rsidRPr="00DE7EB7">
        <w:rPr>
          <w:rFonts w:ascii="Cambria" w:hAnsi="Cambria"/>
          <w:sz w:val="22"/>
          <w:szCs w:val="22"/>
        </w:rPr>
        <w:t xml:space="preserve"> to consider the </w:t>
      </w:r>
      <w:r>
        <w:rPr>
          <w:rFonts w:ascii="Cambria" w:hAnsi="Cambria"/>
          <w:sz w:val="22"/>
          <w:szCs w:val="22"/>
        </w:rPr>
        <w:t>value</w:t>
      </w:r>
      <w:r w:rsidR="00506A60" w:rsidRPr="00DE7EB7">
        <w:rPr>
          <w:rFonts w:ascii="Cambria" w:hAnsi="Cambria"/>
          <w:sz w:val="22"/>
          <w:szCs w:val="22"/>
        </w:rPr>
        <w:t xml:space="preserve"> of promot</w:t>
      </w:r>
      <w:r w:rsidR="00361190">
        <w:rPr>
          <w:rFonts w:ascii="Cambria" w:hAnsi="Cambria"/>
          <w:sz w:val="22"/>
          <w:szCs w:val="22"/>
        </w:rPr>
        <w:t>ing</w:t>
      </w:r>
      <w:r w:rsidR="00506A60" w:rsidRPr="00DE7EB7">
        <w:rPr>
          <w:rFonts w:ascii="Cambria" w:hAnsi="Cambria"/>
          <w:sz w:val="22"/>
          <w:szCs w:val="22"/>
        </w:rPr>
        <w:t xml:space="preserve"> uptake of the voluntary</w:t>
      </w:r>
      <w:r>
        <w:rPr>
          <w:rFonts w:ascii="Cambria" w:hAnsi="Cambria"/>
          <w:sz w:val="22"/>
          <w:szCs w:val="22"/>
        </w:rPr>
        <w:t xml:space="preserve"> </w:t>
      </w:r>
      <w:r w:rsidR="009A763D">
        <w:rPr>
          <w:rFonts w:ascii="Cambria" w:hAnsi="Cambria"/>
          <w:sz w:val="22"/>
          <w:szCs w:val="22"/>
        </w:rPr>
        <w:t>intermediaries</w:t>
      </w:r>
      <w:r>
        <w:rPr>
          <w:rFonts w:ascii="Cambria" w:hAnsi="Cambria"/>
          <w:sz w:val="22"/>
          <w:szCs w:val="22"/>
        </w:rPr>
        <w:t>’</w:t>
      </w:r>
      <w:r w:rsidR="00506A60" w:rsidRPr="00DE7EB7">
        <w:rPr>
          <w:rFonts w:ascii="Cambria" w:hAnsi="Cambria"/>
          <w:sz w:val="22"/>
          <w:szCs w:val="22"/>
        </w:rPr>
        <w:t xml:space="preserve"> code, while a mandatory code is developed</w:t>
      </w:r>
      <w:r>
        <w:rPr>
          <w:rFonts w:ascii="Cambria" w:hAnsi="Cambria"/>
          <w:sz w:val="22"/>
          <w:szCs w:val="22"/>
        </w:rPr>
        <w:t>.</w:t>
      </w:r>
    </w:p>
    <w:p w14:paraId="261DF171" w14:textId="72F13CDB" w:rsidR="00506A60" w:rsidRPr="007F7212" w:rsidRDefault="007F7212" w:rsidP="007F7212">
      <w:pPr>
        <w:pStyle w:val="Heading3"/>
        <w:spacing w:before="0"/>
        <w:ind w:left="964" w:hanging="964"/>
        <w:rPr>
          <w:rFonts w:ascii="Calibri" w:eastAsia="Times New Roman" w:hAnsi="Calibri" w:cs="Times New Roman"/>
          <w:b/>
          <w:bCs/>
          <w:color w:val="auto"/>
          <w:sz w:val="36"/>
        </w:rPr>
      </w:pPr>
      <w:bookmarkStart w:id="21" w:name="_Toc90470969"/>
      <w:r>
        <w:rPr>
          <w:rFonts w:ascii="Calibri" w:eastAsia="Times New Roman" w:hAnsi="Calibri" w:cs="Times New Roman"/>
          <w:b/>
          <w:bCs/>
          <w:color w:val="auto"/>
          <w:sz w:val="36"/>
        </w:rPr>
        <w:t>4.2</w:t>
      </w:r>
      <w:r>
        <w:rPr>
          <w:rFonts w:ascii="Calibri" w:eastAsia="Times New Roman" w:hAnsi="Calibri" w:cs="Times New Roman"/>
          <w:b/>
          <w:bCs/>
          <w:color w:val="auto"/>
          <w:sz w:val="36"/>
        </w:rPr>
        <w:tab/>
      </w:r>
      <w:r w:rsidR="00506A60" w:rsidRPr="007F7212">
        <w:rPr>
          <w:rFonts w:ascii="Calibri" w:eastAsia="Times New Roman" w:hAnsi="Calibri" w:cs="Times New Roman"/>
          <w:b/>
          <w:bCs/>
          <w:color w:val="auto"/>
          <w:sz w:val="36"/>
        </w:rPr>
        <w:t>Introduce Commonwealth legislation to prohibit insider trading and market manipulation across the Murray Darling Basin.</w:t>
      </w:r>
      <w:bookmarkEnd w:id="21"/>
      <w:r w:rsidR="00506A60" w:rsidRPr="007F7212">
        <w:rPr>
          <w:rFonts w:ascii="Calibri" w:eastAsia="Times New Roman" w:hAnsi="Calibri" w:cs="Times New Roman"/>
          <w:b/>
          <w:bCs/>
          <w:color w:val="auto"/>
          <w:sz w:val="36"/>
        </w:rPr>
        <w:t xml:space="preserve"> </w:t>
      </w:r>
    </w:p>
    <w:p w14:paraId="36960F38" w14:textId="256E5787" w:rsidR="00506A60" w:rsidRPr="00DE7EB7" w:rsidRDefault="00C6298A" w:rsidP="00283CA8">
      <w:pPr>
        <w:spacing w:after="200" w:line="276" w:lineRule="auto"/>
        <w:rPr>
          <w:rFonts w:ascii="Cambria" w:hAnsi="Cambria"/>
          <w:sz w:val="22"/>
          <w:szCs w:val="22"/>
        </w:rPr>
      </w:pPr>
      <w:r>
        <w:rPr>
          <w:rFonts w:ascii="Cambria" w:hAnsi="Cambria"/>
          <w:sz w:val="22"/>
          <w:szCs w:val="22"/>
        </w:rPr>
        <w:t xml:space="preserve">There are significant disparities in the capacity of commercial entities to participate in </w:t>
      </w:r>
      <w:r w:rsidR="009A763D">
        <w:rPr>
          <w:rFonts w:ascii="Cambria" w:hAnsi="Cambria"/>
          <w:sz w:val="22"/>
          <w:szCs w:val="22"/>
        </w:rPr>
        <w:t>Basin</w:t>
      </w:r>
      <w:r>
        <w:rPr>
          <w:rFonts w:ascii="Cambria" w:hAnsi="Cambria"/>
          <w:sz w:val="22"/>
          <w:szCs w:val="22"/>
        </w:rPr>
        <w:t xml:space="preserve"> water markets.  </w:t>
      </w:r>
      <w:r w:rsidR="00252B54">
        <w:rPr>
          <w:rFonts w:ascii="Cambria" w:hAnsi="Cambria"/>
          <w:sz w:val="22"/>
          <w:szCs w:val="22"/>
        </w:rPr>
        <w:t>This has always been the case between larger and smaller agribusiness firms (as in other markets) but has increased with the entry of investors over the last decade. This has led to a lack of trust</w:t>
      </w:r>
      <w:r w:rsidR="00506A60" w:rsidRPr="00DE7EB7">
        <w:rPr>
          <w:rFonts w:ascii="Cambria" w:hAnsi="Cambria"/>
          <w:sz w:val="22"/>
          <w:szCs w:val="22"/>
        </w:rPr>
        <w:t xml:space="preserve"> in their role and conduct</w:t>
      </w:r>
      <w:r w:rsidR="00252B54">
        <w:rPr>
          <w:rFonts w:ascii="Cambria" w:hAnsi="Cambria"/>
          <w:sz w:val="22"/>
          <w:szCs w:val="22"/>
        </w:rPr>
        <w:t>, in part because of the inadequate</w:t>
      </w:r>
      <w:r w:rsidR="00506A60" w:rsidRPr="00DE7EB7">
        <w:rPr>
          <w:rFonts w:ascii="Cambria" w:hAnsi="Cambria"/>
          <w:sz w:val="22"/>
          <w:szCs w:val="22"/>
        </w:rPr>
        <w:t xml:space="preserve"> rules govern</w:t>
      </w:r>
      <w:r w:rsidR="00252B54">
        <w:rPr>
          <w:rFonts w:ascii="Cambria" w:hAnsi="Cambria"/>
          <w:sz w:val="22"/>
          <w:szCs w:val="22"/>
        </w:rPr>
        <w:t xml:space="preserve">ing </w:t>
      </w:r>
      <w:r w:rsidR="00506A60" w:rsidRPr="00DE7EB7">
        <w:rPr>
          <w:rFonts w:ascii="Cambria" w:hAnsi="Cambria"/>
          <w:sz w:val="22"/>
          <w:szCs w:val="22"/>
        </w:rPr>
        <w:t>the conduct of market participants generally.</w:t>
      </w:r>
    </w:p>
    <w:p w14:paraId="35D2A5DF" w14:textId="43CF3289" w:rsidR="00506A60" w:rsidRPr="00DE7EB7" w:rsidRDefault="00252B54" w:rsidP="00283CA8">
      <w:pPr>
        <w:spacing w:after="200" w:line="276" w:lineRule="auto"/>
        <w:rPr>
          <w:rFonts w:ascii="Cambria" w:hAnsi="Cambria"/>
          <w:sz w:val="22"/>
          <w:szCs w:val="22"/>
        </w:rPr>
      </w:pPr>
      <w:r>
        <w:rPr>
          <w:rFonts w:ascii="Cambria" w:hAnsi="Cambria"/>
          <w:sz w:val="22"/>
          <w:szCs w:val="22"/>
        </w:rPr>
        <w:t xml:space="preserve">The </w:t>
      </w:r>
      <w:r w:rsidR="00AF611F">
        <w:rPr>
          <w:rFonts w:ascii="Cambria" w:hAnsi="Cambria"/>
          <w:sz w:val="22"/>
          <w:szCs w:val="22"/>
        </w:rPr>
        <w:t xml:space="preserve">ACCC </w:t>
      </w:r>
      <w:r>
        <w:rPr>
          <w:rFonts w:ascii="Cambria" w:hAnsi="Cambria"/>
          <w:sz w:val="22"/>
          <w:szCs w:val="22"/>
        </w:rPr>
        <w:t>conducted a</w:t>
      </w:r>
      <w:r w:rsidR="009A763D">
        <w:rPr>
          <w:rFonts w:ascii="Cambria" w:hAnsi="Cambria"/>
          <w:sz w:val="22"/>
          <w:szCs w:val="22"/>
        </w:rPr>
        <w:t>n</w:t>
      </w:r>
      <w:r>
        <w:rPr>
          <w:rFonts w:ascii="Cambria" w:hAnsi="Cambria"/>
          <w:sz w:val="22"/>
          <w:szCs w:val="22"/>
        </w:rPr>
        <w:t xml:space="preserve"> extensive analysis of</w:t>
      </w:r>
      <w:r w:rsidR="008D7086">
        <w:rPr>
          <w:rFonts w:ascii="Cambria" w:hAnsi="Cambria"/>
          <w:sz w:val="22"/>
          <w:szCs w:val="22"/>
        </w:rPr>
        <w:t xml:space="preserve"> trade </w:t>
      </w:r>
      <w:r>
        <w:rPr>
          <w:rFonts w:ascii="Cambria" w:hAnsi="Cambria"/>
          <w:sz w:val="22"/>
          <w:szCs w:val="22"/>
        </w:rPr>
        <w:t>transactions</w:t>
      </w:r>
      <w:r w:rsidR="008D7086">
        <w:rPr>
          <w:rFonts w:ascii="Cambria" w:hAnsi="Cambria"/>
          <w:sz w:val="22"/>
          <w:szCs w:val="22"/>
        </w:rPr>
        <w:t xml:space="preserve"> and </w:t>
      </w:r>
      <w:r w:rsidR="00506A60" w:rsidRPr="00DE7EB7">
        <w:rPr>
          <w:rFonts w:ascii="Cambria" w:hAnsi="Cambria"/>
          <w:sz w:val="22"/>
          <w:szCs w:val="22"/>
        </w:rPr>
        <w:t>did not find evidence that market manipulation, insider trading or collusion had occurred</w:t>
      </w:r>
      <w:r w:rsidR="008D7086">
        <w:rPr>
          <w:rFonts w:ascii="Cambria" w:hAnsi="Cambria"/>
          <w:sz w:val="22"/>
          <w:szCs w:val="22"/>
        </w:rPr>
        <w:t xml:space="preserve">.  </w:t>
      </w:r>
      <w:r w:rsidR="009A763D">
        <w:rPr>
          <w:rFonts w:ascii="Cambria" w:hAnsi="Cambria"/>
          <w:sz w:val="22"/>
          <w:szCs w:val="22"/>
        </w:rPr>
        <w:t>H</w:t>
      </w:r>
      <w:r w:rsidR="008D7086">
        <w:rPr>
          <w:rFonts w:ascii="Cambria" w:hAnsi="Cambria"/>
          <w:sz w:val="22"/>
          <w:szCs w:val="22"/>
        </w:rPr>
        <w:t>owever</w:t>
      </w:r>
      <w:r w:rsidR="00506A60" w:rsidRPr="00DE7EB7">
        <w:rPr>
          <w:rFonts w:ascii="Cambria" w:hAnsi="Cambria"/>
          <w:sz w:val="22"/>
          <w:szCs w:val="22"/>
        </w:rPr>
        <w:t>, it did conclude that opportunities for market misconduct existed, and that there were insufficient regulatory tools for addressing misconduct if it arose.</w:t>
      </w:r>
    </w:p>
    <w:p w14:paraId="6D321D46" w14:textId="7ED28DA1" w:rsidR="00506A60" w:rsidRPr="00DE7EB7" w:rsidRDefault="00506A60" w:rsidP="00283CA8">
      <w:pPr>
        <w:spacing w:after="200" w:line="276" w:lineRule="auto"/>
        <w:rPr>
          <w:rFonts w:ascii="Cambria" w:hAnsi="Cambria"/>
          <w:sz w:val="22"/>
          <w:szCs w:val="22"/>
        </w:rPr>
      </w:pPr>
      <w:r w:rsidRPr="00AB594C">
        <w:rPr>
          <w:rFonts w:ascii="Cambria" w:hAnsi="Cambria"/>
          <w:sz w:val="22"/>
          <w:szCs w:val="22"/>
        </w:rPr>
        <w:t>As a result, Basin states have</w:t>
      </w:r>
      <w:r w:rsidRPr="007C2117">
        <w:rPr>
          <w:rFonts w:ascii="Cambria" w:hAnsi="Cambria"/>
          <w:sz w:val="22"/>
          <w:szCs w:val="22"/>
        </w:rPr>
        <w:t xml:space="preserve"> provided in-</w:t>
      </w:r>
      <w:proofErr w:type="gramStart"/>
      <w:r w:rsidRPr="007C2117">
        <w:rPr>
          <w:rFonts w:ascii="Cambria" w:hAnsi="Cambria"/>
          <w:sz w:val="22"/>
          <w:szCs w:val="22"/>
        </w:rPr>
        <w:t>principle</w:t>
      </w:r>
      <w:proofErr w:type="gramEnd"/>
      <w:r w:rsidRPr="007C2117">
        <w:rPr>
          <w:rFonts w:ascii="Cambria" w:hAnsi="Cambria"/>
          <w:sz w:val="22"/>
          <w:szCs w:val="22"/>
        </w:rPr>
        <w:t xml:space="preserve"> support for Commonwealth legislation to be introduced to prohibit insider trading and market manipulation across the Murray</w:t>
      </w:r>
      <w:r w:rsidR="00AF611F">
        <w:rPr>
          <w:rFonts w:ascii="Cambria" w:hAnsi="Cambria"/>
          <w:sz w:val="22"/>
          <w:szCs w:val="22"/>
        </w:rPr>
        <w:t>–</w:t>
      </w:r>
      <w:r w:rsidRPr="007C2117">
        <w:rPr>
          <w:rFonts w:ascii="Cambria" w:hAnsi="Cambria"/>
          <w:sz w:val="22"/>
          <w:szCs w:val="22"/>
        </w:rPr>
        <w:t xml:space="preserve">Darling Basin as part of the first tranche of implementation measures. </w:t>
      </w:r>
      <w:r w:rsidRPr="00DE7EB7">
        <w:rPr>
          <w:rFonts w:ascii="Cambria" w:hAnsi="Cambria"/>
          <w:sz w:val="22"/>
          <w:szCs w:val="22"/>
        </w:rPr>
        <w:t xml:space="preserve">Due to water trading activity crossing state boundaries, a state-based approach to regulating water market conduct would be unwieldy and would likely be insufficient to enable effective compliance and enforcement of all </w:t>
      </w:r>
      <w:r w:rsidRPr="00DE7EB7">
        <w:rPr>
          <w:rFonts w:ascii="Cambria" w:hAnsi="Cambria"/>
          <w:sz w:val="22"/>
          <w:szCs w:val="22"/>
        </w:rPr>
        <w:lastRenderedPageBreak/>
        <w:t>trading activity.</w:t>
      </w:r>
      <w:r w:rsidR="008D7086">
        <w:rPr>
          <w:rFonts w:ascii="Cambria" w:hAnsi="Cambria"/>
          <w:sz w:val="22"/>
          <w:szCs w:val="22"/>
        </w:rPr>
        <w:t xml:space="preserve">  This would address an anomaly as these conduct rules do apply to equivalent service providers in other trading markets.</w:t>
      </w:r>
    </w:p>
    <w:p w14:paraId="3699E849" w14:textId="49EE4FB1" w:rsidR="00506A60" w:rsidRPr="00DE7EB7" w:rsidRDefault="00506A60" w:rsidP="00283CA8">
      <w:pPr>
        <w:spacing w:after="200" w:line="276" w:lineRule="auto"/>
        <w:rPr>
          <w:rFonts w:ascii="Cambria" w:hAnsi="Cambria"/>
          <w:sz w:val="22"/>
          <w:szCs w:val="22"/>
        </w:rPr>
      </w:pPr>
      <w:r w:rsidRPr="00AB594C">
        <w:rPr>
          <w:rFonts w:ascii="Cambria" w:hAnsi="Cambria"/>
          <w:sz w:val="22"/>
          <w:szCs w:val="22"/>
        </w:rPr>
        <w:t>Basin state support for this action is subject to</w:t>
      </w:r>
      <w:r w:rsidR="00FC5CE0">
        <w:rPr>
          <w:rFonts w:ascii="Cambria" w:hAnsi="Cambria"/>
          <w:sz w:val="22"/>
          <w:szCs w:val="22"/>
        </w:rPr>
        <w:t xml:space="preserve"> settling</w:t>
      </w:r>
      <w:r w:rsidRPr="00AB594C">
        <w:rPr>
          <w:rFonts w:ascii="Cambria" w:hAnsi="Cambria"/>
          <w:sz w:val="22"/>
          <w:szCs w:val="22"/>
        </w:rPr>
        <w:t xml:space="preserve"> </w:t>
      </w:r>
      <w:r w:rsidRPr="007C2117">
        <w:rPr>
          <w:rFonts w:ascii="Cambria" w:hAnsi="Cambria"/>
          <w:sz w:val="22"/>
          <w:szCs w:val="22"/>
        </w:rPr>
        <w:t xml:space="preserve">implementation </w:t>
      </w:r>
      <w:r w:rsidR="00FC5CE0">
        <w:rPr>
          <w:rFonts w:ascii="Cambria" w:hAnsi="Cambria"/>
          <w:sz w:val="22"/>
          <w:szCs w:val="22"/>
        </w:rPr>
        <w:t>details</w:t>
      </w:r>
      <w:r w:rsidRPr="007C2117">
        <w:rPr>
          <w:rFonts w:ascii="Cambria" w:hAnsi="Cambria"/>
          <w:sz w:val="22"/>
          <w:szCs w:val="22"/>
        </w:rPr>
        <w:t xml:space="preserve"> in developing the roadmap. </w:t>
      </w:r>
      <w:r w:rsidR="007A72E9" w:rsidRPr="00DE7EB7">
        <w:rPr>
          <w:rFonts w:ascii="Cambria" w:hAnsi="Cambria"/>
          <w:sz w:val="22"/>
          <w:szCs w:val="22"/>
        </w:rPr>
        <w:t>These include:</w:t>
      </w:r>
    </w:p>
    <w:p w14:paraId="49711B0D" w14:textId="77777777" w:rsidR="00506A60" w:rsidRPr="00BF0483" w:rsidRDefault="00506A60" w:rsidP="00283CA8">
      <w:pPr>
        <w:pStyle w:val="ListParagraph"/>
        <w:numPr>
          <w:ilvl w:val="0"/>
          <w:numId w:val="6"/>
        </w:numPr>
        <w:spacing w:after="200" w:line="276" w:lineRule="auto"/>
        <w:ind w:left="357" w:hanging="357"/>
        <w:rPr>
          <w:rFonts w:ascii="Cambria" w:eastAsia="Calibri" w:hAnsi="Cambria" w:cs="Calibri"/>
          <w:color w:val="000000" w:themeColor="text1"/>
          <w:sz w:val="22"/>
          <w:szCs w:val="22"/>
          <w:lang w:eastAsia="en-AU"/>
        </w:rPr>
      </w:pPr>
      <w:r w:rsidRPr="00BF0483">
        <w:rPr>
          <w:rFonts w:ascii="Cambria" w:hAnsi="Cambria"/>
          <w:sz w:val="22"/>
          <w:szCs w:val="22"/>
        </w:rPr>
        <w:t>whether</w:t>
      </w:r>
      <w:r w:rsidRPr="00BF0483">
        <w:rPr>
          <w:rFonts w:ascii="Cambria" w:eastAsia="Calibri" w:hAnsi="Cambria" w:cs="Calibri"/>
          <w:color w:val="000000" w:themeColor="text1"/>
          <w:sz w:val="22"/>
          <w:szCs w:val="22"/>
          <w:lang w:eastAsia="en-AU"/>
        </w:rPr>
        <w:t xml:space="preserve"> the regulation </w:t>
      </w:r>
      <w:r w:rsidRPr="00283CA8">
        <w:rPr>
          <w:rFonts w:ascii="Cambria" w:hAnsi="Cambria"/>
          <w:sz w:val="22"/>
          <w:szCs w:val="22"/>
        </w:rPr>
        <w:t>should</w:t>
      </w:r>
      <w:r w:rsidRPr="00BF0483">
        <w:rPr>
          <w:rFonts w:ascii="Cambria" w:eastAsia="Calibri" w:hAnsi="Cambria" w:cs="Calibri"/>
          <w:color w:val="000000" w:themeColor="text1"/>
          <w:sz w:val="22"/>
          <w:szCs w:val="22"/>
          <w:lang w:eastAsia="en-AU"/>
        </w:rPr>
        <w:t xml:space="preserve"> extend beyond the Basin, and if so how</w:t>
      </w:r>
    </w:p>
    <w:p w14:paraId="13279618" w14:textId="40E93CE7" w:rsidR="00506A60" w:rsidRPr="00BF0483" w:rsidRDefault="00A229F8" w:rsidP="00283CA8">
      <w:pPr>
        <w:pStyle w:val="ListParagraph"/>
        <w:numPr>
          <w:ilvl w:val="0"/>
          <w:numId w:val="6"/>
        </w:numPr>
        <w:spacing w:after="200" w:line="276" w:lineRule="auto"/>
        <w:ind w:left="357" w:hanging="357"/>
        <w:rPr>
          <w:rFonts w:ascii="Cambria" w:hAnsi="Cambria"/>
          <w:sz w:val="22"/>
          <w:szCs w:val="22"/>
        </w:rPr>
      </w:pPr>
      <w:r>
        <w:rPr>
          <w:rFonts w:ascii="Cambria" w:hAnsi="Cambria"/>
          <w:sz w:val="22"/>
          <w:szCs w:val="22"/>
        </w:rPr>
        <w:t xml:space="preserve">responsibility for </w:t>
      </w:r>
      <w:r w:rsidR="00686367">
        <w:rPr>
          <w:rFonts w:ascii="Cambria" w:hAnsi="Cambria"/>
          <w:sz w:val="22"/>
          <w:szCs w:val="22"/>
        </w:rPr>
        <w:t>regulat</w:t>
      </w:r>
      <w:r>
        <w:rPr>
          <w:rFonts w:ascii="Cambria" w:hAnsi="Cambria"/>
          <w:sz w:val="22"/>
          <w:szCs w:val="22"/>
        </w:rPr>
        <w:t>ing</w:t>
      </w:r>
      <w:r w:rsidR="00686367">
        <w:rPr>
          <w:rFonts w:ascii="Cambria" w:hAnsi="Cambria"/>
          <w:sz w:val="22"/>
          <w:szCs w:val="22"/>
        </w:rPr>
        <w:t xml:space="preserve"> </w:t>
      </w:r>
      <w:r w:rsidR="00A62ADC">
        <w:rPr>
          <w:rFonts w:ascii="Cambria" w:hAnsi="Cambria"/>
          <w:sz w:val="22"/>
          <w:szCs w:val="22"/>
        </w:rPr>
        <w:t xml:space="preserve">compliance with the conduct </w:t>
      </w:r>
      <w:r w:rsidR="0036544B">
        <w:rPr>
          <w:rFonts w:ascii="Cambria" w:hAnsi="Cambria"/>
          <w:sz w:val="22"/>
          <w:szCs w:val="22"/>
        </w:rPr>
        <w:t>offences</w:t>
      </w:r>
    </w:p>
    <w:p w14:paraId="70B5DE6C" w14:textId="77777777" w:rsidR="00506A60" w:rsidRPr="00BF0483" w:rsidRDefault="00506A60" w:rsidP="00283CA8">
      <w:pPr>
        <w:pStyle w:val="ListParagraph"/>
        <w:numPr>
          <w:ilvl w:val="0"/>
          <w:numId w:val="6"/>
        </w:numPr>
        <w:spacing w:after="200" w:line="276" w:lineRule="auto"/>
        <w:ind w:left="357" w:hanging="357"/>
        <w:rPr>
          <w:rFonts w:ascii="Cambria" w:hAnsi="Cambria"/>
          <w:sz w:val="22"/>
          <w:szCs w:val="22"/>
        </w:rPr>
      </w:pPr>
      <w:r w:rsidRPr="00BF0483">
        <w:rPr>
          <w:rFonts w:ascii="Cambria" w:hAnsi="Cambria"/>
          <w:sz w:val="22"/>
          <w:szCs w:val="22"/>
        </w:rPr>
        <w:t>what other reforms should be pursued to ensure the regulator has sufficient powers to ensure compliance and enforcement of water market conduct regulation</w:t>
      </w:r>
    </w:p>
    <w:p w14:paraId="0C22CEEC" w14:textId="2361FC3E" w:rsidR="00506A60" w:rsidRPr="00BF0483" w:rsidRDefault="00506A60" w:rsidP="00283CA8">
      <w:pPr>
        <w:pStyle w:val="ListParagraph"/>
        <w:numPr>
          <w:ilvl w:val="0"/>
          <w:numId w:val="6"/>
        </w:numPr>
        <w:spacing w:after="200" w:line="276" w:lineRule="auto"/>
        <w:ind w:left="357" w:hanging="357"/>
        <w:rPr>
          <w:rFonts w:ascii="Cambria" w:hAnsi="Cambria"/>
          <w:sz w:val="22"/>
          <w:szCs w:val="22"/>
        </w:rPr>
      </w:pPr>
      <w:r w:rsidRPr="00BF0483">
        <w:rPr>
          <w:rFonts w:ascii="Cambria" w:hAnsi="Cambria"/>
          <w:sz w:val="22"/>
          <w:szCs w:val="22"/>
        </w:rPr>
        <w:t>how the regulator will be resourced to carry out its compliance and enforcement functions</w:t>
      </w:r>
      <w:r w:rsidR="0072606C">
        <w:rPr>
          <w:rFonts w:ascii="Cambria" w:hAnsi="Cambria"/>
          <w:sz w:val="22"/>
          <w:szCs w:val="22"/>
        </w:rPr>
        <w:t>.</w:t>
      </w:r>
    </w:p>
    <w:p w14:paraId="2E68E69D" w14:textId="20CE7FA5" w:rsidR="00506A60" w:rsidRPr="00BF0483" w:rsidRDefault="00506A60" w:rsidP="009A763D">
      <w:pPr>
        <w:pStyle w:val="ListParagraph"/>
        <w:spacing w:after="200" w:line="276" w:lineRule="auto"/>
        <w:ind w:left="357"/>
        <w:rPr>
          <w:rFonts w:ascii="Cambria" w:eastAsia="Calibri" w:hAnsi="Cambria" w:cs="Calibri"/>
          <w:color w:val="000000" w:themeColor="text1"/>
          <w:sz w:val="22"/>
          <w:szCs w:val="22"/>
          <w:lang w:eastAsia="en-AU"/>
        </w:rPr>
      </w:pPr>
    </w:p>
    <w:p w14:paraId="55FBA525" w14:textId="6E904DD9" w:rsidR="00506A60" w:rsidRPr="007F7212" w:rsidRDefault="007F7212" w:rsidP="007F7212">
      <w:pPr>
        <w:pStyle w:val="Heading3"/>
        <w:spacing w:before="0"/>
        <w:ind w:left="964" w:hanging="964"/>
        <w:rPr>
          <w:rFonts w:ascii="Calibri" w:eastAsia="Times New Roman" w:hAnsi="Calibri" w:cs="Times New Roman"/>
          <w:b/>
          <w:bCs/>
          <w:color w:val="auto"/>
          <w:sz w:val="36"/>
        </w:rPr>
      </w:pPr>
      <w:bookmarkStart w:id="22" w:name="_Toc90470970"/>
      <w:r>
        <w:rPr>
          <w:rFonts w:ascii="Calibri" w:eastAsia="Times New Roman" w:hAnsi="Calibri" w:cs="Times New Roman"/>
          <w:b/>
          <w:bCs/>
          <w:color w:val="auto"/>
          <w:sz w:val="36"/>
        </w:rPr>
        <w:t>4.3</w:t>
      </w:r>
      <w:r>
        <w:rPr>
          <w:rFonts w:ascii="Calibri" w:eastAsia="Times New Roman" w:hAnsi="Calibri" w:cs="Times New Roman"/>
          <w:b/>
          <w:bCs/>
          <w:color w:val="auto"/>
          <w:sz w:val="36"/>
        </w:rPr>
        <w:tab/>
      </w:r>
      <w:r w:rsidR="00506A60" w:rsidRPr="007F7212">
        <w:rPr>
          <w:rFonts w:ascii="Calibri" w:eastAsia="Times New Roman" w:hAnsi="Calibri" w:cs="Times New Roman"/>
          <w:b/>
          <w:bCs/>
          <w:color w:val="auto"/>
          <w:sz w:val="36"/>
        </w:rPr>
        <w:t>Collect and publish further trade data, such as reasons for trade and ‘strike-date’ information</w:t>
      </w:r>
      <w:bookmarkEnd w:id="22"/>
      <w:r w:rsidR="00506A60" w:rsidRPr="007F7212">
        <w:rPr>
          <w:rFonts w:ascii="Calibri" w:eastAsia="Times New Roman" w:hAnsi="Calibri" w:cs="Times New Roman"/>
          <w:b/>
          <w:bCs/>
          <w:color w:val="auto"/>
          <w:sz w:val="36"/>
        </w:rPr>
        <w:t xml:space="preserve"> </w:t>
      </w:r>
    </w:p>
    <w:p w14:paraId="15B910D6" w14:textId="7967D169" w:rsidR="00506A60" w:rsidRPr="001344D9" w:rsidRDefault="00506A60" w:rsidP="00283CA8">
      <w:pPr>
        <w:spacing w:after="200" w:line="276" w:lineRule="auto"/>
        <w:rPr>
          <w:rFonts w:ascii="Cambria" w:hAnsi="Cambria"/>
          <w:sz w:val="22"/>
          <w:szCs w:val="22"/>
        </w:rPr>
      </w:pPr>
      <w:r w:rsidRPr="00AB594C">
        <w:rPr>
          <w:rFonts w:ascii="Cambria" w:hAnsi="Cambria"/>
          <w:sz w:val="22"/>
          <w:szCs w:val="22"/>
        </w:rPr>
        <w:t xml:space="preserve">Strike date information </w:t>
      </w:r>
      <w:r w:rsidR="00AF611F" w:rsidRPr="00AF611F">
        <w:rPr>
          <w:rFonts w:ascii="Cambria" w:hAnsi="Cambria"/>
          <w:sz w:val="22"/>
          <w:szCs w:val="22"/>
        </w:rPr>
        <w:t>(being information on when a trade was agreed upon)</w:t>
      </w:r>
      <w:r w:rsidR="00AF611F">
        <w:rPr>
          <w:rFonts w:ascii="Cambria" w:hAnsi="Cambria"/>
          <w:sz w:val="22"/>
          <w:szCs w:val="22"/>
        </w:rPr>
        <w:t xml:space="preserve"> </w:t>
      </w:r>
      <w:r w:rsidRPr="00AB594C">
        <w:rPr>
          <w:rFonts w:ascii="Cambria" w:hAnsi="Cambria"/>
          <w:sz w:val="22"/>
          <w:szCs w:val="22"/>
        </w:rPr>
        <w:t xml:space="preserve">enables market participants to </w:t>
      </w:r>
      <w:proofErr w:type="gramStart"/>
      <w:r w:rsidRPr="00AB594C">
        <w:rPr>
          <w:rFonts w:ascii="Cambria" w:hAnsi="Cambria"/>
          <w:sz w:val="22"/>
          <w:szCs w:val="22"/>
        </w:rPr>
        <w:t xml:space="preserve">have an </w:t>
      </w:r>
      <w:r w:rsidR="007A72E9" w:rsidRPr="007C2117">
        <w:rPr>
          <w:rFonts w:ascii="Cambria" w:hAnsi="Cambria"/>
          <w:sz w:val="22"/>
          <w:szCs w:val="22"/>
        </w:rPr>
        <w:t xml:space="preserve">understanding </w:t>
      </w:r>
      <w:r w:rsidRPr="00DE7EB7">
        <w:rPr>
          <w:rFonts w:ascii="Cambria" w:hAnsi="Cambria"/>
          <w:sz w:val="22"/>
          <w:szCs w:val="22"/>
        </w:rPr>
        <w:t>of</w:t>
      </w:r>
      <w:proofErr w:type="gramEnd"/>
      <w:r w:rsidRPr="00DE7EB7">
        <w:rPr>
          <w:rFonts w:ascii="Cambria" w:hAnsi="Cambria"/>
          <w:sz w:val="22"/>
          <w:szCs w:val="22"/>
        </w:rPr>
        <w:t xml:space="preserve"> market price and depth, a regulator to monitor market activity (enabling it to match trade data between water registers and trade service providers’ systems) and market analysts and policy makers to understand water market supply and demand fluctuations. </w:t>
      </w:r>
      <w:r w:rsidR="00E168D8" w:rsidRPr="00AB594C">
        <w:rPr>
          <w:rFonts w:ascii="Cambria" w:hAnsi="Cambria"/>
          <w:sz w:val="22"/>
          <w:szCs w:val="22"/>
        </w:rPr>
        <w:t>Strike date information is particularly imp</w:t>
      </w:r>
      <w:r w:rsidR="00E168D8" w:rsidRPr="007C2117">
        <w:rPr>
          <w:rFonts w:ascii="Cambria" w:hAnsi="Cambria"/>
          <w:sz w:val="22"/>
          <w:szCs w:val="22"/>
        </w:rPr>
        <w:t>ortant for temporary markets</w:t>
      </w:r>
      <w:r w:rsidR="00AF611F">
        <w:rPr>
          <w:rFonts w:ascii="Cambria" w:hAnsi="Cambria"/>
          <w:sz w:val="22"/>
          <w:szCs w:val="22"/>
        </w:rPr>
        <w:t>,</w:t>
      </w:r>
      <w:r w:rsidR="00E168D8" w:rsidRPr="007C2117">
        <w:rPr>
          <w:rFonts w:ascii="Cambria" w:hAnsi="Cambria"/>
          <w:sz w:val="22"/>
          <w:szCs w:val="22"/>
        </w:rPr>
        <w:t xml:space="preserve"> where </w:t>
      </w:r>
      <w:r w:rsidR="00AF611F">
        <w:rPr>
          <w:rFonts w:ascii="Cambria" w:hAnsi="Cambria"/>
          <w:sz w:val="22"/>
          <w:szCs w:val="22"/>
        </w:rPr>
        <w:t xml:space="preserve">in some circumstances, </w:t>
      </w:r>
      <w:r w:rsidR="00E168D8" w:rsidRPr="007C2117">
        <w:rPr>
          <w:rFonts w:ascii="Cambria" w:hAnsi="Cambria"/>
          <w:sz w:val="22"/>
          <w:szCs w:val="22"/>
        </w:rPr>
        <w:t xml:space="preserve">prices can change rapidly. </w:t>
      </w:r>
      <w:r w:rsidR="00AF611F">
        <w:rPr>
          <w:rFonts w:ascii="Cambria" w:hAnsi="Cambria"/>
          <w:sz w:val="22"/>
          <w:szCs w:val="22"/>
        </w:rPr>
        <w:t xml:space="preserve">It </w:t>
      </w:r>
      <w:r w:rsidR="00E168D8" w:rsidRPr="007C2117">
        <w:rPr>
          <w:rFonts w:ascii="Cambria" w:hAnsi="Cambria"/>
          <w:sz w:val="22"/>
          <w:szCs w:val="22"/>
        </w:rPr>
        <w:t>help</w:t>
      </w:r>
      <w:r w:rsidR="00AF611F">
        <w:rPr>
          <w:rFonts w:ascii="Cambria" w:hAnsi="Cambria"/>
          <w:sz w:val="22"/>
          <w:szCs w:val="22"/>
        </w:rPr>
        <w:t>s</w:t>
      </w:r>
      <w:r w:rsidR="00E168D8" w:rsidRPr="007C2117">
        <w:rPr>
          <w:rFonts w:ascii="Cambria" w:hAnsi="Cambria"/>
          <w:sz w:val="22"/>
          <w:szCs w:val="22"/>
        </w:rPr>
        <w:t xml:space="preserve"> water market participants have a clearer understanding of how much water was traded in different trading zones and to accurately calculate the av</w:t>
      </w:r>
      <w:r w:rsidR="00E168D8" w:rsidRPr="00DE7EB7">
        <w:rPr>
          <w:rFonts w:ascii="Cambria" w:hAnsi="Cambria"/>
          <w:sz w:val="22"/>
          <w:szCs w:val="22"/>
        </w:rPr>
        <w:t>erage/median market price on any given date</w:t>
      </w:r>
      <w:r w:rsidR="00E168D8" w:rsidRPr="004F5669">
        <w:rPr>
          <w:rFonts w:ascii="Cambria" w:hAnsi="Cambria"/>
          <w:sz w:val="22"/>
          <w:szCs w:val="22"/>
        </w:rPr>
        <w:t>.</w:t>
      </w:r>
    </w:p>
    <w:p w14:paraId="77C792BE" w14:textId="1ED9A202" w:rsidR="00506A60" w:rsidRPr="007C1BF1" w:rsidRDefault="00506A60" w:rsidP="00283CA8">
      <w:pPr>
        <w:spacing w:after="200" w:line="276" w:lineRule="auto"/>
        <w:rPr>
          <w:rFonts w:ascii="Cambria" w:hAnsi="Cambria"/>
          <w:sz w:val="22"/>
          <w:szCs w:val="22"/>
        </w:rPr>
      </w:pPr>
      <w:r w:rsidRPr="007C1BF1">
        <w:rPr>
          <w:rFonts w:ascii="Cambria" w:hAnsi="Cambria"/>
          <w:sz w:val="22"/>
          <w:szCs w:val="22"/>
        </w:rPr>
        <w:t>Further, th</w:t>
      </w:r>
      <w:r w:rsidRPr="003443AB">
        <w:rPr>
          <w:rFonts w:ascii="Cambria" w:hAnsi="Cambria"/>
          <w:sz w:val="22"/>
          <w:szCs w:val="22"/>
        </w:rPr>
        <w:t>e</w:t>
      </w:r>
      <w:r w:rsidRPr="005F2DE4">
        <w:rPr>
          <w:rFonts w:ascii="Cambria" w:hAnsi="Cambria"/>
          <w:sz w:val="22"/>
          <w:szCs w:val="22"/>
        </w:rPr>
        <w:t xml:space="preserve">re is </w:t>
      </w:r>
      <w:r w:rsidR="006F4804" w:rsidRPr="00223AE9">
        <w:rPr>
          <w:rFonts w:ascii="Cambria" w:hAnsi="Cambria"/>
          <w:sz w:val="22"/>
          <w:szCs w:val="22"/>
        </w:rPr>
        <w:t xml:space="preserve">generally </w:t>
      </w:r>
      <w:r w:rsidRPr="00223AE9">
        <w:rPr>
          <w:rFonts w:ascii="Cambria" w:hAnsi="Cambria"/>
          <w:sz w:val="22"/>
          <w:szCs w:val="22"/>
        </w:rPr>
        <w:t>no clear compliance and monitoring role assigned to state agencies to ensure price reporting by sellers is accurate.</w:t>
      </w:r>
      <w:r w:rsidR="005B6109" w:rsidRPr="009A763D">
        <w:rPr>
          <w:vertAlign w:val="superscript"/>
        </w:rPr>
        <w:footnoteReference w:id="12"/>
      </w:r>
      <w:r w:rsidRPr="00AB594C">
        <w:rPr>
          <w:rFonts w:ascii="Cambria" w:hAnsi="Cambria"/>
          <w:sz w:val="22"/>
          <w:szCs w:val="22"/>
        </w:rPr>
        <w:t xml:space="preserve"> However, requiring traders to discl</w:t>
      </w:r>
      <w:r w:rsidRPr="007C2117">
        <w:rPr>
          <w:rFonts w:ascii="Cambria" w:hAnsi="Cambria"/>
          <w:sz w:val="22"/>
          <w:szCs w:val="22"/>
        </w:rPr>
        <w:t xml:space="preserve">ose a ‘reason for trade’ on trade forms will enable price reporting to be monitored. For example, it can help </w:t>
      </w:r>
      <w:r w:rsidR="00964058">
        <w:rPr>
          <w:rFonts w:ascii="Cambria" w:hAnsi="Cambria"/>
          <w:sz w:val="22"/>
          <w:szCs w:val="22"/>
        </w:rPr>
        <w:t xml:space="preserve">understand </w:t>
      </w:r>
      <w:r w:rsidRPr="007C2117">
        <w:rPr>
          <w:rFonts w:ascii="Cambria" w:hAnsi="Cambria"/>
          <w:sz w:val="22"/>
          <w:szCs w:val="22"/>
        </w:rPr>
        <w:t>$0 trades</w:t>
      </w:r>
      <w:r w:rsidR="00964058">
        <w:rPr>
          <w:rFonts w:ascii="Cambria" w:hAnsi="Cambria"/>
          <w:sz w:val="22"/>
          <w:szCs w:val="22"/>
        </w:rPr>
        <w:t>.</w:t>
      </w:r>
      <w:r w:rsidRPr="007C2117">
        <w:rPr>
          <w:rFonts w:ascii="Cambria" w:hAnsi="Cambria"/>
          <w:sz w:val="22"/>
          <w:szCs w:val="22"/>
        </w:rPr>
        <w:t xml:space="preserve"> Capturing ‘reason for trade’ data can also enable more precise pric</w:t>
      </w:r>
      <w:r w:rsidRPr="00DE7EB7">
        <w:rPr>
          <w:rFonts w:ascii="Cambria" w:hAnsi="Cambria"/>
          <w:sz w:val="22"/>
          <w:szCs w:val="22"/>
        </w:rPr>
        <w:t>e calculations (</w:t>
      </w:r>
      <w:proofErr w:type="gramStart"/>
      <w:r w:rsidRPr="00DE7EB7">
        <w:rPr>
          <w:rFonts w:ascii="Cambria" w:hAnsi="Cambria"/>
          <w:sz w:val="22"/>
          <w:szCs w:val="22"/>
        </w:rPr>
        <w:t>e.g.</w:t>
      </w:r>
      <w:proofErr w:type="gramEnd"/>
      <w:r w:rsidRPr="00DE7EB7">
        <w:rPr>
          <w:rFonts w:ascii="Cambria" w:hAnsi="Cambria"/>
          <w:sz w:val="22"/>
          <w:szCs w:val="22"/>
        </w:rPr>
        <w:t xml:space="preserve"> filtering out of certain types of trades such as transfers between related parties, forward contracts</w:t>
      </w:r>
      <w:r w:rsidRPr="004F5669">
        <w:rPr>
          <w:rFonts w:ascii="Cambria" w:hAnsi="Cambria"/>
          <w:sz w:val="22"/>
          <w:szCs w:val="22"/>
        </w:rPr>
        <w:t>,</w:t>
      </w:r>
      <w:r w:rsidRPr="001344D9">
        <w:rPr>
          <w:rFonts w:ascii="Cambria" w:hAnsi="Cambria"/>
          <w:sz w:val="22"/>
          <w:szCs w:val="22"/>
        </w:rPr>
        <w:t xml:space="preserve"> carryover parking, etc. when calculating average or median prices for ‘spot’ allocation markets).  </w:t>
      </w:r>
    </w:p>
    <w:p w14:paraId="3E557B49" w14:textId="765C13CE" w:rsidR="00506A60" w:rsidRPr="00443D77" w:rsidRDefault="00506A60" w:rsidP="00283CA8">
      <w:pPr>
        <w:spacing w:after="200" w:line="276" w:lineRule="auto"/>
        <w:rPr>
          <w:rFonts w:ascii="Cambria" w:hAnsi="Cambria"/>
          <w:sz w:val="22"/>
          <w:szCs w:val="22"/>
        </w:rPr>
      </w:pPr>
      <w:r w:rsidRPr="001A194D">
        <w:rPr>
          <w:rFonts w:ascii="Cambria" w:hAnsi="Cambria"/>
          <w:sz w:val="22"/>
          <w:szCs w:val="22"/>
        </w:rPr>
        <w:t>Currently, all southern connecte</w:t>
      </w:r>
      <w:r w:rsidRPr="00531B69">
        <w:rPr>
          <w:rFonts w:ascii="Cambria" w:hAnsi="Cambria"/>
          <w:sz w:val="22"/>
          <w:szCs w:val="22"/>
        </w:rPr>
        <w:t xml:space="preserve">d </w:t>
      </w:r>
      <w:r w:rsidR="00A10F7E" w:rsidRPr="00D50587">
        <w:rPr>
          <w:rFonts w:ascii="Cambria" w:hAnsi="Cambria"/>
          <w:sz w:val="22"/>
          <w:szCs w:val="22"/>
        </w:rPr>
        <w:t>B</w:t>
      </w:r>
      <w:r w:rsidRPr="00686367">
        <w:rPr>
          <w:rFonts w:ascii="Cambria" w:hAnsi="Cambria"/>
          <w:sz w:val="22"/>
          <w:szCs w:val="22"/>
        </w:rPr>
        <w:t xml:space="preserve">asin states (NSW, </w:t>
      </w:r>
      <w:proofErr w:type="gramStart"/>
      <w:r w:rsidRPr="00686367">
        <w:rPr>
          <w:rFonts w:ascii="Cambria" w:hAnsi="Cambria"/>
          <w:sz w:val="22"/>
          <w:szCs w:val="22"/>
        </w:rPr>
        <w:t>Victoria</w:t>
      </w:r>
      <w:proofErr w:type="gramEnd"/>
      <w:r w:rsidRPr="00686367">
        <w:rPr>
          <w:rFonts w:ascii="Cambria" w:hAnsi="Cambria"/>
          <w:sz w:val="22"/>
          <w:szCs w:val="22"/>
        </w:rPr>
        <w:t xml:space="preserve"> and South Australia) require price data to be reported and only accept $0 trades under limited circumstances</w:t>
      </w:r>
      <w:r w:rsidR="00AF611F">
        <w:rPr>
          <w:rFonts w:ascii="Cambria" w:hAnsi="Cambria"/>
          <w:sz w:val="22"/>
          <w:szCs w:val="22"/>
        </w:rPr>
        <w:t>,</w:t>
      </w:r>
      <w:r w:rsidRPr="00686367">
        <w:rPr>
          <w:rFonts w:ascii="Cambria" w:hAnsi="Cambria"/>
          <w:sz w:val="22"/>
          <w:szCs w:val="22"/>
        </w:rPr>
        <w:t xml:space="preserve"> in which </w:t>
      </w:r>
      <w:r w:rsidR="00AF611F">
        <w:rPr>
          <w:rFonts w:ascii="Cambria" w:hAnsi="Cambria"/>
          <w:sz w:val="22"/>
          <w:szCs w:val="22"/>
        </w:rPr>
        <w:t xml:space="preserve">case, </w:t>
      </w:r>
      <w:r w:rsidRPr="00686367">
        <w:rPr>
          <w:rFonts w:ascii="Cambria" w:hAnsi="Cambria"/>
          <w:sz w:val="22"/>
          <w:szCs w:val="22"/>
        </w:rPr>
        <w:t xml:space="preserve">a reason for trade must be provided. </w:t>
      </w:r>
      <w:r w:rsidR="00632A8F" w:rsidRPr="008F64CD">
        <w:rPr>
          <w:rFonts w:ascii="Cambria" w:hAnsi="Cambria"/>
          <w:sz w:val="22"/>
          <w:szCs w:val="22"/>
        </w:rPr>
        <w:t xml:space="preserve">This also applies in Queensland in respect of permanent trades. </w:t>
      </w:r>
      <w:r w:rsidRPr="008F64CD">
        <w:rPr>
          <w:rFonts w:ascii="Cambria" w:hAnsi="Cambria"/>
          <w:sz w:val="22"/>
          <w:szCs w:val="22"/>
        </w:rPr>
        <w:t xml:space="preserve">NSW and Victoria (in relation to its online form) also require </w:t>
      </w:r>
      <w:proofErr w:type="gramStart"/>
      <w:r w:rsidRPr="008F64CD">
        <w:rPr>
          <w:rFonts w:ascii="Cambria" w:hAnsi="Cambria"/>
          <w:sz w:val="22"/>
          <w:szCs w:val="22"/>
        </w:rPr>
        <w:t>all of</w:t>
      </w:r>
      <w:proofErr w:type="gramEnd"/>
      <w:r w:rsidRPr="008F64CD">
        <w:rPr>
          <w:rFonts w:ascii="Cambria" w:hAnsi="Cambria"/>
          <w:sz w:val="22"/>
          <w:szCs w:val="22"/>
        </w:rPr>
        <w:t xml:space="preserve"> their allocation trades to be accompanied by ‘strike date’ and a ‘reason for trade’. Both states have recently commenced publishing this data.</w:t>
      </w:r>
    </w:p>
    <w:p w14:paraId="70676786" w14:textId="13863AA0" w:rsidR="00506A60" w:rsidRPr="00C66F0F" w:rsidRDefault="00506A60" w:rsidP="00283CA8">
      <w:pPr>
        <w:spacing w:after="200" w:line="276" w:lineRule="auto"/>
        <w:rPr>
          <w:rFonts w:ascii="Cambria" w:hAnsi="Cambria"/>
          <w:sz w:val="22"/>
          <w:szCs w:val="22"/>
        </w:rPr>
      </w:pPr>
      <w:r w:rsidRPr="00EE3CBE">
        <w:rPr>
          <w:rFonts w:ascii="Cambria" w:hAnsi="Cambria"/>
          <w:sz w:val="22"/>
          <w:szCs w:val="22"/>
        </w:rPr>
        <w:t xml:space="preserve">To improve the collection and availability of this information, South Australia has also agreed to start collecting strike date and reasons for trade data as part of its upgrades to its soon to be launched Water Management </w:t>
      </w:r>
      <w:r w:rsidR="004D7B1F" w:rsidRPr="00C859E6">
        <w:rPr>
          <w:rFonts w:ascii="Cambria" w:hAnsi="Cambria"/>
          <w:sz w:val="22"/>
          <w:szCs w:val="22"/>
        </w:rPr>
        <w:t>Solutions program</w:t>
      </w:r>
      <w:r w:rsidRPr="00C66F0F">
        <w:rPr>
          <w:rFonts w:ascii="Cambria" w:hAnsi="Cambria"/>
          <w:sz w:val="22"/>
          <w:szCs w:val="22"/>
        </w:rPr>
        <w:t>, and this will occur in the next 1-3 years.</w:t>
      </w:r>
    </w:p>
    <w:p w14:paraId="4DD95021" w14:textId="0C843D67" w:rsidR="00506A60" w:rsidRPr="00C66F0F" w:rsidRDefault="00506A60" w:rsidP="00283CA8">
      <w:pPr>
        <w:spacing w:after="200" w:line="276" w:lineRule="auto"/>
        <w:rPr>
          <w:rFonts w:ascii="Cambria" w:hAnsi="Cambria"/>
          <w:sz w:val="22"/>
          <w:szCs w:val="22"/>
        </w:rPr>
      </w:pPr>
      <w:r w:rsidRPr="00C66F0F">
        <w:rPr>
          <w:rFonts w:ascii="Cambria" w:hAnsi="Cambria"/>
          <w:sz w:val="22"/>
          <w:szCs w:val="22"/>
        </w:rPr>
        <w:t xml:space="preserve">Further, as part of the first tranche of implementation measures, South Australia, </w:t>
      </w:r>
      <w:proofErr w:type="gramStart"/>
      <w:r w:rsidRPr="00C66F0F">
        <w:rPr>
          <w:rFonts w:ascii="Cambria" w:hAnsi="Cambria"/>
          <w:sz w:val="22"/>
          <w:szCs w:val="22"/>
        </w:rPr>
        <w:t>NSW</w:t>
      </w:r>
      <w:proofErr w:type="gramEnd"/>
      <w:r w:rsidRPr="00C66F0F">
        <w:rPr>
          <w:rFonts w:ascii="Cambria" w:hAnsi="Cambria"/>
          <w:sz w:val="22"/>
          <w:szCs w:val="22"/>
        </w:rPr>
        <w:t xml:space="preserve"> and Victoria have provided their support to making legislative changes to enable the </w:t>
      </w:r>
      <w:r w:rsidR="00AF611F" w:rsidRPr="00C66F0F">
        <w:rPr>
          <w:rFonts w:ascii="Cambria" w:hAnsi="Cambria"/>
          <w:sz w:val="22"/>
          <w:szCs w:val="22"/>
        </w:rPr>
        <w:t xml:space="preserve">Bureau of Meteorology </w:t>
      </w:r>
      <w:r w:rsidR="00AF611F">
        <w:rPr>
          <w:rFonts w:ascii="Cambria" w:hAnsi="Cambria"/>
          <w:sz w:val="22"/>
          <w:szCs w:val="22"/>
        </w:rPr>
        <w:t xml:space="preserve">to </w:t>
      </w:r>
      <w:r w:rsidRPr="00C66F0F">
        <w:rPr>
          <w:rFonts w:ascii="Cambria" w:hAnsi="Cambria"/>
          <w:sz w:val="22"/>
          <w:szCs w:val="22"/>
        </w:rPr>
        <w:t>collect and publi</w:t>
      </w:r>
      <w:r w:rsidR="00AF611F">
        <w:rPr>
          <w:rFonts w:ascii="Cambria" w:hAnsi="Cambria"/>
          <w:sz w:val="22"/>
          <w:szCs w:val="22"/>
        </w:rPr>
        <w:t>sh</w:t>
      </w:r>
      <w:r w:rsidRPr="00C66F0F">
        <w:rPr>
          <w:rFonts w:ascii="Cambria" w:hAnsi="Cambria"/>
          <w:sz w:val="22"/>
          <w:szCs w:val="22"/>
        </w:rPr>
        <w:t xml:space="preserve"> strike date and reasons for trade information, so that in </w:t>
      </w:r>
      <w:r w:rsidRPr="00C66F0F">
        <w:rPr>
          <w:rFonts w:ascii="Cambria" w:hAnsi="Cambria"/>
          <w:sz w:val="22"/>
          <w:szCs w:val="22"/>
        </w:rPr>
        <w:lastRenderedPageBreak/>
        <w:t xml:space="preserve">addition to state-based publication, this information can be made available consistent with other </w:t>
      </w:r>
      <w:r w:rsidR="00C35757" w:rsidRPr="00C66F0F">
        <w:rPr>
          <w:rFonts w:ascii="Cambria" w:hAnsi="Cambria"/>
          <w:sz w:val="22"/>
          <w:szCs w:val="22"/>
        </w:rPr>
        <w:t>B</w:t>
      </w:r>
      <w:r w:rsidRPr="00C66F0F">
        <w:rPr>
          <w:rFonts w:ascii="Cambria" w:hAnsi="Cambria"/>
          <w:sz w:val="22"/>
          <w:szCs w:val="22"/>
        </w:rPr>
        <w:t>asin-wide water and water market information published by the Bureau of Meteorology.</w:t>
      </w:r>
    </w:p>
    <w:p w14:paraId="24E3EA24" w14:textId="50C426BE" w:rsidR="00506A60" w:rsidRPr="007F7212" w:rsidRDefault="007F7212" w:rsidP="007F7212">
      <w:pPr>
        <w:pStyle w:val="Heading3"/>
        <w:spacing w:before="0"/>
        <w:ind w:left="964" w:hanging="964"/>
        <w:rPr>
          <w:rFonts w:ascii="Calibri" w:eastAsia="Times New Roman" w:hAnsi="Calibri" w:cs="Times New Roman"/>
          <w:b/>
          <w:bCs/>
          <w:color w:val="auto"/>
          <w:sz w:val="36"/>
        </w:rPr>
      </w:pPr>
      <w:bookmarkStart w:id="23" w:name="_Toc90470971"/>
      <w:r>
        <w:rPr>
          <w:rFonts w:ascii="Calibri" w:eastAsia="Times New Roman" w:hAnsi="Calibri" w:cs="Times New Roman"/>
          <w:b/>
          <w:bCs/>
          <w:color w:val="auto"/>
          <w:sz w:val="36"/>
        </w:rPr>
        <w:t>4.4</w:t>
      </w:r>
      <w:r>
        <w:rPr>
          <w:rFonts w:ascii="Calibri" w:eastAsia="Times New Roman" w:hAnsi="Calibri" w:cs="Times New Roman"/>
          <w:b/>
          <w:bCs/>
          <w:color w:val="auto"/>
          <w:sz w:val="36"/>
        </w:rPr>
        <w:tab/>
      </w:r>
      <w:r w:rsidR="00506A60" w:rsidRPr="007F7212">
        <w:rPr>
          <w:rFonts w:ascii="Calibri" w:eastAsia="Times New Roman" w:hAnsi="Calibri" w:cs="Times New Roman"/>
          <w:b/>
          <w:bCs/>
          <w:color w:val="auto"/>
          <w:sz w:val="36"/>
        </w:rPr>
        <w:t xml:space="preserve">Develop and deliver a Commonwealth </w:t>
      </w:r>
      <w:r w:rsidR="0043604D">
        <w:rPr>
          <w:rFonts w:ascii="Calibri" w:eastAsia="Times New Roman" w:hAnsi="Calibri" w:cs="Times New Roman"/>
          <w:b/>
          <w:bCs/>
          <w:color w:val="auto"/>
          <w:sz w:val="36"/>
        </w:rPr>
        <w:t xml:space="preserve">led </w:t>
      </w:r>
      <w:r w:rsidR="00506A60" w:rsidRPr="007F7212">
        <w:rPr>
          <w:rFonts w:ascii="Calibri" w:eastAsia="Times New Roman" w:hAnsi="Calibri" w:cs="Times New Roman"/>
          <w:b/>
          <w:bCs/>
          <w:color w:val="auto"/>
          <w:sz w:val="36"/>
        </w:rPr>
        <w:t>Basin-wide water markets education program</w:t>
      </w:r>
      <w:bookmarkEnd w:id="23"/>
    </w:p>
    <w:p w14:paraId="73BCAB71" w14:textId="4C39322F" w:rsidR="00506A60" w:rsidRPr="00DE7EB7" w:rsidRDefault="00506A60" w:rsidP="00283CA8">
      <w:pPr>
        <w:spacing w:after="200" w:line="276" w:lineRule="auto"/>
        <w:rPr>
          <w:rFonts w:ascii="Cambria" w:hAnsi="Cambria"/>
          <w:sz w:val="22"/>
          <w:szCs w:val="22"/>
        </w:rPr>
      </w:pPr>
      <w:r w:rsidRPr="00DE7EB7">
        <w:rPr>
          <w:rFonts w:ascii="Cambria" w:hAnsi="Cambria"/>
          <w:sz w:val="22"/>
          <w:szCs w:val="22"/>
        </w:rPr>
        <w:t>Australian water markets have expanded significantly since the 1990s and become increasingly complex. More than ever, stakeholders need quality, timely and readily accessible information to navigat</w:t>
      </w:r>
      <w:r w:rsidR="002D6EB4">
        <w:rPr>
          <w:rFonts w:ascii="Cambria" w:hAnsi="Cambria"/>
          <w:sz w:val="22"/>
          <w:szCs w:val="22"/>
        </w:rPr>
        <w:t>e</w:t>
      </w:r>
      <w:r w:rsidRPr="00DE7EB7">
        <w:rPr>
          <w:rFonts w:ascii="Cambria" w:hAnsi="Cambria"/>
          <w:sz w:val="22"/>
          <w:szCs w:val="22"/>
        </w:rPr>
        <w:t xml:space="preserve"> water markets and operate effectively. A lack of readily accessible (rather than just </w:t>
      </w:r>
      <w:r w:rsidRPr="00AB594C">
        <w:rPr>
          <w:rFonts w:ascii="Cambria" w:hAnsi="Cambria"/>
          <w:sz w:val="22"/>
          <w:szCs w:val="22"/>
        </w:rPr>
        <w:t>available</w:t>
      </w:r>
      <w:r w:rsidRPr="00DE7EB7">
        <w:rPr>
          <w:rFonts w:ascii="Cambria" w:hAnsi="Cambria"/>
          <w:sz w:val="22"/>
          <w:szCs w:val="22"/>
        </w:rPr>
        <w:t xml:space="preserve">) information affects users’ confidence in markets and their willingness to participate. </w:t>
      </w:r>
    </w:p>
    <w:p w14:paraId="2809FD79" w14:textId="4B9F2639" w:rsidR="00506A60" w:rsidRPr="00DE7EB7" w:rsidRDefault="00506A60" w:rsidP="00283CA8">
      <w:pPr>
        <w:spacing w:after="200" w:line="276" w:lineRule="auto"/>
        <w:rPr>
          <w:rFonts w:ascii="Cambria" w:hAnsi="Cambria"/>
          <w:sz w:val="22"/>
          <w:szCs w:val="22"/>
        </w:rPr>
      </w:pPr>
      <w:r w:rsidRPr="00DE7EB7">
        <w:rPr>
          <w:rFonts w:ascii="Cambria" w:hAnsi="Cambria"/>
          <w:sz w:val="22"/>
          <w:szCs w:val="22"/>
        </w:rPr>
        <w:t>More broadly, with increasing pressures on water availability</w:t>
      </w:r>
      <w:r w:rsidR="007A2100">
        <w:rPr>
          <w:rFonts w:ascii="Cambria" w:hAnsi="Cambria"/>
          <w:sz w:val="22"/>
          <w:szCs w:val="22"/>
        </w:rPr>
        <w:t xml:space="preserve"> and the need to manage supp</w:t>
      </w:r>
      <w:r w:rsidR="00936284">
        <w:rPr>
          <w:rFonts w:ascii="Cambria" w:hAnsi="Cambria"/>
          <w:sz w:val="22"/>
          <w:szCs w:val="22"/>
        </w:rPr>
        <w:t>ly and price risks</w:t>
      </w:r>
      <w:r w:rsidRPr="00DE7EB7">
        <w:rPr>
          <w:rFonts w:ascii="Cambria" w:hAnsi="Cambria"/>
          <w:sz w:val="22"/>
          <w:szCs w:val="22"/>
        </w:rPr>
        <w:t xml:space="preserve">, there is a </w:t>
      </w:r>
      <w:r w:rsidR="00936284">
        <w:rPr>
          <w:rFonts w:ascii="Cambria" w:hAnsi="Cambria"/>
          <w:sz w:val="22"/>
          <w:szCs w:val="22"/>
        </w:rPr>
        <w:t>keen</w:t>
      </w:r>
      <w:r w:rsidRPr="00DE7EB7">
        <w:rPr>
          <w:rFonts w:ascii="Cambria" w:hAnsi="Cambria"/>
          <w:sz w:val="22"/>
          <w:szCs w:val="22"/>
        </w:rPr>
        <w:t xml:space="preserve"> interest in understanding how allocation decisions are made by governments and </w:t>
      </w:r>
      <w:r w:rsidR="00480B81">
        <w:rPr>
          <w:rFonts w:ascii="Cambria" w:hAnsi="Cambria"/>
          <w:sz w:val="22"/>
          <w:szCs w:val="22"/>
        </w:rPr>
        <w:t>influences on</w:t>
      </w:r>
      <w:r w:rsidRPr="00DE7EB7">
        <w:rPr>
          <w:rFonts w:ascii="Cambria" w:hAnsi="Cambria"/>
          <w:sz w:val="22"/>
          <w:szCs w:val="22"/>
        </w:rPr>
        <w:t xml:space="preserve"> water supply.</w:t>
      </w:r>
      <w:r w:rsidRPr="00AB594C">
        <w:rPr>
          <w:rFonts w:ascii="Cambria" w:hAnsi="Cambria"/>
          <w:sz w:val="22"/>
          <w:szCs w:val="22"/>
        </w:rPr>
        <w:t xml:space="preserve"> </w:t>
      </w:r>
      <w:r w:rsidRPr="00DE7EB7">
        <w:rPr>
          <w:rFonts w:ascii="Cambria" w:hAnsi="Cambria"/>
          <w:sz w:val="22"/>
          <w:szCs w:val="22"/>
        </w:rPr>
        <w:t xml:space="preserve"> </w:t>
      </w:r>
      <w:r w:rsidR="00403A28" w:rsidRPr="00DE7EB7">
        <w:rPr>
          <w:rFonts w:ascii="Cambria" w:hAnsi="Cambria"/>
          <w:sz w:val="22"/>
          <w:szCs w:val="22"/>
        </w:rPr>
        <w:t>T</w:t>
      </w:r>
      <w:r w:rsidRPr="00DE7EB7">
        <w:rPr>
          <w:rFonts w:ascii="Cambria" w:hAnsi="Cambria"/>
          <w:sz w:val="22"/>
          <w:szCs w:val="22"/>
        </w:rPr>
        <w:t>he current labyrinth of information is an additional and significant barrier to improving water market literacy (and water literacy more broadly) within communities, hinder</w:t>
      </w:r>
      <w:r w:rsidR="00000413">
        <w:rPr>
          <w:rFonts w:ascii="Cambria" w:hAnsi="Cambria"/>
          <w:sz w:val="22"/>
          <w:szCs w:val="22"/>
        </w:rPr>
        <w:t>ing</w:t>
      </w:r>
      <w:r w:rsidRPr="00DE7EB7">
        <w:rPr>
          <w:rFonts w:ascii="Cambria" w:hAnsi="Cambria"/>
          <w:sz w:val="22"/>
          <w:szCs w:val="22"/>
        </w:rPr>
        <w:t xml:space="preserve"> confidence and trust in water markets. To that end, education and water market literacy </w:t>
      </w:r>
      <w:r w:rsidR="00000413">
        <w:rPr>
          <w:rFonts w:ascii="Cambria" w:hAnsi="Cambria"/>
          <w:sz w:val="22"/>
          <w:szCs w:val="22"/>
        </w:rPr>
        <w:t>will assist</w:t>
      </w:r>
      <w:r w:rsidRPr="00DE7EB7">
        <w:rPr>
          <w:rFonts w:ascii="Cambria" w:hAnsi="Cambria"/>
          <w:sz w:val="22"/>
          <w:szCs w:val="22"/>
        </w:rPr>
        <w:t xml:space="preserve"> stakeholders </w:t>
      </w:r>
      <w:r w:rsidR="00000413">
        <w:rPr>
          <w:rFonts w:ascii="Cambria" w:hAnsi="Cambria"/>
          <w:sz w:val="22"/>
          <w:szCs w:val="22"/>
        </w:rPr>
        <w:t>to</w:t>
      </w:r>
      <w:r w:rsidRPr="00DE7EB7">
        <w:rPr>
          <w:rFonts w:ascii="Cambria" w:hAnsi="Cambria"/>
          <w:sz w:val="22"/>
          <w:szCs w:val="22"/>
        </w:rPr>
        <w:t xml:space="preserve"> make best use of the right information for their circumstances</w:t>
      </w:r>
      <w:r w:rsidR="009818F8">
        <w:rPr>
          <w:rFonts w:ascii="Cambria" w:hAnsi="Cambria"/>
          <w:sz w:val="22"/>
          <w:szCs w:val="22"/>
        </w:rPr>
        <w:t>.</w:t>
      </w:r>
    </w:p>
    <w:p w14:paraId="224DC255" w14:textId="58FB486F" w:rsidR="00506A60" w:rsidRPr="001344D9" w:rsidRDefault="00506A60" w:rsidP="00283CA8">
      <w:pPr>
        <w:spacing w:after="200" w:line="276" w:lineRule="auto"/>
        <w:rPr>
          <w:rFonts w:ascii="Cambria" w:hAnsi="Cambria"/>
          <w:sz w:val="22"/>
          <w:szCs w:val="22"/>
        </w:rPr>
      </w:pPr>
      <w:r w:rsidRPr="00AB594C">
        <w:rPr>
          <w:rFonts w:ascii="Cambria" w:hAnsi="Cambria"/>
          <w:sz w:val="22"/>
          <w:szCs w:val="22"/>
        </w:rPr>
        <w:t>The ACCC f</w:t>
      </w:r>
      <w:r w:rsidRPr="007C2117">
        <w:rPr>
          <w:rFonts w:ascii="Cambria" w:hAnsi="Cambria"/>
          <w:sz w:val="22"/>
          <w:szCs w:val="22"/>
        </w:rPr>
        <w:t xml:space="preserve">ound that greater transparency around decisions, </w:t>
      </w:r>
      <w:proofErr w:type="gramStart"/>
      <w:r w:rsidRPr="007C2117">
        <w:rPr>
          <w:rFonts w:ascii="Cambria" w:hAnsi="Cambria"/>
          <w:sz w:val="22"/>
          <w:szCs w:val="22"/>
        </w:rPr>
        <w:t>education</w:t>
      </w:r>
      <w:proofErr w:type="gramEnd"/>
      <w:r w:rsidRPr="007C2117">
        <w:rPr>
          <w:rFonts w:ascii="Cambria" w:hAnsi="Cambria"/>
          <w:sz w:val="22"/>
          <w:szCs w:val="22"/>
        </w:rPr>
        <w:t xml:space="preserve"> and access to meaningful information on water markets would i</w:t>
      </w:r>
      <w:r w:rsidRPr="00DE7EB7">
        <w:rPr>
          <w:rFonts w:ascii="Cambria" w:hAnsi="Cambria"/>
          <w:sz w:val="22"/>
          <w:szCs w:val="22"/>
        </w:rPr>
        <w:t xml:space="preserve">mprove confidence in market participation, support better decision making and encourage greater engagement by irrigators and other water users.  </w:t>
      </w:r>
    </w:p>
    <w:p w14:paraId="1C24F346" w14:textId="1DE1444E" w:rsidR="00506A60" w:rsidRPr="001A194D" w:rsidRDefault="00506A60" w:rsidP="00283CA8">
      <w:pPr>
        <w:spacing w:after="200" w:line="276" w:lineRule="auto"/>
        <w:rPr>
          <w:rFonts w:ascii="Cambria" w:hAnsi="Cambria"/>
          <w:sz w:val="22"/>
          <w:szCs w:val="22"/>
        </w:rPr>
      </w:pPr>
      <w:r w:rsidRPr="007C1BF1">
        <w:rPr>
          <w:rFonts w:ascii="Cambria" w:hAnsi="Cambria"/>
          <w:sz w:val="22"/>
          <w:szCs w:val="22"/>
        </w:rPr>
        <w:t>Basin states have made progress to</w:t>
      </w:r>
      <w:r w:rsidRPr="003443AB">
        <w:rPr>
          <w:rFonts w:ascii="Cambria" w:hAnsi="Cambria"/>
          <w:sz w:val="22"/>
          <w:szCs w:val="22"/>
        </w:rPr>
        <w:t>war</w:t>
      </w:r>
      <w:r w:rsidRPr="005F2DE4">
        <w:rPr>
          <w:rFonts w:ascii="Cambria" w:hAnsi="Cambria"/>
          <w:sz w:val="22"/>
          <w:szCs w:val="22"/>
        </w:rPr>
        <w:t>ds promoting transparency of how water is managed. Currently, all Basin states and the</w:t>
      </w:r>
      <w:r w:rsidRPr="00637EBF">
        <w:rPr>
          <w:rFonts w:ascii="Cambria" w:hAnsi="Cambria"/>
          <w:sz w:val="22"/>
          <w:szCs w:val="22"/>
        </w:rPr>
        <w:t xml:space="preserve"> MDBA publish information on water markets and relevant policy and regulation within their </w:t>
      </w:r>
      <w:r w:rsidR="009818F8">
        <w:rPr>
          <w:rFonts w:ascii="Cambria" w:hAnsi="Cambria"/>
          <w:sz w:val="22"/>
          <w:szCs w:val="22"/>
        </w:rPr>
        <w:t>jurisdiction.</w:t>
      </w:r>
      <w:r w:rsidRPr="00637EBF">
        <w:rPr>
          <w:rFonts w:ascii="Cambria" w:hAnsi="Cambria"/>
          <w:sz w:val="22"/>
          <w:szCs w:val="22"/>
        </w:rPr>
        <w:t xml:space="preserve"> There are also digital</w:t>
      </w:r>
      <w:r w:rsidRPr="001A194D">
        <w:rPr>
          <w:rFonts w:ascii="Cambria" w:hAnsi="Cambria"/>
          <w:sz w:val="22"/>
          <w:szCs w:val="22"/>
        </w:rPr>
        <w:t xml:space="preserve"> resources available containing Basin-wide information such as the Waterflow platform</w:t>
      </w:r>
      <w:r w:rsidR="00AF611F">
        <w:rPr>
          <w:rFonts w:ascii="Cambria" w:hAnsi="Cambria"/>
          <w:sz w:val="22"/>
          <w:szCs w:val="22"/>
        </w:rPr>
        <w:t>,</w:t>
      </w:r>
      <w:r w:rsidRPr="001A194D">
        <w:rPr>
          <w:rFonts w:ascii="Cambria" w:hAnsi="Cambria"/>
          <w:sz w:val="22"/>
          <w:szCs w:val="22"/>
        </w:rPr>
        <w:t xml:space="preserve"> developed with funding from the Commonwealth Government. </w:t>
      </w:r>
    </w:p>
    <w:p w14:paraId="50958757" w14:textId="483452F0" w:rsidR="00506A60" w:rsidRPr="009D732E" w:rsidRDefault="00506A60" w:rsidP="00283CA8">
      <w:pPr>
        <w:spacing w:after="200" w:line="276" w:lineRule="auto"/>
        <w:rPr>
          <w:rFonts w:ascii="Cambria" w:hAnsi="Cambria"/>
          <w:sz w:val="22"/>
          <w:szCs w:val="22"/>
        </w:rPr>
      </w:pPr>
      <w:r w:rsidRPr="00947F21">
        <w:rPr>
          <w:rFonts w:ascii="Cambria" w:hAnsi="Cambria"/>
          <w:sz w:val="22"/>
          <w:szCs w:val="22"/>
        </w:rPr>
        <w:t>In addition to these recommendations on improving information availability, the ACCC also recommended establishing a Basin-w</w:t>
      </w:r>
      <w:r w:rsidRPr="00686367">
        <w:rPr>
          <w:rFonts w:ascii="Cambria" w:hAnsi="Cambria"/>
          <w:sz w:val="22"/>
          <w:szCs w:val="22"/>
        </w:rPr>
        <w:t>ide education program. This recognises that improving information availability is insufficient</w:t>
      </w:r>
      <w:r w:rsidR="00AF611F">
        <w:rPr>
          <w:rFonts w:ascii="Cambria" w:hAnsi="Cambria"/>
          <w:sz w:val="22"/>
          <w:szCs w:val="22"/>
        </w:rPr>
        <w:t xml:space="preserve"> –</w:t>
      </w:r>
      <w:r w:rsidRPr="00686367">
        <w:rPr>
          <w:rFonts w:ascii="Cambria" w:hAnsi="Cambria"/>
          <w:sz w:val="22"/>
          <w:szCs w:val="22"/>
        </w:rPr>
        <w:t xml:space="preserve"> water market participants also need to be enabled to make better use of available information.</w:t>
      </w:r>
    </w:p>
    <w:p w14:paraId="1375F651" w14:textId="1A421223" w:rsidR="00506A60" w:rsidRPr="00DE7EB7" w:rsidRDefault="00506A60" w:rsidP="00283CA8">
      <w:pPr>
        <w:spacing w:after="200" w:line="276" w:lineRule="auto"/>
        <w:rPr>
          <w:rFonts w:ascii="Cambria" w:hAnsi="Cambria"/>
          <w:sz w:val="22"/>
          <w:szCs w:val="22"/>
        </w:rPr>
      </w:pPr>
      <w:r w:rsidRPr="00DE7EB7">
        <w:rPr>
          <w:rFonts w:ascii="Cambria" w:hAnsi="Cambria"/>
          <w:sz w:val="22"/>
          <w:szCs w:val="22"/>
        </w:rPr>
        <w:t>Basin states currently publish educational material on water markets individually</w:t>
      </w:r>
      <w:r w:rsidR="002B3138">
        <w:rPr>
          <w:rFonts w:ascii="Cambria" w:hAnsi="Cambria"/>
          <w:sz w:val="22"/>
          <w:szCs w:val="22"/>
        </w:rPr>
        <w:t xml:space="preserve"> </w:t>
      </w:r>
      <w:r w:rsidR="002B3138" w:rsidRPr="00DE7EB7">
        <w:rPr>
          <w:rFonts w:ascii="Cambria" w:hAnsi="Cambria"/>
          <w:sz w:val="22"/>
          <w:szCs w:val="22"/>
        </w:rPr>
        <w:t>(</w:t>
      </w:r>
      <w:r w:rsidR="002B3138">
        <w:rPr>
          <w:rFonts w:ascii="Cambria" w:hAnsi="Cambria"/>
          <w:sz w:val="22"/>
          <w:szCs w:val="22"/>
        </w:rPr>
        <w:t xml:space="preserve">except </w:t>
      </w:r>
      <w:r w:rsidR="002B3138" w:rsidRPr="00DE7EB7">
        <w:rPr>
          <w:rFonts w:ascii="Cambria" w:hAnsi="Cambria"/>
          <w:sz w:val="22"/>
          <w:szCs w:val="22"/>
        </w:rPr>
        <w:t>the ACT</w:t>
      </w:r>
      <w:r w:rsidR="002B3138">
        <w:rPr>
          <w:rFonts w:ascii="Cambria" w:hAnsi="Cambria"/>
          <w:sz w:val="22"/>
          <w:szCs w:val="22"/>
        </w:rPr>
        <w:t>, given the infancy of its water market</w:t>
      </w:r>
      <w:r w:rsidR="002B3138" w:rsidRPr="00DE7EB7">
        <w:rPr>
          <w:rFonts w:ascii="Cambria" w:hAnsi="Cambria"/>
          <w:sz w:val="22"/>
          <w:szCs w:val="22"/>
        </w:rPr>
        <w:t>)</w:t>
      </w:r>
      <w:r w:rsidRPr="00DE7EB7">
        <w:rPr>
          <w:rFonts w:ascii="Cambria" w:hAnsi="Cambria"/>
          <w:sz w:val="22"/>
          <w:szCs w:val="22"/>
        </w:rPr>
        <w:t xml:space="preserve">. The </w:t>
      </w:r>
      <w:r w:rsidRPr="00AB594C">
        <w:rPr>
          <w:rFonts w:ascii="Cambria" w:hAnsi="Cambria"/>
          <w:sz w:val="22"/>
          <w:szCs w:val="22"/>
        </w:rPr>
        <w:t>MDBA</w:t>
      </w:r>
      <w:r w:rsidRPr="00DE7EB7">
        <w:rPr>
          <w:rFonts w:ascii="Cambria" w:hAnsi="Cambria"/>
          <w:sz w:val="22"/>
          <w:szCs w:val="22"/>
        </w:rPr>
        <w:t xml:space="preserve"> produces webinars focused on different aspects of water management and river operations across the Basin. </w:t>
      </w:r>
    </w:p>
    <w:p w14:paraId="2F772F82" w14:textId="2464EEC2" w:rsidR="00506A60" w:rsidRPr="00DE7EB7" w:rsidRDefault="00506A60" w:rsidP="00283CA8">
      <w:pPr>
        <w:spacing w:after="200" w:line="276" w:lineRule="auto"/>
        <w:rPr>
          <w:rFonts w:ascii="Cambria" w:hAnsi="Cambria"/>
          <w:sz w:val="22"/>
          <w:szCs w:val="22"/>
        </w:rPr>
      </w:pPr>
      <w:r w:rsidRPr="00DE7EB7">
        <w:rPr>
          <w:rFonts w:ascii="Cambria" w:hAnsi="Cambria"/>
          <w:sz w:val="22"/>
          <w:szCs w:val="22"/>
        </w:rPr>
        <w:t xml:space="preserve">But while each jurisdiction individually provides information on water trading rule reviews and other decisions affecting water markets, </w:t>
      </w:r>
      <w:r w:rsidR="00CF36F6" w:rsidRPr="00DE7EB7">
        <w:rPr>
          <w:rFonts w:ascii="Cambria" w:hAnsi="Cambria"/>
          <w:sz w:val="22"/>
          <w:szCs w:val="22"/>
        </w:rPr>
        <w:t xml:space="preserve">it is difficult for </w:t>
      </w:r>
      <w:r w:rsidRPr="00DE7EB7">
        <w:rPr>
          <w:rFonts w:ascii="Cambria" w:hAnsi="Cambria"/>
          <w:sz w:val="22"/>
          <w:szCs w:val="22"/>
        </w:rPr>
        <w:t xml:space="preserve">water users </w:t>
      </w:r>
      <w:r w:rsidR="00607F7C" w:rsidRPr="00DE7EB7">
        <w:rPr>
          <w:rFonts w:ascii="Cambria" w:hAnsi="Cambria"/>
          <w:sz w:val="22"/>
          <w:szCs w:val="22"/>
        </w:rPr>
        <w:t xml:space="preserve">and </w:t>
      </w:r>
      <w:r w:rsidR="00731BF5" w:rsidRPr="00DE7EB7">
        <w:rPr>
          <w:rFonts w:ascii="Cambria" w:hAnsi="Cambria"/>
          <w:sz w:val="22"/>
          <w:szCs w:val="22"/>
        </w:rPr>
        <w:t xml:space="preserve">the community more broadly </w:t>
      </w:r>
      <w:r w:rsidR="00CF36F6" w:rsidRPr="00DE7EB7">
        <w:rPr>
          <w:rFonts w:ascii="Cambria" w:hAnsi="Cambria"/>
          <w:sz w:val="22"/>
          <w:szCs w:val="22"/>
        </w:rPr>
        <w:t xml:space="preserve">to </w:t>
      </w:r>
      <w:r w:rsidRPr="00DE7EB7">
        <w:rPr>
          <w:rFonts w:ascii="Cambria" w:hAnsi="Cambria"/>
          <w:sz w:val="22"/>
          <w:szCs w:val="22"/>
        </w:rPr>
        <w:t>find information across multiple jurisdictions, and each jurisdiction differs in the level and method of information provided. This can undermine stakeholder confidence that they understand the full framework of rules applying in their context</w:t>
      </w:r>
      <w:r w:rsidR="003C72DC" w:rsidRPr="00DE7EB7">
        <w:rPr>
          <w:rFonts w:ascii="Cambria" w:hAnsi="Cambria"/>
          <w:sz w:val="22"/>
          <w:szCs w:val="22"/>
        </w:rPr>
        <w:t xml:space="preserve"> or trust in water management and water markets</w:t>
      </w:r>
      <w:r w:rsidR="00DE3F3B" w:rsidRPr="00DE7EB7">
        <w:rPr>
          <w:rFonts w:ascii="Cambria" w:hAnsi="Cambria"/>
          <w:sz w:val="22"/>
          <w:szCs w:val="22"/>
        </w:rPr>
        <w:t xml:space="preserve"> more generally</w:t>
      </w:r>
      <w:r w:rsidRPr="00DE7EB7">
        <w:rPr>
          <w:rFonts w:ascii="Cambria" w:hAnsi="Cambria"/>
          <w:sz w:val="22"/>
          <w:szCs w:val="22"/>
        </w:rPr>
        <w:t>. Th</w:t>
      </w:r>
      <w:r w:rsidR="000C7825" w:rsidRPr="00DE7EB7">
        <w:rPr>
          <w:rFonts w:ascii="Cambria" w:hAnsi="Cambria"/>
          <w:sz w:val="22"/>
          <w:szCs w:val="22"/>
        </w:rPr>
        <w:t>e</w:t>
      </w:r>
      <w:r w:rsidRPr="00DE7EB7">
        <w:rPr>
          <w:rFonts w:ascii="Cambria" w:hAnsi="Cambria"/>
          <w:sz w:val="22"/>
          <w:szCs w:val="22"/>
        </w:rPr>
        <w:t xml:space="preserve"> difficulty to engage with different processes can </w:t>
      </w:r>
      <w:r w:rsidR="000C7825" w:rsidRPr="00DE7EB7">
        <w:rPr>
          <w:rFonts w:ascii="Cambria" w:hAnsi="Cambria"/>
          <w:sz w:val="22"/>
          <w:szCs w:val="22"/>
        </w:rPr>
        <w:t xml:space="preserve">also </w:t>
      </w:r>
      <w:r w:rsidRPr="00DE7EB7">
        <w:rPr>
          <w:rFonts w:ascii="Cambria" w:hAnsi="Cambria"/>
          <w:sz w:val="22"/>
          <w:szCs w:val="22"/>
        </w:rPr>
        <w:t xml:space="preserve">create barriers to entry to meaningful and individual participation in water markets. </w:t>
      </w:r>
    </w:p>
    <w:p w14:paraId="0A665CE8" w14:textId="14387216" w:rsidR="00506A60" w:rsidRPr="00DE7EB7" w:rsidRDefault="00506A60" w:rsidP="00283CA8">
      <w:pPr>
        <w:spacing w:after="200" w:line="276" w:lineRule="auto"/>
        <w:rPr>
          <w:rFonts w:ascii="Cambria" w:hAnsi="Cambria"/>
          <w:sz w:val="22"/>
          <w:szCs w:val="22"/>
        </w:rPr>
      </w:pPr>
      <w:r w:rsidRPr="00DE7EB7">
        <w:rPr>
          <w:rFonts w:ascii="Cambria" w:hAnsi="Cambria"/>
          <w:sz w:val="22"/>
          <w:szCs w:val="22"/>
        </w:rPr>
        <w:t>Increasing education</w:t>
      </w:r>
      <w:r w:rsidR="00AB452F" w:rsidRPr="00DE7EB7">
        <w:rPr>
          <w:rFonts w:ascii="Cambria" w:hAnsi="Cambria"/>
          <w:sz w:val="22"/>
          <w:szCs w:val="22"/>
        </w:rPr>
        <w:t xml:space="preserve">, including </w:t>
      </w:r>
      <w:r w:rsidR="008F64CD">
        <w:rPr>
          <w:rFonts w:ascii="Cambria" w:hAnsi="Cambria"/>
          <w:sz w:val="22"/>
          <w:szCs w:val="22"/>
        </w:rPr>
        <w:t xml:space="preserve">to </w:t>
      </w:r>
      <w:r w:rsidR="00AB452F" w:rsidRPr="00DE7EB7">
        <w:rPr>
          <w:rFonts w:ascii="Cambria" w:hAnsi="Cambria"/>
          <w:sz w:val="22"/>
          <w:szCs w:val="22"/>
        </w:rPr>
        <w:t>ensur</w:t>
      </w:r>
      <w:r w:rsidR="008F64CD">
        <w:rPr>
          <w:rFonts w:ascii="Cambria" w:hAnsi="Cambria"/>
          <w:sz w:val="22"/>
          <w:szCs w:val="22"/>
        </w:rPr>
        <w:t>e</w:t>
      </w:r>
      <w:r w:rsidR="00AB452F" w:rsidRPr="00DE7EB7">
        <w:rPr>
          <w:rFonts w:ascii="Cambria" w:hAnsi="Cambria"/>
          <w:sz w:val="22"/>
          <w:szCs w:val="22"/>
        </w:rPr>
        <w:t xml:space="preserve"> accessibility to clear and relevant information,</w:t>
      </w:r>
      <w:r w:rsidRPr="00DE7EB7">
        <w:rPr>
          <w:rFonts w:ascii="Cambria" w:hAnsi="Cambria"/>
          <w:sz w:val="22"/>
          <w:szCs w:val="22"/>
        </w:rPr>
        <w:t xml:space="preserve"> will assist current and potential market participants to better understand water products and </w:t>
      </w:r>
      <w:r w:rsidRPr="00DE7EB7">
        <w:rPr>
          <w:rFonts w:ascii="Cambria" w:hAnsi="Cambria"/>
          <w:sz w:val="22"/>
          <w:szCs w:val="22"/>
        </w:rPr>
        <w:lastRenderedPageBreak/>
        <w:t xml:space="preserve">trading rules, and to engage confidently in water trading. It will also assist the development </w:t>
      </w:r>
      <w:r w:rsidRPr="00AB594C">
        <w:rPr>
          <w:rFonts w:ascii="Cambria" w:hAnsi="Cambria"/>
          <w:sz w:val="22"/>
          <w:szCs w:val="22"/>
        </w:rPr>
        <w:t>of</w:t>
      </w:r>
      <w:r w:rsidRPr="00DE7EB7">
        <w:rPr>
          <w:rFonts w:ascii="Cambria" w:hAnsi="Cambria"/>
          <w:sz w:val="22"/>
          <w:szCs w:val="22"/>
        </w:rPr>
        <w:t xml:space="preserve"> water markets in jurisdictions where those markets are less mature.</w:t>
      </w:r>
    </w:p>
    <w:p w14:paraId="65C42D83" w14:textId="618C2782" w:rsidR="00506A60" w:rsidRPr="00DE7EB7" w:rsidRDefault="00506A60" w:rsidP="00283CA8">
      <w:pPr>
        <w:spacing w:after="200" w:line="276" w:lineRule="auto"/>
        <w:rPr>
          <w:rFonts w:ascii="Cambria" w:hAnsi="Cambria"/>
          <w:sz w:val="22"/>
          <w:szCs w:val="22"/>
        </w:rPr>
      </w:pPr>
      <w:r w:rsidRPr="00DE7EB7">
        <w:rPr>
          <w:rFonts w:ascii="Cambria" w:hAnsi="Cambria"/>
          <w:sz w:val="22"/>
          <w:szCs w:val="22"/>
        </w:rPr>
        <w:t>Accordingly, all Basin states have provided in-</w:t>
      </w:r>
      <w:proofErr w:type="gramStart"/>
      <w:r w:rsidRPr="00DE7EB7">
        <w:rPr>
          <w:rFonts w:ascii="Cambria" w:hAnsi="Cambria"/>
          <w:sz w:val="22"/>
          <w:szCs w:val="22"/>
        </w:rPr>
        <w:t>principle</w:t>
      </w:r>
      <w:proofErr w:type="gramEnd"/>
      <w:r w:rsidRPr="00DE7EB7">
        <w:rPr>
          <w:rFonts w:ascii="Cambria" w:hAnsi="Cambria"/>
          <w:sz w:val="22"/>
          <w:szCs w:val="22"/>
        </w:rPr>
        <w:t xml:space="preserve"> support to implement a Basin-wide </w:t>
      </w:r>
      <w:r w:rsidRPr="00AB594C">
        <w:rPr>
          <w:rFonts w:ascii="Cambria" w:hAnsi="Cambria"/>
          <w:sz w:val="22"/>
          <w:szCs w:val="22"/>
        </w:rPr>
        <w:t>Water</w:t>
      </w:r>
      <w:r w:rsidRPr="00DE7EB7">
        <w:rPr>
          <w:rFonts w:ascii="Cambria" w:hAnsi="Cambria"/>
          <w:sz w:val="22"/>
          <w:szCs w:val="22"/>
        </w:rPr>
        <w:t xml:space="preserve"> Market Education Program </w:t>
      </w:r>
      <w:r w:rsidR="004A57DD">
        <w:rPr>
          <w:rFonts w:ascii="Cambria" w:hAnsi="Cambria"/>
          <w:sz w:val="22"/>
          <w:szCs w:val="22"/>
        </w:rPr>
        <w:t>i</w:t>
      </w:r>
      <w:r w:rsidRPr="00DE7EB7">
        <w:rPr>
          <w:rFonts w:ascii="Cambria" w:hAnsi="Cambria"/>
          <w:sz w:val="22"/>
          <w:szCs w:val="22"/>
        </w:rPr>
        <w:t>n th</w:t>
      </w:r>
      <w:r w:rsidR="004A57DD">
        <w:rPr>
          <w:rFonts w:ascii="Cambria" w:hAnsi="Cambria"/>
          <w:sz w:val="22"/>
          <w:szCs w:val="22"/>
        </w:rPr>
        <w:t>is</w:t>
      </w:r>
      <w:r w:rsidRPr="00DE7EB7">
        <w:rPr>
          <w:rFonts w:ascii="Cambria" w:hAnsi="Cambria"/>
          <w:sz w:val="22"/>
          <w:szCs w:val="22"/>
        </w:rPr>
        <w:t xml:space="preserve"> first tranche of implementation measures. The details of this initiative will be worked out in developing the roadmap. </w:t>
      </w:r>
    </w:p>
    <w:p w14:paraId="3212DDB9" w14:textId="15ACA5F9" w:rsidR="00506A60" w:rsidRPr="007F7212" w:rsidRDefault="007F7212" w:rsidP="007F7212">
      <w:pPr>
        <w:pStyle w:val="Heading3"/>
        <w:spacing w:before="0"/>
        <w:ind w:left="964" w:hanging="964"/>
        <w:rPr>
          <w:rFonts w:ascii="Calibri" w:eastAsia="Times New Roman" w:hAnsi="Calibri" w:cs="Times New Roman"/>
          <w:b/>
          <w:bCs/>
          <w:color w:val="auto"/>
          <w:sz w:val="36"/>
        </w:rPr>
      </w:pPr>
      <w:bookmarkStart w:id="24" w:name="_Toc90470972"/>
      <w:r>
        <w:rPr>
          <w:rFonts w:ascii="Calibri" w:eastAsia="Times New Roman" w:hAnsi="Calibri" w:cs="Times New Roman"/>
          <w:b/>
          <w:bCs/>
          <w:color w:val="auto"/>
          <w:sz w:val="36"/>
        </w:rPr>
        <w:t>4.5</w:t>
      </w:r>
      <w:r>
        <w:rPr>
          <w:rFonts w:ascii="Calibri" w:eastAsia="Times New Roman" w:hAnsi="Calibri" w:cs="Times New Roman"/>
          <w:b/>
          <w:bCs/>
          <w:color w:val="auto"/>
          <w:sz w:val="36"/>
        </w:rPr>
        <w:tab/>
      </w:r>
      <w:r w:rsidR="00506A60" w:rsidRPr="007F7212">
        <w:rPr>
          <w:rFonts w:ascii="Calibri" w:eastAsia="Times New Roman" w:hAnsi="Calibri" w:cs="Times New Roman"/>
          <w:b/>
          <w:bCs/>
          <w:color w:val="auto"/>
          <w:sz w:val="36"/>
        </w:rPr>
        <w:t xml:space="preserve">Amend the Basin Plan to remove grandfathered tags exemption at </w:t>
      </w:r>
      <w:r w:rsidR="002E12F0" w:rsidRPr="007F7212">
        <w:rPr>
          <w:rFonts w:ascii="Calibri" w:eastAsia="Times New Roman" w:hAnsi="Calibri" w:cs="Times New Roman"/>
          <w:b/>
          <w:bCs/>
          <w:color w:val="auto"/>
          <w:sz w:val="36"/>
        </w:rPr>
        <w:t xml:space="preserve">the </w:t>
      </w:r>
      <w:r w:rsidR="00506A60" w:rsidRPr="007F7212">
        <w:rPr>
          <w:rFonts w:ascii="Calibri" w:eastAsia="Times New Roman" w:hAnsi="Calibri" w:cs="Times New Roman"/>
          <w:b/>
          <w:bCs/>
          <w:color w:val="auto"/>
          <w:sz w:val="36"/>
        </w:rPr>
        <w:t>next available opportunity</w:t>
      </w:r>
      <w:bookmarkEnd w:id="24"/>
    </w:p>
    <w:p w14:paraId="7AFC6599" w14:textId="752C1705" w:rsidR="00446116" w:rsidRPr="00DE7EB7" w:rsidRDefault="00446116" w:rsidP="00283CA8">
      <w:pPr>
        <w:spacing w:after="200" w:line="276" w:lineRule="auto"/>
        <w:rPr>
          <w:rFonts w:ascii="Cambria" w:hAnsi="Cambria"/>
          <w:sz w:val="22"/>
          <w:szCs w:val="22"/>
        </w:rPr>
      </w:pPr>
      <w:r w:rsidRPr="00DE7EB7">
        <w:rPr>
          <w:rFonts w:ascii="Cambria" w:hAnsi="Cambria"/>
          <w:sz w:val="22"/>
          <w:szCs w:val="22"/>
        </w:rPr>
        <w:t>Rule 12.23 of the Basin Plan generally provides that orders placed under a ‘tagged water access entitlement’ (to allow water arising from a right in one location to be extracted from a different location) are subject to the same restrictions applying to any allocation trade between those two locations. However, clause 12.23(2) exempts water access entitlements established before 22 October 2010 from this restriction – ‘</w:t>
      </w:r>
      <w:r w:rsidRPr="004E2890">
        <w:rPr>
          <w:rFonts w:ascii="Cambria" w:eastAsia="Arial Narrow" w:hAnsi="Cambria" w:cs="Calibri"/>
          <w:sz w:val="22"/>
          <w:szCs w:val="22"/>
        </w:rPr>
        <w:t>grandfather</w:t>
      </w:r>
      <w:r w:rsidR="0095207F">
        <w:rPr>
          <w:rFonts w:ascii="Cambria" w:eastAsia="Arial Narrow" w:hAnsi="Cambria" w:cs="Calibri"/>
          <w:sz w:val="22"/>
          <w:szCs w:val="22"/>
        </w:rPr>
        <w:t>ing</w:t>
      </w:r>
      <w:r w:rsidRPr="004E2890">
        <w:rPr>
          <w:rFonts w:ascii="Cambria" w:eastAsia="Arial Narrow" w:hAnsi="Cambria" w:cs="Calibri"/>
          <w:sz w:val="22"/>
          <w:szCs w:val="22"/>
        </w:rPr>
        <w:t>’</w:t>
      </w:r>
      <w:r w:rsidRPr="00DE7EB7">
        <w:rPr>
          <w:rFonts w:ascii="Cambria" w:hAnsi="Cambria"/>
          <w:sz w:val="22"/>
          <w:szCs w:val="22"/>
        </w:rPr>
        <w:t xml:space="preserve"> those entitlements.  </w:t>
      </w:r>
    </w:p>
    <w:p w14:paraId="3FD29B43" w14:textId="66CEA25D" w:rsidR="00446116" w:rsidRPr="00DE7EB7" w:rsidRDefault="00446116" w:rsidP="00283CA8">
      <w:pPr>
        <w:spacing w:after="200" w:line="276" w:lineRule="auto"/>
        <w:rPr>
          <w:rFonts w:ascii="Cambria" w:hAnsi="Cambria"/>
          <w:sz w:val="22"/>
          <w:szCs w:val="22"/>
        </w:rPr>
      </w:pPr>
      <w:r w:rsidRPr="00DE7EB7">
        <w:rPr>
          <w:rFonts w:ascii="Cambria" w:hAnsi="Cambria"/>
          <w:sz w:val="22"/>
          <w:szCs w:val="22"/>
        </w:rPr>
        <w:t>Under current arrangements in some states,</w:t>
      </w:r>
      <w:r w:rsidRPr="00536E2C">
        <w:rPr>
          <w:rFonts w:ascii="Cambria" w:hAnsi="Cambria"/>
          <w:sz w:val="22"/>
          <w:szCs w:val="22"/>
          <w:vertAlign w:val="superscript"/>
        </w:rPr>
        <w:footnoteReference w:id="13"/>
      </w:r>
      <w:r w:rsidR="00864333">
        <w:rPr>
          <w:rFonts w:ascii="Cambria" w:hAnsi="Cambria"/>
          <w:sz w:val="22"/>
          <w:szCs w:val="22"/>
        </w:rPr>
        <w:t xml:space="preserve"> </w:t>
      </w:r>
      <w:r w:rsidRPr="00DE7EB7">
        <w:rPr>
          <w:rFonts w:ascii="Cambria" w:hAnsi="Cambria"/>
          <w:sz w:val="22"/>
          <w:szCs w:val="22"/>
        </w:rPr>
        <w:t xml:space="preserve">the owners of grandfathered tags may be able to order water for delivery from one zone to another, at times when trade restrictions prevent others from </w:t>
      </w:r>
      <w:r w:rsidR="002B3138">
        <w:rPr>
          <w:rFonts w:ascii="Cambria" w:hAnsi="Cambria"/>
          <w:sz w:val="22"/>
          <w:szCs w:val="22"/>
        </w:rPr>
        <w:t xml:space="preserve">similarly </w:t>
      </w:r>
      <w:r w:rsidRPr="00DE7EB7">
        <w:rPr>
          <w:rFonts w:ascii="Cambria" w:hAnsi="Cambria"/>
          <w:sz w:val="22"/>
          <w:szCs w:val="22"/>
        </w:rPr>
        <w:t xml:space="preserve">moving their water between these same locations by allocation trade. This: </w:t>
      </w:r>
    </w:p>
    <w:p w14:paraId="0D9B3CC6" w14:textId="6F9DE89E" w:rsidR="00446116" w:rsidRPr="00E66573" w:rsidRDefault="00446116" w:rsidP="00283CA8">
      <w:pPr>
        <w:pStyle w:val="ListParagraph"/>
        <w:numPr>
          <w:ilvl w:val="0"/>
          <w:numId w:val="6"/>
        </w:numPr>
        <w:spacing w:after="200" w:line="276" w:lineRule="auto"/>
        <w:ind w:left="357" w:hanging="357"/>
        <w:rPr>
          <w:rFonts w:ascii="Cambria" w:hAnsi="Cambria"/>
          <w:sz w:val="22"/>
          <w:szCs w:val="22"/>
        </w:rPr>
      </w:pPr>
      <w:r w:rsidRPr="00E66573">
        <w:rPr>
          <w:rFonts w:ascii="Cambria" w:hAnsi="Cambria"/>
          <w:sz w:val="22"/>
          <w:szCs w:val="22"/>
        </w:rPr>
        <w:t xml:space="preserve">creates an advantage for the </w:t>
      </w:r>
      <w:r w:rsidR="002B3138">
        <w:rPr>
          <w:rFonts w:ascii="Cambria" w:hAnsi="Cambria"/>
          <w:sz w:val="22"/>
          <w:szCs w:val="22"/>
        </w:rPr>
        <w:t xml:space="preserve">grandfathered </w:t>
      </w:r>
      <w:r w:rsidRPr="00E66573">
        <w:rPr>
          <w:rFonts w:ascii="Cambria" w:hAnsi="Cambria"/>
          <w:sz w:val="22"/>
          <w:szCs w:val="22"/>
        </w:rPr>
        <w:t xml:space="preserve">tag holder, who can access their water in the destination zone when others can’t, and </w:t>
      </w:r>
    </w:p>
    <w:p w14:paraId="17772CD5" w14:textId="607AB5FB" w:rsidR="00446116" w:rsidRPr="00E66573" w:rsidRDefault="00446116" w:rsidP="00283CA8">
      <w:pPr>
        <w:pStyle w:val="ListParagraph"/>
        <w:numPr>
          <w:ilvl w:val="0"/>
          <w:numId w:val="6"/>
        </w:numPr>
        <w:spacing w:after="200" w:line="276" w:lineRule="auto"/>
        <w:ind w:left="357" w:hanging="357"/>
        <w:rPr>
          <w:rFonts w:ascii="Cambria" w:hAnsi="Cambria"/>
          <w:sz w:val="22"/>
          <w:szCs w:val="22"/>
        </w:rPr>
      </w:pPr>
      <w:r w:rsidRPr="00E66573">
        <w:rPr>
          <w:rFonts w:ascii="Cambria" w:hAnsi="Cambria"/>
          <w:sz w:val="22"/>
          <w:szCs w:val="22"/>
        </w:rPr>
        <w:t xml:space="preserve">influences inter-zone trade opportunities by affecting the relevant inter-valley or interstate account balances, which are credited or debited (depending on the direction of the tag) when water is ordered under a tag (as well as when water is traded). </w:t>
      </w:r>
    </w:p>
    <w:p w14:paraId="75A14EF7" w14:textId="6DB4F536" w:rsidR="00506A60" w:rsidRPr="00DE7EB7" w:rsidRDefault="00446116" w:rsidP="00283CA8">
      <w:pPr>
        <w:spacing w:after="200" w:line="276" w:lineRule="auto"/>
        <w:rPr>
          <w:rFonts w:ascii="Cambria" w:hAnsi="Cambria"/>
          <w:sz w:val="22"/>
          <w:szCs w:val="22"/>
        </w:rPr>
      </w:pPr>
      <w:r w:rsidRPr="00DE7EB7">
        <w:rPr>
          <w:rFonts w:ascii="Cambria" w:hAnsi="Cambria"/>
          <w:sz w:val="22"/>
          <w:szCs w:val="22"/>
        </w:rPr>
        <w:t xml:space="preserve">The ACCC inquiry found the exemption in the Basin Plan water trading rules to be inequitable and that there was broad scale support for its removal. </w:t>
      </w:r>
      <w:r w:rsidR="00506A60" w:rsidRPr="00DE7EB7">
        <w:rPr>
          <w:rFonts w:ascii="Cambria" w:hAnsi="Cambria"/>
          <w:sz w:val="22"/>
          <w:szCs w:val="22"/>
        </w:rPr>
        <w:t xml:space="preserve">Basin </w:t>
      </w:r>
      <w:r w:rsidR="00536E2C">
        <w:rPr>
          <w:rFonts w:ascii="Cambria" w:hAnsi="Cambria"/>
          <w:sz w:val="22"/>
          <w:szCs w:val="22"/>
        </w:rPr>
        <w:t>states</w:t>
      </w:r>
      <w:r w:rsidR="00506A60" w:rsidRPr="00DE7EB7">
        <w:rPr>
          <w:rFonts w:ascii="Cambria" w:hAnsi="Cambria"/>
          <w:sz w:val="22"/>
          <w:szCs w:val="22"/>
        </w:rPr>
        <w:t xml:space="preserve"> have agreed with the ACCC recommendation that it </w:t>
      </w:r>
      <w:r w:rsidR="006A4569" w:rsidRPr="00DE7EB7">
        <w:rPr>
          <w:rFonts w:ascii="Cambria" w:hAnsi="Cambria"/>
          <w:sz w:val="22"/>
          <w:szCs w:val="22"/>
        </w:rPr>
        <w:t xml:space="preserve">should </w:t>
      </w:r>
      <w:r w:rsidR="00506A60" w:rsidRPr="00DE7EB7">
        <w:rPr>
          <w:rFonts w:ascii="Cambria" w:hAnsi="Cambria"/>
          <w:sz w:val="22"/>
          <w:szCs w:val="22"/>
        </w:rPr>
        <w:t>be repealed and support the removal of this exemption at the next available opportunity</w:t>
      </w:r>
      <w:r w:rsidR="00B26886">
        <w:rPr>
          <w:rFonts w:ascii="Cambria" w:hAnsi="Cambria"/>
          <w:sz w:val="22"/>
          <w:szCs w:val="22"/>
        </w:rPr>
        <w:t xml:space="preserve"> via an amendment to the</w:t>
      </w:r>
      <w:r w:rsidR="00560C11">
        <w:rPr>
          <w:rFonts w:ascii="Cambria" w:hAnsi="Cambria"/>
          <w:sz w:val="22"/>
          <w:szCs w:val="22"/>
        </w:rPr>
        <w:t xml:space="preserve"> Basin Plan.</w:t>
      </w:r>
    </w:p>
    <w:p w14:paraId="6E896BA4" w14:textId="2AB8129A" w:rsidR="00FF4A36" w:rsidRPr="00C66F0F" w:rsidRDefault="001C1760" w:rsidP="001C1760">
      <w:pPr>
        <w:pStyle w:val="Heading2"/>
        <w:keepNext w:val="0"/>
        <w:keepLines w:val="0"/>
        <w:pageBreakBefore/>
        <w:spacing w:before="0" w:after="240"/>
        <w:ind w:left="720" w:hanging="720"/>
        <w:rPr>
          <w:rFonts w:asciiTheme="minorHAnsi" w:hAnsiTheme="minorHAnsi" w:cstheme="minorHAnsi"/>
          <w:color w:val="auto"/>
          <w:sz w:val="56"/>
          <w:szCs w:val="56"/>
        </w:rPr>
      </w:pPr>
      <w:bookmarkStart w:id="25" w:name="_Toc90470973"/>
      <w:r>
        <w:rPr>
          <w:rFonts w:asciiTheme="minorHAnsi" w:hAnsiTheme="minorHAnsi" w:cstheme="minorHAnsi"/>
          <w:color w:val="auto"/>
          <w:sz w:val="56"/>
          <w:szCs w:val="56"/>
        </w:rPr>
        <w:lastRenderedPageBreak/>
        <w:t>5</w:t>
      </w:r>
      <w:r>
        <w:rPr>
          <w:rFonts w:asciiTheme="minorHAnsi" w:hAnsiTheme="minorHAnsi" w:cstheme="minorHAnsi"/>
          <w:color w:val="auto"/>
          <w:sz w:val="56"/>
          <w:szCs w:val="56"/>
        </w:rPr>
        <w:tab/>
      </w:r>
      <w:r w:rsidR="00D5155C" w:rsidRPr="00C66F0F">
        <w:rPr>
          <w:rFonts w:asciiTheme="minorHAnsi" w:hAnsiTheme="minorHAnsi" w:cstheme="minorHAnsi"/>
          <w:color w:val="auto"/>
          <w:sz w:val="56"/>
          <w:szCs w:val="56"/>
        </w:rPr>
        <w:t>Further development of the roadmap</w:t>
      </w:r>
      <w:bookmarkEnd w:id="25"/>
    </w:p>
    <w:p w14:paraId="5D60A885" w14:textId="493FC98B" w:rsidR="000D2BA0" w:rsidRPr="00DE7EB7" w:rsidRDefault="0010198A" w:rsidP="00283CA8">
      <w:pPr>
        <w:spacing w:after="200" w:line="276" w:lineRule="auto"/>
        <w:rPr>
          <w:rFonts w:ascii="Cambria" w:hAnsi="Cambria"/>
          <w:sz w:val="22"/>
          <w:szCs w:val="22"/>
        </w:rPr>
      </w:pPr>
      <w:r>
        <w:rPr>
          <w:rFonts w:ascii="Cambria" w:hAnsi="Cambria"/>
          <w:sz w:val="22"/>
          <w:szCs w:val="22"/>
        </w:rPr>
        <w:t>T</w:t>
      </w:r>
      <w:r w:rsidR="00AD4ABD" w:rsidRPr="00DE7EB7">
        <w:rPr>
          <w:rFonts w:ascii="Cambria" w:hAnsi="Cambria"/>
          <w:sz w:val="22"/>
          <w:szCs w:val="22"/>
        </w:rPr>
        <w:t>h</w:t>
      </w:r>
      <w:r w:rsidR="00F70AC8">
        <w:rPr>
          <w:rFonts w:ascii="Cambria" w:hAnsi="Cambria"/>
          <w:sz w:val="22"/>
          <w:szCs w:val="22"/>
        </w:rPr>
        <w:t>is roadmap development</w:t>
      </w:r>
      <w:r w:rsidR="007B6AEF">
        <w:rPr>
          <w:rFonts w:ascii="Cambria" w:hAnsi="Cambria"/>
          <w:sz w:val="22"/>
          <w:szCs w:val="22"/>
        </w:rPr>
        <w:t xml:space="preserve"> project formally commenced</w:t>
      </w:r>
      <w:r w:rsidR="00316008" w:rsidRPr="00DE7EB7">
        <w:rPr>
          <w:rFonts w:ascii="Cambria" w:hAnsi="Cambria"/>
          <w:sz w:val="22"/>
          <w:szCs w:val="22"/>
        </w:rPr>
        <w:t xml:space="preserve"> </w:t>
      </w:r>
      <w:r w:rsidR="00CA1DCC" w:rsidRPr="00DE7EB7">
        <w:rPr>
          <w:rFonts w:ascii="Cambria" w:hAnsi="Cambria"/>
          <w:sz w:val="22"/>
          <w:szCs w:val="22"/>
        </w:rPr>
        <w:t xml:space="preserve">on 25 </w:t>
      </w:r>
      <w:r w:rsidR="00316008" w:rsidRPr="00DE7EB7">
        <w:rPr>
          <w:rFonts w:ascii="Cambria" w:hAnsi="Cambria"/>
          <w:sz w:val="22"/>
          <w:szCs w:val="22"/>
        </w:rPr>
        <w:t>October</w:t>
      </w:r>
      <w:r w:rsidR="009D074E" w:rsidRPr="00DE7EB7">
        <w:rPr>
          <w:rFonts w:ascii="Cambria" w:hAnsi="Cambria"/>
          <w:sz w:val="22"/>
          <w:szCs w:val="22"/>
        </w:rPr>
        <w:t xml:space="preserve"> </w:t>
      </w:r>
      <w:r>
        <w:rPr>
          <w:rFonts w:ascii="Cambria" w:hAnsi="Cambria"/>
          <w:sz w:val="22"/>
          <w:szCs w:val="22"/>
        </w:rPr>
        <w:t xml:space="preserve">and </w:t>
      </w:r>
      <w:r w:rsidR="00AD4ABD" w:rsidRPr="00DE7EB7">
        <w:rPr>
          <w:rFonts w:ascii="Cambria" w:hAnsi="Cambria"/>
          <w:sz w:val="22"/>
          <w:szCs w:val="22"/>
        </w:rPr>
        <w:t xml:space="preserve">there has been </w:t>
      </w:r>
      <w:r w:rsidR="007123F1" w:rsidRPr="00DE7EB7">
        <w:rPr>
          <w:rFonts w:ascii="Cambria" w:hAnsi="Cambria"/>
          <w:sz w:val="22"/>
          <w:szCs w:val="22"/>
        </w:rPr>
        <w:t>substantial</w:t>
      </w:r>
      <w:r w:rsidR="003C7AC6" w:rsidRPr="00DE7EB7">
        <w:rPr>
          <w:rFonts w:ascii="Cambria" w:hAnsi="Cambria"/>
          <w:sz w:val="22"/>
          <w:szCs w:val="22"/>
        </w:rPr>
        <w:t xml:space="preserve"> </w:t>
      </w:r>
      <w:r w:rsidR="005478DC" w:rsidRPr="00DE7EB7">
        <w:rPr>
          <w:rFonts w:ascii="Cambria" w:hAnsi="Cambria"/>
          <w:sz w:val="22"/>
          <w:szCs w:val="22"/>
        </w:rPr>
        <w:t>progress</w:t>
      </w:r>
      <w:r w:rsidR="008C3BE6">
        <w:rPr>
          <w:rFonts w:ascii="Cambria" w:hAnsi="Cambria"/>
          <w:sz w:val="22"/>
          <w:szCs w:val="22"/>
        </w:rPr>
        <w:t>, with</w:t>
      </w:r>
      <w:r w:rsidR="00E157CF" w:rsidRPr="00DE7EB7">
        <w:rPr>
          <w:rFonts w:ascii="Cambria" w:hAnsi="Cambria"/>
          <w:sz w:val="22"/>
          <w:szCs w:val="22"/>
        </w:rPr>
        <w:t xml:space="preserve"> </w:t>
      </w:r>
      <w:r w:rsidR="00D01E98" w:rsidRPr="00DE7EB7">
        <w:rPr>
          <w:rFonts w:ascii="Cambria" w:hAnsi="Cambria"/>
          <w:sz w:val="22"/>
          <w:szCs w:val="22"/>
        </w:rPr>
        <w:t xml:space="preserve">strong engagement and </w:t>
      </w:r>
      <w:r w:rsidR="00265DB6" w:rsidRPr="00DE7EB7">
        <w:rPr>
          <w:rFonts w:ascii="Cambria" w:hAnsi="Cambria"/>
          <w:sz w:val="22"/>
          <w:szCs w:val="22"/>
        </w:rPr>
        <w:t>commitment to reform from</w:t>
      </w:r>
      <w:r w:rsidR="00D01E98" w:rsidRPr="00DE7EB7">
        <w:rPr>
          <w:rFonts w:ascii="Cambria" w:hAnsi="Cambria"/>
          <w:sz w:val="22"/>
          <w:szCs w:val="22"/>
        </w:rPr>
        <w:t xml:space="preserve"> Basin state</w:t>
      </w:r>
      <w:r w:rsidR="008C3BE6">
        <w:rPr>
          <w:rFonts w:ascii="Cambria" w:hAnsi="Cambria"/>
          <w:sz w:val="22"/>
          <w:szCs w:val="22"/>
        </w:rPr>
        <w:t>s</w:t>
      </w:r>
      <w:r w:rsidR="002F548C" w:rsidRPr="00DE7EB7">
        <w:rPr>
          <w:rFonts w:ascii="Cambria" w:hAnsi="Cambria"/>
          <w:sz w:val="22"/>
          <w:szCs w:val="22"/>
        </w:rPr>
        <w:t xml:space="preserve"> in developing this </w:t>
      </w:r>
      <w:r w:rsidR="00AB206E" w:rsidRPr="00DE7EB7">
        <w:rPr>
          <w:rFonts w:ascii="Cambria" w:hAnsi="Cambria"/>
          <w:sz w:val="22"/>
          <w:szCs w:val="22"/>
        </w:rPr>
        <w:t xml:space="preserve">initial </w:t>
      </w:r>
      <w:r w:rsidR="00536E2C">
        <w:rPr>
          <w:rFonts w:ascii="Cambria" w:hAnsi="Cambria"/>
          <w:sz w:val="22"/>
          <w:szCs w:val="22"/>
        </w:rPr>
        <w:t>a</w:t>
      </w:r>
      <w:r w:rsidR="002F548C" w:rsidRPr="00DE7EB7">
        <w:rPr>
          <w:rFonts w:ascii="Cambria" w:hAnsi="Cambria"/>
          <w:sz w:val="22"/>
          <w:szCs w:val="22"/>
        </w:rPr>
        <w:t>dvice</w:t>
      </w:r>
      <w:r w:rsidR="00D01E98" w:rsidRPr="00DE7EB7">
        <w:rPr>
          <w:rFonts w:ascii="Cambria" w:hAnsi="Cambria"/>
          <w:sz w:val="22"/>
          <w:szCs w:val="22"/>
        </w:rPr>
        <w:t xml:space="preserve">. </w:t>
      </w:r>
      <w:r w:rsidR="008D5DBB" w:rsidRPr="00DE7EB7">
        <w:rPr>
          <w:rFonts w:ascii="Cambria" w:hAnsi="Cambria"/>
          <w:sz w:val="22"/>
          <w:szCs w:val="22"/>
        </w:rPr>
        <w:t xml:space="preserve">This augurs well for the </w:t>
      </w:r>
      <w:r w:rsidR="0045602C" w:rsidRPr="00DE7EB7">
        <w:rPr>
          <w:rFonts w:ascii="Cambria" w:hAnsi="Cambria"/>
          <w:sz w:val="22"/>
          <w:szCs w:val="22"/>
        </w:rPr>
        <w:t>r</w:t>
      </w:r>
      <w:r w:rsidR="000A31D6">
        <w:rPr>
          <w:rFonts w:ascii="Cambria" w:hAnsi="Cambria"/>
          <w:sz w:val="22"/>
          <w:szCs w:val="22"/>
        </w:rPr>
        <w:t>emainder of the project</w:t>
      </w:r>
      <w:r w:rsidR="002B3138">
        <w:rPr>
          <w:rFonts w:ascii="Cambria" w:hAnsi="Cambria"/>
          <w:sz w:val="22"/>
          <w:szCs w:val="22"/>
        </w:rPr>
        <w:t xml:space="preserve"> and s</w:t>
      </w:r>
      <w:r w:rsidR="002B3138" w:rsidRPr="00DE7EB7">
        <w:rPr>
          <w:rFonts w:ascii="Cambria" w:hAnsi="Cambria"/>
          <w:sz w:val="22"/>
          <w:szCs w:val="22"/>
        </w:rPr>
        <w:t xml:space="preserve">o </w:t>
      </w:r>
      <w:r w:rsidR="00886414" w:rsidRPr="00DE7EB7">
        <w:rPr>
          <w:rFonts w:ascii="Cambria" w:hAnsi="Cambria"/>
          <w:sz w:val="22"/>
          <w:szCs w:val="22"/>
        </w:rPr>
        <w:t xml:space="preserve">too does the </w:t>
      </w:r>
      <w:r w:rsidR="00C6227B" w:rsidRPr="00DE7EB7">
        <w:rPr>
          <w:rFonts w:ascii="Cambria" w:hAnsi="Cambria"/>
          <w:sz w:val="22"/>
          <w:szCs w:val="22"/>
        </w:rPr>
        <w:t xml:space="preserve">positive </w:t>
      </w:r>
      <w:r w:rsidR="00287C0C">
        <w:rPr>
          <w:rFonts w:ascii="Cambria" w:hAnsi="Cambria"/>
          <w:sz w:val="22"/>
          <w:szCs w:val="22"/>
        </w:rPr>
        <w:t>early</w:t>
      </w:r>
      <w:r w:rsidR="003A2B62" w:rsidRPr="00DE7EB7">
        <w:rPr>
          <w:rFonts w:ascii="Cambria" w:hAnsi="Cambria"/>
          <w:sz w:val="22"/>
          <w:szCs w:val="22"/>
        </w:rPr>
        <w:t xml:space="preserve"> </w:t>
      </w:r>
      <w:r w:rsidR="00063D84" w:rsidRPr="00DE7EB7">
        <w:rPr>
          <w:rFonts w:ascii="Cambria" w:hAnsi="Cambria"/>
          <w:sz w:val="22"/>
          <w:szCs w:val="22"/>
        </w:rPr>
        <w:t xml:space="preserve">engagement </w:t>
      </w:r>
      <w:r w:rsidR="0040650E">
        <w:rPr>
          <w:rFonts w:ascii="Cambria" w:hAnsi="Cambria"/>
          <w:sz w:val="22"/>
          <w:szCs w:val="22"/>
        </w:rPr>
        <w:t>w</w:t>
      </w:r>
      <w:r w:rsidR="003D15E2" w:rsidRPr="00DE7EB7">
        <w:rPr>
          <w:rFonts w:ascii="Cambria" w:hAnsi="Cambria"/>
          <w:sz w:val="22"/>
          <w:szCs w:val="22"/>
        </w:rPr>
        <w:t xml:space="preserve">ith </w:t>
      </w:r>
      <w:r w:rsidR="006A2646">
        <w:rPr>
          <w:rFonts w:ascii="Cambria" w:hAnsi="Cambria"/>
          <w:sz w:val="22"/>
          <w:szCs w:val="22"/>
        </w:rPr>
        <w:t xml:space="preserve">service providers </w:t>
      </w:r>
      <w:r w:rsidR="003A2B62">
        <w:rPr>
          <w:rFonts w:ascii="Cambria" w:hAnsi="Cambria"/>
          <w:sz w:val="22"/>
          <w:szCs w:val="22"/>
        </w:rPr>
        <w:t>and broader community</w:t>
      </w:r>
      <w:r w:rsidR="006A2646">
        <w:rPr>
          <w:rFonts w:ascii="Cambria" w:hAnsi="Cambria"/>
          <w:sz w:val="22"/>
          <w:szCs w:val="22"/>
        </w:rPr>
        <w:t xml:space="preserve"> in the Basin</w:t>
      </w:r>
      <w:r w:rsidR="002B3138">
        <w:rPr>
          <w:rFonts w:ascii="Cambria" w:hAnsi="Cambria"/>
          <w:sz w:val="22"/>
          <w:szCs w:val="22"/>
        </w:rPr>
        <w:t>, noting however the more difficult issues are ahead of us</w:t>
      </w:r>
      <w:r w:rsidR="0035201C" w:rsidRPr="00DE7EB7">
        <w:rPr>
          <w:rFonts w:ascii="Cambria" w:hAnsi="Cambria"/>
          <w:sz w:val="22"/>
          <w:szCs w:val="22"/>
        </w:rPr>
        <w:t>.</w:t>
      </w:r>
    </w:p>
    <w:p w14:paraId="5BDB7B69" w14:textId="27A161DE" w:rsidR="00832381" w:rsidRDefault="00A56E77" w:rsidP="00283CA8">
      <w:pPr>
        <w:spacing w:after="200" w:line="276" w:lineRule="auto"/>
        <w:rPr>
          <w:rFonts w:ascii="Cambria" w:hAnsi="Cambria"/>
          <w:sz w:val="22"/>
          <w:szCs w:val="22"/>
        </w:rPr>
      </w:pPr>
      <w:r>
        <w:rPr>
          <w:rFonts w:ascii="Cambria" w:hAnsi="Cambria"/>
          <w:sz w:val="22"/>
          <w:szCs w:val="22"/>
        </w:rPr>
        <w:t>It seems likely that the most significant measure</w:t>
      </w:r>
      <w:r w:rsidR="001F3C00">
        <w:rPr>
          <w:rFonts w:ascii="Cambria" w:hAnsi="Cambria"/>
          <w:sz w:val="22"/>
          <w:szCs w:val="22"/>
        </w:rPr>
        <w:t>s</w:t>
      </w:r>
      <w:r>
        <w:rPr>
          <w:rFonts w:ascii="Cambria" w:hAnsi="Cambria"/>
          <w:sz w:val="22"/>
          <w:szCs w:val="22"/>
        </w:rPr>
        <w:t xml:space="preserve"> to be considered </w:t>
      </w:r>
      <w:r w:rsidR="001F3C00">
        <w:rPr>
          <w:rFonts w:ascii="Cambria" w:hAnsi="Cambria"/>
          <w:sz w:val="22"/>
          <w:szCs w:val="22"/>
        </w:rPr>
        <w:t>will be</w:t>
      </w:r>
      <w:r w:rsidR="00F33F59">
        <w:rPr>
          <w:rFonts w:ascii="Cambria" w:hAnsi="Cambria"/>
          <w:sz w:val="22"/>
          <w:szCs w:val="22"/>
        </w:rPr>
        <w:t xml:space="preserve"> </w:t>
      </w:r>
      <w:r w:rsidR="00C72412">
        <w:rPr>
          <w:rFonts w:ascii="Cambria" w:hAnsi="Cambria"/>
          <w:sz w:val="22"/>
          <w:szCs w:val="22"/>
        </w:rPr>
        <w:t>improving</w:t>
      </w:r>
      <w:r w:rsidR="006860FD">
        <w:rPr>
          <w:rFonts w:ascii="Cambria" w:hAnsi="Cambria"/>
          <w:sz w:val="22"/>
          <w:szCs w:val="22"/>
        </w:rPr>
        <w:t xml:space="preserve"> the </w:t>
      </w:r>
      <w:r w:rsidR="00D17788">
        <w:rPr>
          <w:rFonts w:ascii="Cambria" w:hAnsi="Cambria"/>
          <w:sz w:val="22"/>
          <w:szCs w:val="22"/>
        </w:rPr>
        <w:t>system</w:t>
      </w:r>
      <w:r w:rsidR="000359C1">
        <w:rPr>
          <w:rFonts w:ascii="Cambria" w:hAnsi="Cambria"/>
          <w:sz w:val="22"/>
          <w:szCs w:val="22"/>
        </w:rPr>
        <w:t>s</w:t>
      </w:r>
      <w:r w:rsidR="00D17788">
        <w:rPr>
          <w:rFonts w:ascii="Cambria" w:hAnsi="Cambria"/>
          <w:sz w:val="22"/>
          <w:szCs w:val="22"/>
        </w:rPr>
        <w:t xml:space="preserve"> and supporting</w:t>
      </w:r>
      <w:r w:rsidR="006860FD">
        <w:rPr>
          <w:rFonts w:ascii="Cambria" w:hAnsi="Cambria"/>
          <w:sz w:val="22"/>
          <w:szCs w:val="22"/>
        </w:rPr>
        <w:t xml:space="preserve"> infrastructure </w:t>
      </w:r>
      <w:r w:rsidR="00EF4A07">
        <w:rPr>
          <w:rFonts w:ascii="Cambria" w:hAnsi="Cambria"/>
          <w:sz w:val="22"/>
          <w:szCs w:val="22"/>
        </w:rPr>
        <w:t xml:space="preserve">for recording and reporting trade </w:t>
      </w:r>
      <w:r w:rsidR="000359C1">
        <w:rPr>
          <w:rFonts w:ascii="Cambria" w:hAnsi="Cambria"/>
          <w:sz w:val="22"/>
          <w:szCs w:val="22"/>
        </w:rPr>
        <w:t xml:space="preserve">transactions and </w:t>
      </w:r>
      <w:r w:rsidR="00EF4A07">
        <w:rPr>
          <w:rFonts w:ascii="Cambria" w:hAnsi="Cambria"/>
          <w:sz w:val="22"/>
          <w:szCs w:val="22"/>
        </w:rPr>
        <w:t>related</w:t>
      </w:r>
      <w:r w:rsidR="004468B4">
        <w:rPr>
          <w:rFonts w:ascii="Cambria" w:hAnsi="Cambria"/>
          <w:sz w:val="22"/>
          <w:szCs w:val="22"/>
        </w:rPr>
        <w:t xml:space="preserve"> market</w:t>
      </w:r>
      <w:r w:rsidR="00EF4A07">
        <w:rPr>
          <w:rFonts w:ascii="Cambria" w:hAnsi="Cambria"/>
          <w:sz w:val="22"/>
          <w:szCs w:val="22"/>
        </w:rPr>
        <w:t xml:space="preserve"> information.</w:t>
      </w:r>
      <w:r w:rsidR="00EE24C7">
        <w:rPr>
          <w:rFonts w:ascii="Cambria" w:hAnsi="Cambria"/>
          <w:sz w:val="22"/>
          <w:szCs w:val="22"/>
        </w:rPr>
        <w:t xml:space="preserve"> </w:t>
      </w:r>
      <w:r w:rsidR="00B70568">
        <w:rPr>
          <w:rFonts w:ascii="Cambria" w:hAnsi="Cambria"/>
          <w:sz w:val="22"/>
          <w:szCs w:val="22"/>
        </w:rPr>
        <w:t xml:space="preserve">Improving both public and private digital infrastructure </w:t>
      </w:r>
      <w:r w:rsidR="00253880">
        <w:rPr>
          <w:rFonts w:ascii="Cambria" w:hAnsi="Cambria"/>
          <w:sz w:val="22"/>
          <w:szCs w:val="22"/>
        </w:rPr>
        <w:t>and the collection of water market data</w:t>
      </w:r>
      <w:r w:rsidR="00521181">
        <w:rPr>
          <w:rFonts w:ascii="Cambria" w:hAnsi="Cambria"/>
          <w:sz w:val="22"/>
          <w:szCs w:val="22"/>
        </w:rPr>
        <w:t xml:space="preserve"> </w:t>
      </w:r>
      <w:r w:rsidR="004468B4">
        <w:rPr>
          <w:rFonts w:ascii="Cambria" w:hAnsi="Cambria"/>
          <w:sz w:val="22"/>
          <w:szCs w:val="22"/>
        </w:rPr>
        <w:t>could</w:t>
      </w:r>
      <w:r w:rsidR="00253880">
        <w:rPr>
          <w:rFonts w:ascii="Cambria" w:hAnsi="Cambria"/>
          <w:sz w:val="22"/>
          <w:szCs w:val="22"/>
        </w:rPr>
        <w:t xml:space="preserve"> </w:t>
      </w:r>
      <w:r w:rsidR="00EF4A07">
        <w:rPr>
          <w:rFonts w:ascii="Cambria" w:hAnsi="Cambria"/>
          <w:sz w:val="22"/>
          <w:szCs w:val="22"/>
        </w:rPr>
        <w:t>improve decision making by all market participants and regulators</w:t>
      </w:r>
      <w:r w:rsidR="00567A0B">
        <w:rPr>
          <w:rFonts w:ascii="Cambria" w:hAnsi="Cambria"/>
          <w:sz w:val="22"/>
          <w:szCs w:val="22"/>
        </w:rPr>
        <w:t>, p</w:t>
      </w:r>
      <w:r w:rsidR="009F6651">
        <w:rPr>
          <w:rFonts w:ascii="Cambria" w:hAnsi="Cambria"/>
          <w:sz w:val="22"/>
          <w:szCs w:val="22"/>
        </w:rPr>
        <w:t xml:space="preserve">rovide </w:t>
      </w:r>
      <w:r w:rsidR="00CE78F2">
        <w:rPr>
          <w:rFonts w:ascii="Cambria" w:hAnsi="Cambria"/>
          <w:sz w:val="22"/>
          <w:szCs w:val="22"/>
        </w:rPr>
        <w:t>better</w:t>
      </w:r>
      <w:r w:rsidR="00DD1765">
        <w:rPr>
          <w:rFonts w:ascii="Cambria" w:hAnsi="Cambria"/>
          <w:sz w:val="22"/>
          <w:szCs w:val="22"/>
        </w:rPr>
        <w:t xml:space="preserve"> access to information</w:t>
      </w:r>
      <w:r w:rsidR="00737F46">
        <w:rPr>
          <w:rFonts w:ascii="Cambria" w:hAnsi="Cambria"/>
          <w:sz w:val="22"/>
          <w:szCs w:val="22"/>
        </w:rPr>
        <w:t xml:space="preserve"> and</w:t>
      </w:r>
      <w:r w:rsidR="00253880">
        <w:rPr>
          <w:rFonts w:ascii="Cambria" w:hAnsi="Cambria"/>
          <w:sz w:val="22"/>
          <w:szCs w:val="22"/>
        </w:rPr>
        <w:t xml:space="preserve"> </w:t>
      </w:r>
      <w:r w:rsidR="00CE78F2">
        <w:rPr>
          <w:rFonts w:ascii="Cambria" w:hAnsi="Cambria"/>
          <w:sz w:val="22"/>
          <w:szCs w:val="22"/>
        </w:rPr>
        <w:t>improve</w:t>
      </w:r>
      <w:r w:rsidR="00253880">
        <w:rPr>
          <w:rFonts w:ascii="Cambria" w:hAnsi="Cambria"/>
          <w:sz w:val="22"/>
          <w:szCs w:val="22"/>
        </w:rPr>
        <w:t xml:space="preserve"> confidence and participation of water users</w:t>
      </w:r>
      <w:r w:rsidR="00BA397E">
        <w:rPr>
          <w:rFonts w:ascii="Cambria" w:hAnsi="Cambria"/>
          <w:sz w:val="22"/>
          <w:szCs w:val="22"/>
        </w:rPr>
        <w:t>.</w:t>
      </w:r>
      <w:r w:rsidR="00253880">
        <w:rPr>
          <w:rFonts w:ascii="Cambria" w:hAnsi="Cambria"/>
          <w:sz w:val="22"/>
          <w:szCs w:val="22"/>
        </w:rPr>
        <w:t xml:space="preserve"> </w:t>
      </w:r>
      <w:r w:rsidR="00F83703">
        <w:rPr>
          <w:rFonts w:ascii="Cambria" w:hAnsi="Cambria"/>
          <w:sz w:val="22"/>
          <w:szCs w:val="22"/>
        </w:rPr>
        <w:t xml:space="preserve"> </w:t>
      </w:r>
      <w:r w:rsidR="00D01883">
        <w:rPr>
          <w:rFonts w:ascii="Cambria" w:hAnsi="Cambria"/>
          <w:sz w:val="22"/>
          <w:szCs w:val="22"/>
        </w:rPr>
        <w:t xml:space="preserve">Greater transparency </w:t>
      </w:r>
      <w:r w:rsidR="00C6541E">
        <w:rPr>
          <w:rFonts w:ascii="Cambria" w:hAnsi="Cambria"/>
          <w:sz w:val="22"/>
          <w:szCs w:val="22"/>
        </w:rPr>
        <w:t>will</w:t>
      </w:r>
      <w:r w:rsidR="002B3138">
        <w:rPr>
          <w:rFonts w:ascii="Cambria" w:hAnsi="Cambria"/>
          <w:sz w:val="22"/>
          <w:szCs w:val="22"/>
        </w:rPr>
        <w:t>, to some extent,</w:t>
      </w:r>
      <w:r w:rsidR="00C6541E">
        <w:rPr>
          <w:rFonts w:ascii="Cambria" w:hAnsi="Cambria"/>
          <w:sz w:val="22"/>
          <w:szCs w:val="22"/>
        </w:rPr>
        <w:t xml:space="preserve"> offset the unavoidable complexity </w:t>
      </w:r>
      <w:r w:rsidR="000B5E01">
        <w:rPr>
          <w:rFonts w:ascii="Cambria" w:hAnsi="Cambria"/>
          <w:sz w:val="22"/>
          <w:szCs w:val="22"/>
        </w:rPr>
        <w:t>in the B</w:t>
      </w:r>
      <w:r w:rsidR="00536E2C">
        <w:rPr>
          <w:rFonts w:ascii="Cambria" w:hAnsi="Cambria"/>
          <w:sz w:val="22"/>
          <w:szCs w:val="22"/>
        </w:rPr>
        <w:t>asin</w:t>
      </w:r>
      <w:r w:rsidR="000B5E01">
        <w:rPr>
          <w:rFonts w:ascii="Cambria" w:hAnsi="Cambria"/>
          <w:sz w:val="22"/>
          <w:szCs w:val="22"/>
        </w:rPr>
        <w:t xml:space="preserve"> arrangements, and </w:t>
      </w:r>
      <w:r w:rsidR="007E7467">
        <w:rPr>
          <w:rFonts w:ascii="Cambria" w:hAnsi="Cambria"/>
          <w:sz w:val="22"/>
          <w:szCs w:val="22"/>
        </w:rPr>
        <w:t>suspicions about the conduct of others that has</w:t>
      </w:r>
      <w:r w:rsidR="00832381">
        <w:rPr>
          <w:rFonts w:ascii="Cambria" w:hAnsi="Cambria"/>
          <w:sz w:val="22"/>
          <w:szCs w:val="22"/>
        </w:rPr>
        <w:t xml:space="preserve"> affected water management for many years.</w:t>
      </w:r>
      <w:r w:rsidR="00E5019D">
        <w:rPr>
          <w:rFonts w:ascii="Cambria" w:hAnsi="Cambria"/>
          <w:sz w:val="22"/>
          <w:szCs w:val="22"/>
        </w:rPr>
        <w:t xml:space="preserve"> </w:t>
      </w:r>
    </w:p>
    <w:p w14:paraId="4E6976D5" w14:textId="03D37F5A" w:rsidR="00760D6A" w:rsidRDefault="005628E4" w:rsidP="00283CA8">
      <w:pPr>
        <w:spacing w:after="200" w:line="276" w:lineRule="auto"/>
        <w:rPr>
          <w:rFonts w:ascii="Cambria" w:hAnsi="Cambria"/>
          <w:sz w:val="22"/>
          <w:szCs w:val="22"/>
        </w:rPr>
      </w:pPr>
      <w:r>
        <w:rPr>
          <w:rFonts w:ascii="Cambria" w:hAnsi="Cambria"/>
          <w:sz w:val="22"/>
          <w:szCs w:val="22"/>
        </w:rPr>
        <w:t>H</w:t>
      </w:r>
      <w:r w:rsidR="00F91E5C">
        <w:rPr>
          <w:rFonts w:ascii="Cambria" w:hAnsi="Cambria"/>
          <w:sz w:val="22"/>
          <w:szCs w:val="22"/>
        </w:rPr>
        <w:t>owever</w:t>
      </w:r>
      <w:r w:rsidR="00D45F02">
        <w:rPr>
          <w:rFonts w:ascii="Cambria" w:hAnsi="Cambria"/>
          <w:sz w:val="22"/>
          <w:szCs w:val="22"/>
        </w:rPr>
        <w:t>,</w:t>
      </w:r>
      <w:r w:rsidR="00B73E31">
        <w:rPr>
          <w:rFonts w:ascii="Cambria" w:hAnsi="Cambria"/>
          <w:sz w:val="22"/>
          <w:szCs w:val="22"/>
        </w:rPr>
        <w:t xml:space="preserve"> these improvements will require investment, probably by both governments and</w:t>
      </w:r>
      <w:r>
        <w:rPr>
          <w:rFonts w:ascii="Cambria" w:hAnsi="Cambria"/>
          <w:sz w:val="22"/>
          <w:szCs w:val="22"/>
        </w:rPr>
        <w:t xml:space="preserve"> water industry participants.  </w:t>
      </w:r>
      <w:r w:rsidR="00C40E74">
        <w:rPr>
          <w:rFonts w:ascii="Cambria" w:hAnsi="Cambria"/>
          <w:sz w:val="22"/>
          <w:szCs w:val="22"/>
        </w:rPr>
        <w:t xml:space="preserve">The </w:t>
      </w:r>
      <w:r w:rsidR="002B3138">
        <w:rPr>
          <w:rFonts w:ascii="Cambria" w:hAnsi="Cambria"/>
          <w:sz w:val="22"/>
          <w:szCs w:val="22"/>
        </w:rPr>
        <w:t xml:space="preserve">Basin </w:t>
      </w:r>
      <w:r w:rsidR="00C40E74">
        <w:rPr>
          <w:rFonts w:ascii="Cambria" w:hAnsi="Cambria"/>
          <w:sz w:val="22"/>
          <w:szCs w:val="22"/>
        </w:rPr>
        <w:t>water market remains</w:t>
      </w:r>
      <w:r w:rsidR="00405A63">
        <w:rPr>
          <w:rFonts w:ascii="Cambria" w:hAnsi="Cambria"/>
          <w:sz w:val="22"/>
          <w:szCs w:val="22"/>
        </w:rPr>
        <w:t xml:space="preserve"> a </w:t>
      </w:r>
      <w:r w:rsidR="009927B6">
        <w:rPr>
          <w:rFonts w:ascii="Cambria" w:hAnsi="Cambria"/>
          <w:sz w:val="22"/>
          <w:szCs w:val="22"/>
        </w:rPr>
        <w:t>small sector</w:t>
      </w:r>
      <w:r w:rsidR="00405A63">
        <w:rPr>
          <w:rFonts w:ascii="Cambria" w:hAnsi="Cambria"/>
          <w:sz w:val="22"/>
          <w:szCs w:val="22"/>
        </w:rPr>
        <w:t xml:space="preserve"> and</w:t>
      </w:r>
      <w:r w:rsidR="00D45F02">
        <w:rPr>
          <w:rFonts w:ascii="Cambria" w:hAnsi="Cambria"/>
          <w:sz w:val="22"/>
          <w:szCs w:val="22"/>
        </w:rPr>
        <w:t xml:space="preserve"> these measures will need to be designed</w:t>
      </w:r>
      <w:r w:rsidR="00EF0177">
        <w:rPr>
          <w:rFonts w:ascii="Cambria" w:hAnsi="Cambria"/>
          <w:sz w:val="22"/>
          <w:szCs w:val="22"/>
        </w:rPr>
        <w:t xml:space="preserve"> </w:t>
      </w:r>
      <w:r w:rsidR="00CA7C08">
        <w:rPr>
          <w:rFonts w:ascii="Cambria" w:hAnsi="Cambria"/>
          <w:sz w:val="22"/>
          <w:szCs w:val="22"/>
        </w:rPr>
        <w:t xml:space="preserve">with that in mind, focussing on </w:t>
      </w:r>
      <w:r w:rsidR="00FB5916">
        <w:rPr>
          <w:rFonts w:ascii="Cambria" w:hAnsi="Cambria"/>
          <w:sz w:val="22"/>
          <w:szCs w:val="22"/>
        </w:rPr>
        <w:t>affordable</w:t>
      </w:r>
      <w:r w:rsidR="00EF0177">
        <w:rPr>
          <w:rFonts w:ascii="Cambria" w:hAnsi="Cambria"/>
          <w:sz w:val="22"/>
          <w:szCs w:val="22"/>
        </w:rPr>
        <w:t xml:space="preserve">, cost-effective </w:t>
      </w:r>
      <w:r w:rsidR="00FB5916">
        <w:rPr>
          <w:rFonts w:ascii="Cambria" w:hAnsi="Cambria"/>
          <w:sz w:val="22"/>
          <w:szCs w:val="22"/>
        </w:rPr>
        <w:t>options</w:t>
      </w:r>
      <w:r w:rsidR="00B8602E">
        <w:rPr>
          <w:rFonts w:ascii="Cambria" w:hAnsi="Cambria"/>
          <w:sz w:val="22"/>
          <w:szCs w:val="22"/>
        </w:rPr>
        <w:t xml:space="preserve">. </w:t>
      </w:r>
      <w:r w:rsidR="00FB5916">
        <w:rPr>
          <w:rFonts w:ascii="Cambria" w:hAnsi="Cambria"/>
          <w:sz w:val="22"/>
          <w:szCs w:val="22"/>
        </w:rPr>
        <w:t>The same considerations will apply</w:t>
      </w:r>
      <w:r w:rsidR="00121651">
        <w:rPr>
          <w:rFonts w:ascii="Cambria" w:hAnsi="Cambria"/>
          <w:sz w:val="22"/>
          <w:szCs w:val="22"/>
        </w:rPr>
        <w:t xml:space="preserve"> in other areas, including new professional</w:t>
      </w:r>
      <w:r w:rsidR="00DC4262">
        <w:rPr>
          <w:rFonts w:ascii="Cambria" w:hAnsi="Cambria"/>
          <w:sz w:val="22"/>
          <w:szCs w:val="22"/>
        </w:rPr>
        <w:t xml:space="preserve"> services regulation, where care will be required to avoid creating unnecessary barriers to entry</w:t>
      </w:r>
      <w:r w:rsidR="003F5DAF">
        <w:rPr>
          <w:rFonts w:ascii="Cambria" w:hAnsi="Cambria"/>
          <w:sz w:val="22"/>
          <w:szCs w:val="22"/>
        </w:rPr>
        <w:t xml:space="preserve">. </w:t>
      </w:r>
      <w:r w:rsidR="00760D6A">
        <w:rPr>
          <w:rFonts w:ascii="Cambria" w:hAnsi="Cambria"/>
          <w:sz w:val="22"/>
          <w:szCs w:val="22"/>
        </w:rPr>
        <w:t>Our engagement with communities, water users and trade service providers will be central in navigating these issues.</w:t>
      </w:r>
    </w:p>
    <w:p w14:paraId="36E4A2AB" w14:textId="68008F99" w:rsidR="000A032D" w:rsidRDefault="005C29BC" w:rsidP="000A032D">
      <w:pPr>
        <w:spacing w:after="200" w:line="276" w:lineRule="auto"/>
        <w:rPr>
          <w:rFonts w:ascii="Cambria" w:hAnsi="Cambria"/>
          <w:sz w:val="22"/>
          <w:szCs w:val="22"/>
        </w:rPr>
      </w:pPr>
      <w:r>
        <w:rPr>
          <w:rFonts w:ascii="Cambria" w:hAnsi="Cambria"/>
          <w:sz w:val="22"/>
          <w:szCs w:val="22"/>
        </w:rPr>
        <w:t xml:space="preserve">On those matters proposed for </w:t>
      </w:r>
      <w:r w:rsidR="002B3138">
        <w:rPr>
          <w:rFonts w:ascii="Cambria" w:hAnsi="Cambria"/>
          <w:sz w:val="22"/>
          <w:szCs w:val="22"/>
        </w:rPr>
        <w:t>in-</w:t>
      </w:r>
      <w:proofErr w:type="gramStart"/>
      <w:r>
        <w:rPr>
          <w:rFonts w:ascii="Cambria" w:hAnsi="Cambria"/>
          <w:sz w:val="22"/>
          <w:szCs w:val="22"/>
        </w:rPr>
        <w:t>principle</w:t>
      </w:r>
      <w:proofErr w:type="gramEnd"/>
      <w:r>
        <w:rPr>
          <w:rFonts w:ascii="Cambria" w:hAnsi="Cambria"/>
          <w:sz w:val="22"/>
          <w:szCs w:val="22"/>
        </w:rPr>
        <w:t xml:space="preserve"> agreement</w:t>
      </w:r>
      <w:r w:rsidR="00596231">
        <w:rPr>
          <w:rFonts w:ascii="Cambria" w:hAnsi="Cambria"/>
          <w:sz w:val="22"/>
          <w:szCs w:val="22"/>
        </w:rPr>
        <w:t xml:space="preserve"> in this advice</w:t>
      </w:r>
      <w:r w:rsidR="002B3138">
        <w:rPr>
          <w:rFonts w:ascii="Cambria" w:hAnsi="Cambria"/>
          <w:sz w:val="22"/>
          <w:szCs w:val="22"/>
        </w:rPr>
        <w:t>,</w:t>
      </w:r>
      <w:r w:rsidR="000A032D">
        <w:rPr>
          <w:rFonts w:ascii="Cambria" w:hAnsi="Cambria"/>
          <w:sz w:val="22"/>
          <w:szCs w:val="22"/>
        </w:rPr>
        <w:t xml:space="preserve"> implementation details still need to be worked out, </w:t>
      </w:r>
      <w:r w:rsidR="00596231">
        <w:rPr>
          <w:rFonts w:ascii="Cambria" w:hAnsi="Cambria"/>
          <w:sz w:val="22"/>
          <w:szCs w:val="22"/>
        </w:rPr>
        <w:t>including responsibility for</w:t>
      </w:r>
      <w:r w:rsidR="00FC78E3">
        <w:rPr>
          <w:rFonts w:ascii="Cambria" w:hAnsi="Cambria"/>
          <w:sz w:val="22"/>
          <w:szCs w:val="22"/>
        </w:rPr>
        <w:t xml:space="preserve"> policy and enforcement.  </w:t>
      </w:r>
    </w:p>
    <w:p w14:paraId="2EF1157F" w14:textId="0F804FA9" w:rsidR="007F7E36" w:rsidRDefault="00F24395" w:rsidP="000A032D">
      <w:pPr>
        <w:spacing w:after="200" w:line="276" w:lineRule="auto"/>
        <w:rPr>
          <w:rFonts w:ascii="Cambria" w:hAnsi="Cambria"/>
          <w:sz w:val="22"/>
          <w:szCs w:val="22"/>
        </w:rPr>
      </w:pPr>
      <w:r>
        <w:rPr>
          <w:rFonts w:ascii="Cambria" w:hAnsi="Cambria"/>
          <w:sz w:val="22"/>
          <w:szCs w:val="22"/>
        </w:rPr>
        <w:t xml:space="preserve">The </w:t>
      </w:r>
      <w:r w:rsidR="002B3138">
        <w:rPr>
          <w:rFonts w:ascii="Cambria" w:hAnsi="Cambria"/>
          <w:sz w:val="22"/>
          <w:szCs w:val="22"/>
        </w:rPr>
        <w:t xml:space="preserve">ACCC </w:t>
      </w:r>
      <w:r>
        <w:rPr>
          <w:rFonts w:ascii="Cambria" w:hAnsi="Cambria"/>
          <w:sz w:val="22"/>
          <w:szCs w:val="22"/>
        </w:rPr>
        <w:t>has proposed the</w:t>
      </w:r>
      <w:r w:rsidR="000A032D">
        <w:rPr>
          <w:rFonts w:ascii="Cambria" w:hAnsi="Cambria"/>
          <w:sz w:val="22"/>
          <w:szCs w:val="22"/>
        </w:rPr>
        <w:t xml:space="preserve"> creati</w:t>
      </w:r>
      <w:r>
        <w:rPr>
          <w:rFonts w:ascii="Cambria" w:hAnsi="Cambria"/>
          <w:sz w:val="22"/>
          <w:szCs w:val="22"/>
        </w:rPr>
        <w:t>on of</w:t>
      </w:r>
      <w:r w:rsidR="000A032D">
        <w:rPr>
          <w:rFonts w:ascii="Cambria" w:hAnsi="Cambria"/>
          <w:sz w:val="22"/>
          <w:szCs w:val="22"/>
        </w:rPr>
        <w:t xml:space="preserve"> a new central Water Markets Agency </w:t>
      </w:r>
      <w:r w:rsidR="007F7E36">
        <w:rPr>
          <w:rFonts w:ascii="Cambria" w:hAnsi="Cambria"/>
          <w:sz w:val="22"/>
          <w:szCs w:val="22"/>
        </w:rPr>
        <w:t>which</w:t>
      </w:r>
      <w:r w:rsidR="000A032D">
        <w:rPr>
          <w:rFonts w:ascii="Cambria" w:hAnsi="Cambria"/>
          <w:sz w:val="22"/>
          <w:szCs w:val="22"/>
        </w:rPr>
        <w:t xml:space="preserve"> undoubtedly has the potential to benefit the operation of Basin water markets</w:t>
      </w:r>
      <w:r w:rsidR="007F7E36">
        <w:rPr>
          <w:rFonts w:ascii="Cambria" w:hAnsi="Cambria"/>
          <w:sz w:val="22"/>
          <w:szCs w:val="22"/>
        </w:rPr>
        <w:t xml:space="preserve"> and provi</w:t>
      </w:r>
      <w:r w:rsidR="00717A06">
        <w:rPr>
          <w:rFonts w:ascii="Cambria" w:hAnsi="Cambria"/>
          <w:sz w:val="22"/>
          <w:szCs w:val="22"/>
        </w:rPr>
        <w:t>d</w:t>
      </w:r>
      <w:r w:rsidR="007F7E36">
        <w:rPr>
          <w:rFonts w:ascii="Cambria" w:hAnsi="Cambria"/>
          <w:sz w:val="22"/>
          <w:szCs w:val="22"/>
        </w:rPr>
        <w:t>e much needed clarity</w:t>
      </w:r>
      <w:r w:rsidR="00717A06">
        <w:rPr>
          <w:rFonts w:ascii="Cambria" w:hAnsi="Cambria"/>
          <w:sz w:val="22"/>
          <w:szCs w:val="22"/>
        </w:rPr>
        <w:t xml:space="preserve"> </w:t>
      </w:r>
      <w:r w:rsidR="005D4943">
        <w:rPr>
          <w:rFonts w:ascii="Cambria" w:hAnsi="Cambria"/>
          <w:sz w:val="22"/>
          <w:szCs w:val="22"/>
        </w:rPr>
        <w:t xml:space="preserve">to the responsibility for </w:t>
      </w:r>
      <w:r w:rsidR="00356212">
        <w:rPr>
          <w:rFonts w:ascii="Cambria" w:hAnsi="Cambria"/>
          <w:sz w:val="22"/>
          <w:szCs w:val="22"/>
        </w:rPr>
        <w:t xml:space="preserve">the performance of the </w:t>
      </w:r>
      <w:r w:rsidR="005D4943">
        <w:rPr>
          <w:rFonts w:ascii="Cambria" w:hAnsi="Cambria"/>
          <w:sz w:val="22"/>
          <w:szCs w:val="22"/>
        </w:rPr>
        <w:t>water market</w:t>
      </w:r>
      <w:r w:rsidR="00356212">
        <w:rPr>
          <w:rFonts w:ascii="Cambria" w:hAnsi="Cambria"/>
          <w:sz w:val="22"/>
          <w:szCs w:val="22"/>
        </w:rPr>
        <w:t>.  Early feedback to this</w:t>
      </w:r>
      <w:r w:rsidR="00F93D88">
        <w:rPr>
          <w:rFonts w:ascii="Cambria" w:hAnsi="Cambria"/>
          <w:sz w:val="22"/>
          <w:szCs w:val="22"/>
        </w:rPr>
        <w:t xml:space="preserve"> process has highlighted the already congested </w:t>
      </w:r>
      <w:r w:rsidR="009C45B0">
        <w:rPr>
          <w:rFonts w:ascii="Cambria" w:hAnsi="Cambria"/>
          <w:sz w:val="22"/>
          <w:szCs w:val="22"/>
        </w:rPr>
        <w:t>governance of the M</w:t>
      </w:r>
      <w:r w:rsidR="00536E2C">
        <w:rPr>
          <w:rFonts w:ascii="Cambria" w:hAnsi="Cambria"/>
          <w:sz w:val="22"/>
          <w:szCs w:val="22"/>
        </w:rPr>
        <w:t>urray–</w:t>
      </w:r>
      <w:r w:rsidR="009C45B0">
        <w:rPr>
          <w:rFonts w:ascii="Cambria" w:hAnsi="Cambria"/>
          <w:sz w:val="22"/>
          <w:szCs w:val="22"/>
        </w:rPr>
        <w:t>D</w:t>
      </w:r>
      <w:r w:rsidR="00536E2C">
        <w:rPr>
          <w:rFonts w:ascii="Cambria" w:hAnsi="Cambria"/>
          <w:sz w:val="22"/>
          <w:szCs w:val="22"/>
        </w:rPr>
        <w:t xml:space="preserve">arling </w:t>
      </w:r>
      <w:r w:rsidR="009C45B0">
        <w:rPr>
          <w:rFonts w:ascii="Cambria" w:hAnsi="Cambria"/>
          <w:sz w:val="22"/>
          <w:szCs w:val="22"/>
        </w:rPr>
        <w:t>B</w:t>
      </w:r>
      <w:r w:rsidR="00536E2C">
        <w:rPr>
          <w:rFonts w:ascii="Cambria" w:hAnsi="Cambria"/>
          <w:sz w:val="22"/>
          <w:szCs w:val="22"/>
        </w:rPr>
        <w:t>asin</w:t>
      </w:r>
      <w:r w:rsidR="009C45B0">
        <w:rPr>
          <w:rFonts w:ascii="Cambria" w:hAnsi="Cambria"/>
          <w:sz w:val="22"/>
          <w:szCs w:val="22"/>
        </w:rPr>
        <w:t xml:space="preserve">, a desire for less agencies operating in a simplified </w:t>
      </w:r>
      <w:r w:rsidR="00290C13">
        <w:rPr>
          <w:rFonts w:ascii="Cambria" w:hAnsi="Cambria"/>
          <w:sz w:val="22"/>
          <w:szCs w:val="22"/>
        </w:rPr>
        <w:t>governance structure</w:t>
      </w:r>
      <w:r w:rsidR="00DF59E4">
        <w:rPr>
          <w:rFonts w:ascii="Cambria" w:hAnsi="Cambria"/>
          <w:sz w:val="22"/>
          <w:szCs w:val="22"/>
        </w:rPr>
        <w:t xml:space="preserve"> where it is clear</w:t>
      </w:r>
      <w:r w:rsidR="006F0573">
        <w:rPr>
          <w:rFonts w:ascii="Cambria" w:hAnsi="Cambria"/>
          <w:sz w:val="22"/>
          <w:szCs w:val="22"/>
        </w:rPr>
        <w:t xml:space="preserve"> who is responsible for what functions</w:t>
      </w:r>
      <w:r w:rsidR="00290C13">
        <w:rPr>
          <w:rFonts w:ascii="Cambria" w:hAnsi="Cambria"/>
          <w:sz w:val="22"/>
          <w:szCs w:val="22"/>
        </w:rPr>
        <w:t>, and concerns about additional overhead costs</w:t>
      </w:r>
      <w:r w:rsidR="00247388">
        <w:rPr>
          <w:rFonts w:ascii="Cambria" w:hAnsi="Cambria"/>
          <w:sz w:val="22"/>
          <w:szCs w:val="22"/>
        </w:rPr>
        <w:t xml:space="preserve"> on a small industry.</w:t>
      </w:r>
    </w:p>
    <w:p w14:paraId="7A55FE85" w14:textId="363046DC" w:rsidR="00B753A9" w:rsidRDefault="000179BC" w:rsidP="000A032D">
      <w:pPr>
        <w:spacing w:after="200" w:line="276" w:lineRule="auto"/>
        <w:rPr>
          <w:rFonts w:ascii="Cambria" w:hAnsi="Cambria"/>
          <w:sz w:val="22"/>
          <w:szCs w:val="22"/>
        </w:rPr>
      </w:pPr>
      <w:r>
        <w:rPr>
          <w:rFonts w:ascii="Cambria" w:hAnsi="Cambria"/>
          <w:sz w:val="22"/>
          <w:szCs w:val="22"/>
        </w:rPr>
        <w:t>The allocation of existing and new responsibilities</w:t>
      </w:r>
      <w:r w:rsidR="00825C63">
        <w:rPr>
          <w:rFonts w:ascii="Cambria" w:hAnsi="Cambria"/>
          <w:sz w:val="22"/>
          <w:szCs w:val="22"/>
        </w:rPr>
        <w:t>, and the resulting accountabilities</w:t>
      </w:r>
      <w:r w:rsidR="00292093">
        <w:rPr>
          <w:rFonts w:ascii="Cambria" w:hAnsi="Cambria"/>
          <w:sz w:val="22"/>
          <w:szCs w:val="22"/>
        </w:rPr>
        <w:t>,</w:t>
      </w:r>
      <w:r w:rsidR="00825C63">
        <w:rPr>
          <w:rFonts w:ascii="Cambria" w:hAnsi="Cambria"/>
          <w:sz w:val="22"/>
          <w:szCs w:val="22"/>
        </w:rPr>
        <w:t xml:space="preserve"> is a crucial question</w:t>
      </w:r>
      <w:r w:rsidR="00292093">
        <w:rPr>
          <w:rFonts w:ascii="Cambria" w:hAnsi="Cambria"/>
          <w:sz w:val="22"/>
          <w:szCs w:val="22"/>
        </w:rPr>
        <w:t xml:space="preserve"> for this project,</w:t>
      </w:r>
      <w:r w:rsidR="00B753A9">
        <w:rPr>
          <w:rFonts w:ascii="Cambria" w:hAnsi="Cambria"/>
          <w:sz w:val="22"/>
          <w:szCs w:val="22"/>
        </w:rPr>
        <w:t xml:space="preserve"> </w:t>
      </w:r>
      <w:r w:rsidR="006F0573">
        <w:rPr>
          <w:rFonts w:ascii="Cambria" w:hAnsi="Cambria"/>
          <w:sz w:val="22"/>
          <w:szCs w:val="22"/>
        </w:rPr>
        <w:t xml:space="preserve">and these considerations </w:t>
      </w:r>
      <w:r w:rsidR="00121990">
        <w:rPr>
          <w:rFonts w:ascii="Cambria" w:hAnsi="Cambria"/>
          <w:sz w:val="22"/>
          <w:szCs w:val="22"/>
        </w:rPr>
        <w:t xml:space="preserve">will need to be weighed </w:t>
      </w:r>
      <w:r w:rsidR="007F70EB">
        <w:rPr>
          <w:rFonts w:ascii="Cambria" w:hAnsi="Cambria"/>
          <w:sz w:val="22"/>
          <w:szCs w:val="22"/>
        </w:rPr>
        <w:t>carefully in developing advice for ministers.</w:t>
      </w:r>
    </w:p>
    <w:p w14:paraId="622F1678" w14:textId="77777777" w:rsidR="00865858" w:rsidRDefault="00865858">
      <w:pPr>
        <w:rPr>
          <w:rFonts w:ascii="Cambria" w:hAnsi="Cambria"/>
          <w:sz w:val="22"/>
          <w:szCs w:val="22"/>
        </w:rPr>
      </w:pPr>
      <w:r>
        <w:rPr>
          <w:rFonts w:ascii="Cambria" w:hAnsi="Cambria"/>
          <w:sz w:val="22"/>
          <w:szCs w:val="22"/>
        </w:rPr>
        <w:br w:type="page"/>
      </w:r>
    </w:p>
    <w:p w14:paraId="4C498861" w14:textId="02506B40" w:rsidR="009F7ACD" w:rsidRPr="00DE7EB7" w:rsidRDefault="00343C92" w:rsidP="00283CA8">
      <w:pPr>
        <w:spacing w:after="200" w:line="276" w:lineRule="auto"/>
        <w:rPr>
          <w:rFonts w:ascii="Cambria" w:hAnsi="Cambria"/>
          <w:sz w:val="22"/>
          <w:szCs w:val="22"/>
        </w:rPr>
      </w:pPr>
      <w:r w:rsidRPr="00DE7EB7">
        <w:rPr>
          <w:rFonts w:ascii="Cambria" w:hAnsi="Cambria"/>
          <w:sz w:val="22"/>
          <w:szCs w:val="22"/>
        </w:rPr>
        <w:lastRenderedPageBreak/>
        <w:t>As th</w:t>
      </w:r>
      <w:r w:rsidR="00026D8A" w:rsidRPr="00DE7EB7">
        <w:rPr>
          <w:rFonts w:ascii="Cambria" w:hAnsi="Cambria"/>
          <w:sz w:val="22"/>
          <w:szCs w:val="22"/>
        </w:rPr>
        <w:t xml:space="preserve">is program </w:t>
      </w:r>
      <w:r w:rsidR="006600E9" w:rsidRPr="00DE7EB7">
        <w:rPr>
          <w:rFonts w:ascii="Cambria" w:hAnsi="Cambria"/>
          <w:sz w:val="22"/>
          <w:szCs w:val="22"/>
        </w:rPr>
        <w:t>develops, the secretariat will update</w:t>
      </w:r>
      <w:r w:rsidR="00D51F91" w:rsidRPr="00DE7EB7">
        <w:rPr>
          <w:rFonts w:ascii="Cambria" w:hAnsi="Cambria"/>
          <w:sz w:val="22"/>
          <w:szCs w:val="22"/>
        </w:rPr>
        <w:t xml:space="preserve"> the website</w:t>
      </w:r>
      <w:r w:rsidR="00A30614" w:rsidRPr="00DE7EB7">
        <w:rPr>
          <w:rFonts w:ascii="Cambria" w:hAnsi="Cambria"/>
          <w:sz w:val="22"/>
          <w:szCs w:val="22"/>
        </w:rPr>
        <w:t xml:space="preserve"> on opportunities to participate</w:t>
      </w:r>
      <w:r w:rsidR="00597134" w:rsidRPr="00DE7EB7">
        <w:rPr>
          <w:rFonts w:ascii="Cambria" w:hAnsi="Cambria"/>
          <w:sz w:val="22"/>
          <w:szCs w:val="22"/>
        </w:rPr>
        <w:t xml:space="preserve"> (see</w:t>
      </w:r>
      <w:r w:rsidR="00C461C2">
        <w:rPr>
          <w:rFonts w:ascii="Cambria" w:hAnsi="Cambria"/>
          <w:sz w:val="22"/>
          <w:szCs w:val="22"/>
        </w:rPr>
        <w:t xml:space="preserve"> </w:t>
      </w:r>
      <w:hyperlink r:id="rId18" w:history="1">
        <w:r w:rsidR="00C461C2" w:rsidRPr="0049636A">
          <w:rPr>
            <w:rStyle w:val="Hyperlink"/>
            <w:rFonts w:ascii="Cambria" w:hAnsi="Cambria"/>
            <w:sz w:val="22"/>
            <w:szCs w:val="22"/>
          </w:rPr>
          <w:t>www.awe.gov.au/water/policy/markets/reform</w:t>
        </w:r>
      </w:hyperlink>
      <w:r w:rsidR="009B4769" w:rsidRPr="00DE7EB7">
        <w:rPr>
          <w:rFonts w:ascii="Cambria" w:hAnsi="Cambria"/>
          <w:sz w:val="22"/>
          <w:szCs w:val="22"/>
        </w:rPr>
        <w:t>)</w:t>
      </w:r>
      <w:r w:rsidR="00464E66" w:rsidRPr="00DE7EB7">
        <w:rPr>
          <w:rFonts w:ascii="Cambria" w:hAnsi="Cambria"/>
          <w:sz w:val="22"/>
          <w:szCs w:val="22"/>
        </w:rPr>
        <w:t>.</w:t>
      </w:r>
      <w:r w:rsidR="00583FCD" w:rsidRPr="00DE7EB7">
        <w:rPr>
          <w:rFonts w:ascii="Cambria" w:hAnsi="Cambria"/>
          <w:sz w:val="22"/>
          <w:szCs w:val="22"/>
        </w:rPr>
        <w:t xml:space="preserve"> </w:t>
      </w:r>
    </w:p>
    <w:p w14:paraId="03FC98BF" w14:textId="69D75A75" w:rsidR="00476648" w:rsidRPr="00DE7EB7" w:rsidRDefault="00B93CF0" w:rsidP="00283CA8">
      <w:pPr>
        <w:spacing w:after="200" w:line="276" w:lineRule="auto"/>
        <w:rPr>
          <w:rFonts w:ascii="Cambria" w:hAnsi="Cambria"/>
          <w:sz w:val="22"/>
          <w:szCs w:val="22"/>
        </w:rPr>
      </w:pPr>
      <w:r w:rsidRPr="00DE7EB7">
        <w:rPr>
          <w:rFonts w:ascii="Cambria" w:hAnsi="Cambria"/>
          <w:sz w:val="22"/>
          <w:szCs w:val="22"/>
        </w:rPr>
        <w:t xml:space="preserve">I </w:t>
      </w:r>
      <w:r w:rsidR="00033922">
        <w:rPr>
          <w:rFonts w:ascii="Cambria" w:hAnsi="Cambria"/>
          <w:sz w:val="22"/>
          <w:szCs w:val="22"/>
        </w:rPr>
        <w:t>look forward to providing a</w:t>
      </w:r>
      <w:r w:rsidR="00F004A2">
        <w:rPr>
          <w:rFonts w:ascii="Cambria" w:hAnsi="Cambria"/>
          <w:sz w:val="22"/>
          <w:szCs w:val="22"/>
        </w:rPr>
        <w:t xml:space="preserve"> practical plan for implementing water market reform in mid</w:t>
      </w:r>
      <w:r w:rsidR="00C461C2">
        <w:rPr>
          <w:rFonts w:ascii="Cambria" w:hAnsi="Cambria"/>
          <w:sz w:val="22"/>
          <w:szCs w:val="22"/>
        </w:rPr>
        <w:t>-</w:t>
      </w:r>
      <w:r w:rsidR="00F004A2">
        <w:rPr>
          <w:rFonts w:ascii="Cambria" w:hAnsi="Cambria"/>
          <w:sz w:val="22"/>
          <w:szCs w:val="22"/>
        </w:rPr>
        <w:t>2022.</w:t>
      </w:r>
    </w:p>
    <w:p w14:paraId="629DDF45" w14:textId="58CFF4AA" w:rsidR="00B93CF0" w:rsidRPr="00DE7EB7" w:rsidRDefault="00FC0340" w:rsidP="00283CA8">
      <w:pPr>
        <w:spacing w:after="200" w:line="276" w:lineRule="auto"/>
        <w:rPr>
          <w:rFonts w:ascii="Cambria" w:hAnsi="Cambria"/>
          <w:sz w:val="22"/>
          <w:szCs w:val="22"/>
        </w:rPr>
      </w:pPr>
      <w:r w:rsidRPr="00DE7EB7">
        <w:rPr>
          <w:rFonts w:ascii="Cambria" w:hAnsi="Cambria"/>
          <w:sz w:val="22"/>
          <w:szCs w:val="22"/>
        </w:rPr>
        <w:t>Daryl Quinlivan</w:t>
      </w:r>
    </w:p>
    <w:p w14:paraId="151B2E09" w14:textId="77777777" w:rsidR="00F004A2" w:rsidRDefault="00FC0340" w:rsidP="00283CA8">
      <w:pPr>
        <w:spacing w:after="200" w:line="276" w:lineRule="auto"/>
        <w:rPr>
          <w:rFonts w:ascii="Cambria" w:hAnsi="Cambria"/>
          <w:sz w:val="22"/>
          <w:szCs w:val="22"/>
        </w:rPr>
      </w:pPr>
      <w:r w:rsidRPr="00DE7EB7">
        <w:rPr>
          <w:rFonts w:ascii="Cambria" w:hAnsi="Cambria"/>
          <w:sz w:val="22"/>
          <w:szCs w:val="22"/>
        </w:rPr>
        <w:t>Principal Adviser</w:t>
      </w:r>
    </w:p>
    <w:p w14:paraId="3CEA0635" w14:textId="3FB0A81F" w:rsidR="00FC0340" w:rsidRPr="00DE7EB7" w:rsidRDefault="00F004A2" w:rsidP="00283CA8">
      <w:pPr>
        <w:spacing w:after="200" w:line="276" w:lineRule="auto"/>
        <w:rPr>
          <w:rFonts w:ascii="Cambria" w:hAnsi="Cambria"/>
          <w:sz w:val="22"/>
          <w:szCs w:val="22"/>
        </w:rPr>
      </w:pPr>
      <w:r>
        <w:rPr>
          <w:rFonts w:ascii="Cambria" w:hAnsi="Cambria"/>
          <w:sz w:val="22"/>
          <w:szCs w:val="22"/>
        </w:rPr>
        <w:t>W</w:t>
      </w:r>
      <w:r w:rsidR="00FC0340" w:rsidRPr="00DE7EB7">
        <w:rPr>
          <w:rFonts w:ascii="Cambria" w:hAnsi="Cambria"/>
          <w:sz w:val="22"/>
          <w:szCs w:val="22"/>
        </w:rPr>
        <w:t>ater market reform</w:t>
      </w:r>
    </w:p>
    <w:p w14:paraId="0FE45368" w14:textId="70E9AFE9" w:rsidR="0058421F" w:rsidRDefault="00DF531F" w:rsidP="00283CA8">
      <w:pPr>
        <w:spacing w:after="200" w:line="276" w:lineRule="auto"/>
        <w:rPr>
          <w:rFonts w:ascii="Cambria" w:hAnsi="Cambria"/>
          <w:sz w:val="22"/>
          <w:szCs w:val="22"/>
        </w:rPr>
      </w:pPr>
      <w:r>
        <w:rPr>
          <w:rFonts w:ascii="Cambria" w:hAnsi="Cambria"/>
          <w:sz w:val="22"/>
          <w:szCs w:val="22"/>
        </w:rPr>
        <w:t>1</w:t>
      </w:r>
      <w:r w:rsidR="001118FA">
        <w:rPr>
          <w:rFonts w:ascii="Cambria" w:hAnsi="Cambria"/>
          <w:sz w:val="22"/>
          <w:szCs w:val="22"/>
        </w:rPr>
        <w:t>6</w:t>
      </w:r>
      <w:r w:rsidR="004B4EFB" w:rsidRPr="00DE7EB7">
        <w:rPr>
          <w:rFonts w:ascii="Cambria" w:hAnsi="Cambria"/>
          <w:sz w:val="22"/>
          <w:szCs w:val="22"/>
        </w:rPr>
        <w:t>/12/2021</w:t>
      </w:r>
    </w:p>
    <w:p w14:paraId="583A172F" w14:textId="77777777" w:rsidR="009D55C9" w:rsidRDefault="009D55C9">
      <w:pPr>
        <w:rPr>
          <w:rFonts w:eastAsiaTheme="majorEastAsia" w:cstheme="minorHAnsi"/>
          <w:sz w:val="56"/>
          <w:szCs w:val="56"/>
        </w:rPr>
      </w:pPr>
      <w:r>
        <w:rPr>
          <w:rFonts w:cstheme="minorHAnsi"/>
          <w:sz w:val="56"/>
          <w:szCs w:val="56"/>
        </w:rPr>
        <w:br w:type="page"/>
      </w:r>
    </w:p>
    <w:p w14:paraId="23E3B1AF" w14:textId="77777777" w:rsidR="00BF6142" w:rsidRPr="00A3226D" w:rsidRDefault="00BF6142" w:rsidP="00BF6142">
      <w:pPr>
        <w:pStyle w:val="Heading1"/>
        <w:rPr>
          <w:rFonts w:asciiTheme="minorHAnsi" w:hAnsiTheme="minorHAnsi" w:cstheme="minorHAnsi"/>
          <w:color w:val="auto"/>
          <w:sz w:val="56"/>
          <w:szCs w:val="56"/>
        </w:rPr>
      </w:pPr>
      <w:bookmarkStart w:id="26" w:name="_Toc90470974"/>
      <w:r>
        <w:rPr>
          <w:rFonts w:asciiTheme="minorHAnsi" w:hAnsiTheme="minorHAnsi" w:cstheme="minorHAnsi"/>
          <w:color w:val="auto"/>
          <w:sz w:val="56"/>
          <w:szCs w:val="56"/>
        </w:rPr>
        <w:lastRenderedPageBreak/>
        <w:t>Appendix A</w:t>
      </w:r>
      <w:bookmarkEnd w:id="26"/>
      <w:r>
        <w:rPr>
          <w:rFonts w:asciiTheme="minorHAnsi" w:hAnsiTheme="minorHAnsi" w:cstheme="minorHAnsi"/>
          <w:color w:val="auto"/>
          <w:sz w:val="56"/>
          <w:szCs w:val="56"/>
        </w:rPr>
        <w:t xml:space="preserve"> </w:t>
      </w:r>
    </w:p>
    <w:p w14:paraId="74973D47" w14:textId="569ADBFF" w:rsidR="00865858" w:rsidRPr="00865858" w:rsidRDefault="00865858" w:rsidP="00865858">
      <w:pPr>
        <w:pStyle w:val="Heading1"/>
        <w:keepNext w:val="0"/>
        <w:keepLines w:val="0"/>
        <w:widowControl w:val="0"/>
        <w:spacing w:after="0"/>
        <w:contextualSpacing/>
        <w:rPr>
          <w:rFonts w:ascii="Calibri" w:eastAsiaTheme="minorHAnsi" w:hAnsi="Calibri" w:cstheme="minorBidi"/>
          <w:b/>
          <w:bCs/>
          <w:color w:val="000000"/>
          <w:spacing w:val="5"/>
          <w:kern w:val="28"/>
          <w:sz w:val="52"/>
          <w:szCs w:val="28"/>
        </w:rPr>
      </w:pPr>
      <w:bookmarkStart w:id="27" w:name="_Toc90470975"/>
      <w:r w:rsidRPr="00865858">
        <w:rPr>
          <w:rFonts w:ascii="Calibri" w:eastAsiaTheme="minorHAnsi" w:hAnsi="Calibri" w:cstheme="minorBidi"/>
          <w:b/>
          <w:bCs/>
          <w:color w:val="000000"/>
          <w:spacing w:val="5"/>
          <w:kern w:val="28"/>
          <w:sz w:val="52"/>
          <w:szCs w:val="28"/>
        </w:rPr>
        <w:t>SCOPE OF WORK</w:t>
      </w:r>
      <w:bookmarkEnd w:id="27"/>
    </w:p>
    <w:p w14:paraId="6916D10A" w14:textId="77777777" w:rsidR="00865858" w:rsidRPr="00865858" w:rsidRDefault="00865858" w:rsidP="00865858">
      <w:pPr>
        <w:pStyle w:val="Subtitle"/>
        <w:widowControl w:val="0"/>
        <w:spacing w:before="120"/>
        <w:contextualSpacing/>
        <w:outlineLvl w:val="0"/>
        <w:rPr>
          <w:rFonts w:ascii="Calibri" w:eastAsiaTheme="minorHAnsi" w:hAnsi="Calibri" w:cstheme="minorBidi"/>
          <w:bCs/>
          <w:color w:val="000000"/>
          <w:spacing w:val="5"/>
          <w:kern w:val="28"/>
          <w:sz w:val="44"/>
          <w:szCs w:val="56"/>
        </w:rPr>
      </w:pPr>
      <w:bookmarkStart w:id="28" w:name="_Toc90470976"/>
      <w:r w:rsidRPr="00865858">
        <w:rPr>
          <w:rFonts w:ascii="Calibri" w:eastAsiaTheme="minorHAnsi" w:hAnsi="Calibri" w:cstheme="minorBidi"/>
          <w:bCs/>
          <w:color w:val="000000"/>
          <w:spacing w:val="5"/>
          <w:kern w:val="28"/>
          <w:sz w:val="44"/>
          <w:szCs w:val="56"/>
        </w:rPr>
        <w:t>Murray-Darling Basin Water Market Reform – Development of Implementation Roadmap</w:t>
      </w:r>
      <w:bookmarkEnd w:id="28"/>
    </w:p>
    <w:p w14:paraId="2B5E5D67" w14:textId="77777777" w:rsidR="00865858" w:rsidRPr="00865858" w:rsidRDefault="00865858" w:rsidP="00865858">
      <w:pPr>
        <w:pStyle w:val="Heading2"/>
        <w:keepLines w:val="0"/>
        <w:spacing w:before="0" w:after="60"/>
        <w:rPr>
          <w:rFonts w:ascii="Calibri" w:eastAsiaTheme="minorEastAsia" w:hAnsi="Calibri" w:cstheme="minorBidi"/>
          <w:bCs/>
          <w:color w:val="000000"/>
          <w:sz w:val="36"/>
          <w:lang w:eastAsia="ja-JP"/>
        </w:rPr>
      </w:pPr>
      <w:bookmarkStart w:id="29" w:name="_Toc90470977"/>
      <w:r w:rsidRPr="00865858">
        <w:rPr>
          <w:rFonts w:ascii="Calibri" w:eastAsiaTheme="minorEastAsia" w:hAnsi="Calibri" w:cstheme="minorBidi"/>
          <w:bCs/>
          <w:color w:val="000000"/>
          <w:sz w:val="36"/>
          <w:lang w:eastAsia="ja-JP"/>
        </w:rPr>
        <w:t>Overview</w:t>
      </w:r>
      <w:bookmarkEnd w:id="29"/>
    </w:p>
    <w:p w14:paraId="5E31FA0E" w14:textId="77777777" w:rsidR="00865858" w:rsidRPr="00865858" w:rsidRDefault="00865858" w:rsidP="00865858">
      <w:pPr>
        <w:rPr>
          <w:rFonts w:ascii="Cambria" w:hAnsi="Cambria"/>
          <w:sz w:val="22"/>
          <w:szCs w:val="22"/>
        </w:rPr>
      </w:pPr>
      <w:r w:rsidRPr="00865858">
        <w:rPr>
          <w:rFonts w:ascii="Cambria" w:hAnsi="Cambria"/>
          <w:sz w:val="22"/>
          <w:szCs w:val="22"/>
        </w:rPr>
        <w:t>The Australian Competition and Consumer Commission (ACCC) released its final inquiry report on Murray-Darling Basin water markets on 26 March 2021 (ACCC report). The ACCC recommended significant and wide-ranging water market reforms.</w:t>
      </w:r>
    </w:p>
    <w:p w14:paraId="3E52C96C" w14:textId="77777777" w:rsidR="00865858" w:rsidRPr="00865858" w:rsidRDefault="00865858" w:rsidP="00865858">
      <w:pPr>
        <w:rPr>
          <w:rFonts w:ascii="Cambria" w:hAnsi="Cambria"/>
          <w:sz w:val="22"/>
          <w:szCs w:val="22"/>
        </w:rPr>
      </w:pPr>
      <w:r w:rsidRPr="00865858">
        <w:rPr>
          <w:rFonts w:ascii="Cambria" w:hAnsi="Cambria"/>
          <w:sz w:val="22"/>
          <w:szCs w:val="22"/>
        </w:rPr>
        <w:t xml:space="preserve">The Minister for Resources and Water has engaged an Independent Principal Adviser supported by an advisory group to work with the Australian Government, Basin states, industry, </w:t>
      </w:r>
      <w:proofErr w:type="gramStart"/>
      <w:r w:rsidRPr="00865858">
        <w:rPr>
          <w:rFonts w:ascii="Cambria" w:hAnsi="Cambria"/>
          <w:sz w:val="22"/>
          <w:szCs w:val="22"/>
        </w:rPr>
        <w:t>communities</w:t>
      </w:r>
      <w:proofErr w:type="gramEnd"/>
      <w:r w:rsidRPr="00865858">
        <w:rPr>
          <w:rFonts w:ascii="Cambria" w:hAnsi="Cambria"/>
          <w:sz w:val="22"/>
          <w:szCs w:val="22"/>
        </w:rPr>
        <w:t xml:space="preserve"> and other stakeholders to develop a phased, practical and cost-effective plan for water market reform having regard to the ACCC’s findings and recommendations.</w:t>
      </w:r>
    </w:p>
    <w:p w14:paraId="09060203" w14:textId="77777777" w:rsidR="00865858" w:rsidRPr="00865858" w:rsidRDefault="00865858" w:rsidP="00865858">
      <w:pPr>
        <w:pStyle w:val="Heading2"/>
        <w:keepLines w:val="0"/>
        <w:spacing w:before="0" w:after="60"/>
        <w:rPr>
          <w:rFonts w:ascii="Calibri" w:eastAsiaTheme="minorEastAsia" w:hAnsi="Calibri" w:cstheme="minorBidi"/>
          <w:bCs/>
          <w:color w:val="000000"/>
          <w:sz w:val="36"/>
          <w:lang w:eastAsia="ja-JP"/>
        </w:rPr>
      </w:pPr>
      <w:bookmarkStart w:id="30" w:name="_Toc90470978"/>
      <w:r w:rsidRPr="00865858">
        <w:rPr>
          <w:rFonts w:ascii="Calibri" w:eastAsiaTheme="minorEastAsia" w:hAnsi="Calibri" w:cstheme="minorBidi"/>
          <w:bCs/>
          <w:color w:val="000000"/>
          <w:sz w:val="36"/>
          <w:lang w:eastAsia="ja-JP"/>
        </w:rPr>
        <w:t>Role of the Principal Adviser</w:t>
      </w:r>
      <w:bookmarkEnd w:id="30"/>
    </w:p>
    <w:p w14:paraId="4687F565" w14:textId="77777777" w:rsidR="00865858" w:rsidRPr="00865858" w:rsidRDefault="00865858" w:rsidP="00865858">
      <w:pPr>
        <w:rPr>
          <w:rFonts w:ascii="Cambria" w:hAnsi="Cambria"/>
          <w:sz w:val="22"/>
          <w:szCs w:val="22"/>
        </w:rPr>
      </w:pPr>
      <w:r w:rsidRPr="00865858">
        <w:rPr>
          <w:rFonts w:ascii="Cambria" w:hAnsi="Cambria"/>
          <w:sz w:val="22"/>
          <w:szCs w:val="22"/>
        </w:rPr>
        <w:t>Having regard to the ACCC report, the Principal Adviser is required to:</w:t>
      </w:r>
    </w:p>
    <w:p w14:paraId="68DE0865" w14:textId="77777777" w:rsidR="00865858" w:rsidRPr="00865858" w:rsidRDefault="00865858" w:rsidP="00865858">
      <w:pPr>
        <w:pStyle w:val="ListNumber"/>
      </w:pPr>
      <w:r w:rsidRPr="00865858">
        <w:t>Provide advice by December 2021 on actions supported by Basin states that can be implemented quickly to help restore confidence in water markets.</w:t>
      </w:r>
    </w:p>
    <w:p w14:paraId="28F4E954" w14:textId="77777777" w:rsidR="00865858" w:rsidRPr="00865858" w:rsidRDefault="00865858" w:rsidP="00865858">
      <w:pPr>
        <w:pStyle w:val="ListNumber"/>
      </w:pPr>
      <w:r w:rsidRPr="00865858">
        <w:t xml:space="preserve">Develop a phased implementation plan (‘roadmap’) for water market reform that is practical, </w:t>
      </w:r>
      <w:proofErr w:type="gramStart"/>
      <w:r w:rsidRPr="00865858">
        <w:t>cost-effective</w:t>
      </w:r>
      <w:proofErr w:type="gramEnd"/>
      <w:r w:rsidRPr="00865858">
        <w:t xml:space="preserve"> and supported by Basin states, by June 2022.</w:t>
      </w:r>
    </w:p>
    <w:p w14:paraId="56A7FECD" w14:textId="77777777" w:rsidR="00865858" w:rsidRPr="00865858" w:rsidRDefault="00865858" w:rsidP="00865858">
      <w:pPr>
        <w:rPr>
          <w:rFonts w:ascii="Cambria" w:hAnsi="Cambria"/>
          <w:sz w:val="22"/>
          <w:szCs w:val="22"/>
        </w:rPr>
      </w:pPr>
      <w:r w:rsidRPr="00865858">
        <w:rPr>
          <w:rFonts w:ascii="Cambria" w:hAnsi="Cambria"/>
          <w:sz w:val="22"/>
          <w:szCs w:val="22"/>
        </w:rPr>
        <w:t>The roadmap must include an outline of the rationale for the design of the roadmap.</w:t>
      </w:r>
    </w:p>
    <w:p w14:paraId="05E6DCA9" w14:textId="77777777" w:rsidR="00865858" w:rsidRPr="00865858" w:rsidRDefault="00865858" w:rsidP="00865858">
      <w:pPr>
        <w:rPr>
          <w:rFonts w:ascii="Cambria" w:hAnsi="Cambria"/>
          <w:sz w:val="22"/>
          <w:szCs w:val="22"/>
        </w:rPr>
      </w:pPr>
      <w:r w:rsidRPr="00865858">
        <w:rPr>
          <w:rFonts w:ascii="Cambria" w:hAnsi="Cambria"/>
          <w:sz w:val="22"/>
          <w:szCs w:val="22"/>
        </w:rPr>
        <w:t>Note: In providing the two key deliverables, the Principal Adviser must include any dissenting or divergent views of the advisory group to ensure full transparency.</w:t>
      </w:r>
    </w:p>
    <w:p w14:paraId="04ABFF3D" w14:textId="77777777" w:rsidR="00865858" w:rsidRPr="00865858" w:rsidRDefault="00865858" w:rsidP="00865858">
      <w:pPr>
        <w:pStyle w:val="Heading2"/>
        <w:keepLines w:val="0"/>
        <w:spacing w:before="0" w:after="60"/>
        <w:rPr>
          <w:rFonts w:ascii="Calibri" w:eastAsiaTheme="minorEastAsia" w:hAnsi="Calibri" w:cstheme="minorBidi"/>
          <w:bCs/>
          <w:color w:val="000000"/>
          <w:sz w:val="36"/>
          <w:lang w:eastAsia="ja-JP"/>
        </w:rPr>
      </w:pPr>
      <w:bookmarkStart w:id="31" w:name="_Toc90470979"/>
      <w:r w:rsidRPr="00865858">
        <w:rPr>
          <w:rFonts w:ascii="Calibri" w:eastAsiaTheme="minorEastAsia" w:hAnsi="Calibri" w:cstheme="minorBidi"/>
          <w:bCs/>
          <w:color w:val="000000"/>
          <w:sz w:val="36"/>
          <w:lang w:eastAsia="ja-JP"/>
        </w:rPr>
        <w:t>Role of the advisory group</w:t>
      </w:r>
      <w:bookmarkEnd w:id="31"/>
      <w:r w:rsidRPr="00865858">
        <w:rPr>
          <w:rFonts w:ascii="Calibri" w:eastAsiaTheme="minorEastAsia" w:hAnsi="Calibri" w:cstheme="minorBidi"/>
          <w:bCs/>
          <w:color w:val="000000"/>
          <w:sz w:val="36"/>
          <w:lang w:eastAsia="ja-JP"/>
        </w:rPr>
        <w:t xml:space="preserve"> </w:t>
      </w:r>
    </w:p>
    <w:p w14:paraId="556B7158" w14:textId="77777777" w:rsidR="00865858" w:rsidRPr="00865858" w:rsidRDefault="00865858" w:rsidP="00865858">
      <w:pPr>
        <w:rPr>
          <w:rFonts w:ascii="Cambria" w:hAnsi="Cambria"/>
          <w:sz w:val="22"/>
          <w:szCs w:val="22"/>
        </w:rPr>
      </w:pPr>
      <w:r w:rsidRPr="00865858">
        <w:rPr>
          <w:rFonts w:ascii="Cambria" w:hAnsi="Cambria"/>
          <w:sz w:val="22"/>
          <w:szCs w:val="22"/>
        </w:rPr>
        <w:t>The advisory group, consisting of technical experts and water market stakeholder representatives, is to provide advice to the Principal Adviser on economics, water markets, and anticipated impacts of proposed reforms on water users.</w:t>
      </w:r>
    </w:p>
    <w:p w14:paraId="15E820ED" w14:textId="77777777" w:rsidR="00865858" w:rsidRPr="00865858" w:rsidRDefault="00865858" w:rsidP="00865858">
      <w:pPr>
        <w:pStyle w:val="Heading2"/>
        <w:keepLines w:val="0"/>
        <w:spacing w:before="0" w:after="60"/>
        <w:rPr>
          <w:rFonts w:ascii="Calibri" w:eastAsiaTheme="minorEastAsia" w:hAnsi="Calibri" w:cstheme="minorBidi"/>
          <w:bCs/>
          <w:color w:val="000000"/>
          <w:sz w:val="36"/>
          <w:lang w:eastAsia="ja-JP"/>
        </w:rPr>
      </w:pPr>
      <w:bookmarkStart w:id="32" w:name="_Toc90470980"/>
      <w:r w:rsidRPr="00865858">
        <w:rPr>
          <w:rFonts w:ascii="Calibri" w:eastAsiaTheme="minorEastAsia" w:hAnsi="Calibri" w:cstheme="minorBidi"/>
          <w:bCs/>
          <w:color w:val="000000"/>
          <w:sz w:val="36"/>
          <w:lang w:eastAsia="ja-JP"/>
        </w:rPr>
        <w:t>Development of the Implementation Roadmap</w:t>
      </w:r>
      <w:bookmarkEnd w:id="32"/>
    </w:p>
    <w:p w14:paraId="0543E36A" w14:textId="77777777" w:rsidR="00865858" w:rsidRPr="00865858" w:rsidRDefault="00865858" w:rsidP="00865858">
      <w:pPr>
        <w:rPr>
          <w:rFonts w:ascii="Cambria" w:hAnsi="Cambria"/>
          <w:sz w:val="22"/>
          <w:szCs w:val="22"/>
        </w:rPr>
      </w:pPr>
      <w:r w:rsidRPr="00865858">
        <w:rPr>
          <w:rFonts w:ascii="Cambria" w:hAnsi="Cambria"/>
          <w:sz w:val="22"/>
          <w:szCs w:val="22"/>
        </w:rPr>
        <w:t>In preparing the roadmap, the Principal Adviser is to:</w:t>
      </w:r>
    </w:p>
    <w:p w14:paraId="18781FA5" w14:textId="77777777" w:rsidR="00865858" w:rsidRPr="00865858" w:rsidRDefault="00865858" w:rsidP="00865858">
      <w:pPr>
        <w:pStyle w:val="ListBullet"/>
      </w:pPr>
      <w:r w:rsidRPr="00865858">
        <w:t>work closely with the Australian Government and Murray-Darling Basin states, including via the Basin Officials Committee and the Ministerial Council</w:t>
      </w:r>
    </w:p>
    <w:p w14:paraId="5362B104" w14:textId="77777777" w:rsidR="00865858" w:rsidRPr="00865858" w:rsidRDefault="00865858" w:rsidP="00865858">
      <w:pPr>
        <w:pStyle w:val="ListBullet"/>
      </w:pPr>
      <w:r w:rsidRPr="00865858">
        <w:t>seek advice from the advisory group on the proposed roadmap and process for developing it</w:t>
      </w:r>
    </w:p>
    <w:p w14:paraId="0C2DC983" w14:textId="77777777" w:rsidR="00865858" w:rsidRPr="00865858" w:rsidRDefault="00865858" w:rsidP="00865858">
      <w:pPr>
        <w:pStyle w:val="ListBullet"/>
      </w:pPr>
      <w:r w:rsidRPr="00865858">
        <w:t>consider appropriate cost-sharing arrangements between the Australian Government and Basin states and (if appropriate) cost recovery arrangements for water users and other beneficiaries</w:t>
      </w:r>
    </w:p>
    <w:p w14:paraId="53985F03" w14:textId="53D03A65" w:rsidR="00865858" w:rsidRPr="00865858" w:rsidRDefault="00865858" w:rsidP="00865858">
      <w:pPr>
        <w:pStyle w:val="ListBullet"/>
      </w:pPr>
      <w:r w:rsidRPr="00865858">
        <w:lastRenderedPageBreak/>
        <w:t xml:space="preserve">engage with industry, </w:t>
      </w:r>
      <w:r w:rsidR="007A2E4F" w:rsidRPr="00865858">
        <w:t>communities,</w:t>
      </w:r>
      <w:r w:rsidRPr="00865858">
        <w:t xml:space="preserve"> and other stakeholders</w:t>
      </w:r>
    </w:p>
    <w:p w14:paraId="1781C751" w14:textId="77777777" w:rsidR="00865858" w:rsidRPr="00865858" w:rsidRDefault="00865858" w:rsidP="00865858">
      <w:pPr>
        <w:pStyle w:val="ListBullet"/>
      </w:pPr>
      <w:r w:rsidRPr="00865858">
        <w:t>have regard to</w:t>
      </w:r>
    </w:p>
    <w:p w14:paraId="68C81E01" w14:textId="77777777" w:rsidR="00865858" w:rsidRPr="00865858" w:rsidRDefault="00865858" w:rsidP="00865858">
      <w:pPr>
        <w:pStyle w:val="ListBullet2"/>
      </w:pPr>
      <w:r w:rsidRPr="00865858">
        <w:t>opportunities to build on relevant water market initiatives being progressed by Basin states</w:t>
      </w:r>
    </w:p>
    <w:p w14:paraId="6033F350" w14:textId="77777777" w:rsidR="00865858" w:rsidRPr="00865858" w:rsidRDefault="00865858" w:rsidP="00865858">
      <w:pPr>
        <w:pStyle w:val="ListBullet2"/>
      </w:pPr>
      <w:r w:rsidRPr="00865858">
        <w:t xml:space="preserve">the water trading commitments under the 2004 National Water Initiative, the Productivity Commission inquiry into the National Water Initiative, National Water Reform 2020, the Murray–Darling Basin Compliance Compact and other relevant Commonwealth legislation such as the Water Act 2007, the Basin </w:t>
      </w:r>
      <w:proofErr w:type="gramStart"/>
      <w:r w:rsidRPr="00865858">
        <w:t>Plan</w:t>
      </w:r>
      <w:proofErr w:type="gramEnd"/>
      <w:r w:rsidRPr="00865858">
        <w:t xml:space="preserve"> and the Murray-Darling Basin Agreement</w:t>
      </w:r>
    </w:p>
    <w:p w14:paraId="440A33EE" w14:textId="77777777" w:rsidR="00865858" w:rsidRPr="00865858" w:rsidRDefault="00865858" w:rsidP="00865858">
      <w:pPr>
        <w:pStyle w:val="ListBullet2"/>
      </w:pPr>
      <w:r w:rsidRPr="00865858">
        <w:t>the potential for unintended consequences of implementing new regulatory arrangements and administrative processes.</w:t>
      </w:r>
    </w:p>
    <w:p w14:paraId="56771291" w14:textId="77777777" w:rsidR="00865858" w:rsidRPr="00865858" w:rsidRDefault="00865858" w:rsidP="00865858">
      <w:pPr>
        <w:rPr>
          <w:rFonts w:ascii="Cambria" w:hAnsi="Cambria"/>
          <w:sz w:val="22"/>
          <w:szCs w:val="22"/>
        </w:rPr>
      </w:pPr>
      <w:r w:rsidRPr="00865858">
        <w:rPr>
          <w:rFonts w:ascii="Cambria" w:hAnsi="Cambria"/>
          <w:sz w:val="22"/>
          <w:szCs w:val="22"/>
        </w:rPr>
        <w:t>The Principal Adviser is to provide advice on initial actions agreed to by Basin states to the Minister for Resources and Water by December 2021, and a final roadmap by June 2022.</w:t>
      </w:r>
    </w:p>
    <w:p w14:paraId="31102E1A" w14:textId="77777777" w:rsidR="00865858" w:rsidRPr="00865858" w:rsidRDefault="00865858" w:rsidP="00865858">
      <w:pPr>
        <w:rPr>
          <w:rFonts w:ascii="Cambria" w:hAnsi="Cambria"/>
          <w:sz w:val="22"/>
          <w:szCs w:val="22"/>
        </w:rPr>
      </w:pPr>
      <w:r w:rsidRPr="00865858">
        <w:rPr>
          <w:rFonts w:ascii="Cambria" w:hAnsi="Cambria"/>
          <w:sz w:val="22"/>
          <w:szCs w:val="22"/>
        </w:rPr>
        <w:t>The Australian Government Department of Agriculture, Water and the Environment will provide secretariat support to the Principal Adviser and advisory group.</w:t>
      </w:r>
    </w:p>
    <w:p w14:paraId="54C564B9" w14:textId="77777777" w:rsidR="00865858" w:rsidRPr="00865858" w:rsidRDefault="00865858" w:rsidP="00865858">
      <w:pPr>
        <w:pStyle w:val="Heading2"/>
        <w:keepLines w:val="0"/>
        <w:spacing w:before="0" w:after="60"/>
        <w:rPr>
          <w:rFonts w:ascii="Calibri" w:eastAsiaTheme="minorEastAsia" w:hAnsi="Calibri" w:cstheme="minorBidi"/>
          <w:bCs/>
          <w:color w:val="000000"/>
          <w:sz w:val="36"/>
          <w:lang w:eastAsia="ja-JP"/>
        </w:rPr>
      </w:pPr>
      <w:bookmarkStart w:id="33" w:name="_Toc90470981"/>
      <w:r w:rsidRPr="00865858">
        <w:rPr>
          <w:rFonts w:ascii="Calibri" w:eastAsiaTheme="minorEastAsia" w:hAnsi="Calibri" w:cstheme="minorBidi"/>
          <w:bCs/>
          <w:color w:val="000000"/>
          <w:sz w:val="36"/>
          <w:lang w:eastAsia="ja-JP"/>
        </w:rPr>
        <w:t>Background to Murray-Darling Basin Water Markets Implementation Roadmap</w:t>
      </w:r>
      <w:bookmarkEnd w:id="33"/>
    </w:p>
    <w:p w14:paraId="33B5FFC6" w14:textId="77777777" w:rsidR="00865858" w:rsidRPr="00865858" w:rsidRDefault="00865858" w:rsidP="00865858">
      <w:pPr>
        <w:rPr>
          <w:rFonts w:ascii="Cambria" w:hAnsi="Cambria"/>
          <w:sz w:val="22"/>
          <w:szCs w:val="22"/>
        </w:rPr>
      </w:pPr>
      <w:r w:rsidRPr="00865858">
        <w:rPr>
          <w:rFonts w:ascii="Cambria" w:hAnsi="Cambria"/>
          <w:sz w:val="22"/>
          <w:szCs w:val="22"/>
        </w:rPr>
        <w:t>On 26 March 2021, the ACCC released its final report on markets for tradeable water rights within the Murray-Darling Basin. The Australian Government announced the inquiry in August 2019. The ACCC consulted with a wide range of water market participants across the Murray-Darling Basin. The ACCC report concluded that the market had outgrown the underlying governance, regulatory, and information framework, and that these issues are undermining market confidence and diminish the economic output derived from the Basin’s scarce water resources. The ACCC put forward 29 integrated recommendations aimed at enhancing markets for tradeable water rights, restoring confidence in water markets, and improving market operation and efficiency so they work better for participants and the Australian economy.</w:t>
      </w:r>
    </w:p>
    <w:p w14:paraId="68221E5A" w14:textId="77777777" w:rsidR="00865858" w:rsidRPr="00865858" w:rsidRDefault="00865858" w:rsidP="00865858">
      <w:pPr>
        <w:rPr>
          <w:rFonts w:ascii="Cambria" w:hAnsi="Cambria"/>
          <w:sz w:val="22"/>
          <w:szCs w:val="22"/>
        </w:rPr>
      </w:pPr>
      <w:r w:rsidRPr="00865858">
        <w:rPr>
          <w:rFonts w:ascii="Cambria" w:hAnsi="Cambria"/>
          <w:sz w:val="22"/>
          <w:szCs w:val="22"/>
        </w:rPr>
        <w:t>To enable a clear pathway to be identified for progressing water market reforms it is important that there is consultation and coordination with Basin states and other water market stakeholders. This will ensure that the reforms that are needed meet the expectations of water market participants.</w:t>
      </w:r>
    </w:p>
    <w:p w14:paraId="7FF35136" w14:textId="77777777" w:rsidR="00865858" w:rsidRPr="00865858" w:rsidRDefault="00865858" w:rsidP="00865858">
      <w:pPr>
        <w:rPr>
          <w:rFonts w:ascii="Cambria" w:hAnsi="Cambria"/>
          <w:sz w:val="22"/>
          <w:szCs w:val="22"/>
        </w:rPr>
      </w:pPr>
      <w:r w:rsidRPr="00865858">
        <w:rPr>
          <w:rFonts w:ascii="Cambria" w:hAnsi="Cambria"/>
          <w:sz w:val="22"/>
          <w:szCs w:val="22"/>
        </w:rPr>
        <w:t>The Australian and state governments share responsibility for the Murray-Darling Basin. Basin state governments are responsible for water licencing arrangements and have regulatory and operational responsibility for water markets under state legislation. Agreement with Basin states and cost sharing will be critical to water market reform, and it will be important that, to the extent appropriate, reforms apply uniformly across the Basin.</w:t>
      </w:r>
    </w:p>
    <w:p w14:paraId="27E7BEC9" w14:textId="743226A4" w:rsidR="005D517C" w:rsidRPr="001528A0" w:rsidRDefault="00865858" w:rsidP="005F5784">
      <w:pPr>
        <w:rPr>
          <w:rFonts w:ascii="Cambria" w:hAnsi="Cambria"/>
          <w:sz w:val="22"/>
          <w:szCs w:val="22"/>
        </w:rPr>
        <w:sectPr w:rsidR="005D517C" w:rsidRPr="001528A0" w:rsidSect="001528A0">
          <w:footerReference w:type="default" r:id="rId19"/>
          <w:headerReference w:type="first" r:id="rId20"/>
          <w:footerReference w:type="first" r:id="rId21"/>
          <w:pgSz w:w="11906" w:h="16838"/>
          <w:pgMar w:top="1418" w:right="1440" w:bottom="1134" w:left="1440" w:header="851" w:footer="708" w:gutter="0"/>
          <w:pgNumType w:start="1"/>
          <w:cols w:space="708"/>
          <w:titlePg/>
          <w:docGrid w:linePitch="360"/>
        </w:sectPr>
      </w:pPr>
      <w:r w:rsidRPr="00865858">
        <w:rPr>
          <w:rFonts w:ascii="Cambria" w:hAnsi="Cambria"/>
          <w:sz w:val="22"/>
          <w:szCs w:val="22"/>
        </w:rPr>
        <w:t>The roadmap should clearly identify the initiatives that should be progressed to improve water markets across the Basin and address the findings of the ACCC Inquiry.</w:t>
      </w:r>
      <w:r w:rsidR="0058421F">
        <w:rPr>
          <w:rFonts w:cstheme="minorHAnsi"/>
          <w:sz w:val="56"/>
          <w:szCs w:val="56"/>
        </w:rPr>
        <w:t xml:space="preserve"> </w:t>
      </w:r>
    </w:p>
    <w:p w14:paraId="697407FC" w14:textId="05AA1998" w:rsidR="00D04D03" w:rsidRPr="00A3226D" w:rsidRDefault="00DA0623" w:rsidP="00D56E3B">
      <w:pPr>
        <w:pStyle w:val="Heading1"/>
        <w:rPr>
          <w:rFonts w:asciiTheme="minorHAnsi" w:hAnsiTheme="minorHAnsi" w:cstheme="minorHAnsi"/>
          <w:color w:val="auto"/>
          <w:sz w:val="56"/>
          <w:szCs w:val="56"/>
        </w:rPr>
      </w:pPr>
      <w:bookmarkStart w:id="34" w:name="_Toc90470982"/>
      <w:r>
        <w:rPr>
          <w:rFonts w:asciiTheme="minorHAnsi" w:hAnsiTheme="minorHAnsi" w:cstheme="minorHAnsi"/>
          <w:color w:val="auto"/>
          <w:sz w:val="56"/>
          <w:szCs w:val="56"/>
        </w:rPr>
        <w:lastRenderedPageBreak/>
        <w:t>Appendix B</w:t>
      </w:r>
      <w:r w:rsidR="00CC6D13" w:rsidRPr="00A3226D">
        <w:rPr>
          <w:rFonts w:asciiTheme="minorHAnsi" w:hAnsiTheme="minorHAnsi" w:cstheme="minorHAnsi"/>
          <w:color w:val="auto"/>
          <w:sz w:val="56"/>
          <w:szCs w:val="56"/>
        </w:rPr>
        <w:t xml:space="preserve">: </w:t>
      </w:r>
      <w:r w:rsidR="00063859">
        <w:rPr>
          <w:rFonts w:asciiTheme="minorHAnsi" w:hAnsiTheme="minorHAnsi" w:cstheme="minorHAnsi"/>
          <w:color w:val="auto"/>
          <w:sz w:val="56"/>
          <w:szCs w:val="56"/>
        </w:rPr>
        <w:t>A</w:t>
      </w:r>
      <w:r w:rsidR="00596D37" w:rsidRPr="00A3226D">
        <w:rPr>
          <w:rFonts w:asciiTheme="minorHAnsi" w:hAnsiTheme="minorHAnsi" w:cstheme="minorHAnsi"/>
          <w:color w:val="auto"/>
          <w:sz w:val="56"/>
          <w:szCs w:val="56"/>
        </w:rPr>
        <w:t>ctions underway</w:t>
      </w:r>
      <w:r w:rsidR="00171AEB" w:rsidRPr="00A3226D">
        <w:rPr>
          <w:rFonts w:asciiTheme="minorHAnsi" w:hAnsiTheme="minorHAnsi" w:cstheme="minorHAnsi"/>
          <w:color w:val="auto"/>
          <w:sz w:val="56"/>
          <w:szCs w:val="56"/>
        </w:rPr>
        <w:t xml:space="preserve"> to improve water markets and address issues identified by the ACCC</w:t>
      </w:r>
      <w:bookmarkEnd w:id="34"/>
    </w:p>
    <w:p w14:paraId="4CE93C06" w14:textId="2268BC68" w:rsidR="00596D37" w:rsidRPr="008E4734" w:rsidRDefault="00596D37" w:rsidP="008E4734">
      <w:pPr>
        <w:spacing w:after="200" w:line="276" w:lineRule="auto"/>
        <w:rPr>
          <w:rFonts w:ascii="Cambria" w:eastAsiaTheme="minorHAnsi" w:hAnsi="Cambria"/>
          <w:sz w:val="22"/>
          <w:szCs w:val="22"/>
        </w:rPr>
      </w:pPr>
      <w:r w:rsidRPr="008E4734">
        <w:rPr>
          <w:rFonts w:ascii="Cambria" w:eastAsiaTheme="minorHAnsi" w:hAnsi="Cambria"/>
          <w:sz w:val="22"/>
          <w:szCs w:val="22"/>
        </w:rPr>
        <w:t>The table below sets out actions Basin governments are already undertaking to improve water markets and transparency for water traders and water users more generally</w:t>
      </w:r>
      <w:r w:rsidR="009742A1" w:rsidRPr="008E4734">
        <w:rPr>
          <w:rFonts w:ascii="Cambria" w:eastAsiaTheme="minorHAnsi" w:hAnsi="Cambria"/>
          <w:sz w:val="22"/>
          <w:szCs w:val="22"/>
        </w:rPr>
        <w:t xml:space="preserve"> and respond to the issues identified in the ACCC inquiry</w:t>
      </w:r>
      <w:r w:rsidRPr="008E4734">
        <w:rPr>
          <w:rFonts w:ascii="Cambria" w:eastAsiaTheme="minorHAnsi" w:hAnsi="Cambria"/>
          <w:sz w:val="22"/>
          <w:szCs w:val="22"/>
        </w:rPr>
        <w:t xml:space="preserve">. </w:t>
      </w:r>
      <w:r w:rsidR="002F49B4" w:rsidRPr="008E4734">
        <w:rPr>
          <w:rFonts w:ascii="Cambria" w:eastAsiaTheme="minorHAnsi" w:hAnsi="Cambria"/>
          <w:sz w:val="22"/>
          <w:szCs w:val="22"/>
        </w:rPr>
        <w:t>Note that the listed actions may not fully address the ACCC’s recommendations; further considerations of the full suite of actions by government to improve water markets will be set out in the final June 2022 roadmap.</w:t>
      </w:r>
    </w:p>
    <w:tbl>
      <w:tblPr>
        <w:tblStyle w:val="PlainTable1"/>
        <w:tblW w:w="13907" w:type="dxa"/>
        <w:tblLook w:val="04A0" w:firstRow="1" w:lastRow="0" w:firstColumn="1" w:lastColumn="0" w:noHBand="0" w:noVBand="1"/>
      </w:tblPr>
      <w:tblGrid>
        <w:gridCol w:w="1384"/>
        <w:gridCol w:w="10093"/>
        <w:gridCol w:w="2410"/>
        <w:gridCol w:w="14"/>
        <w:gridCol w:w="6"/>
      </w:tblGrid>
      <w:tr w:rsidR="003945BA" w:rsidRPr="00DE0587" w14:paraId="4802E5FC" w14:textId="77777777" w:rsidTr="00CD566E">
        <w:trPr>
          <w:gridAfter w:val="2"/>
          <w:cnfStyle w:val="100000000000" w:firstRow="1" w:lastRow="0" w:firstColumn="0" w:lastColumn="0" w:oddVBand="0" w:evenVBand="0" w:oddHBand="0" w:evenHBand="0" w:firstRowFirstColumn="0" w:firstRowLastColumn="0" w:lastRowFirstColumn="0" w:lastRowLastColumn="0"/>
          <w:wAfter w:w="20" w:type="dxa"/>
          <w:cantSplit/>
          <w:tblHeader/>
        </w:trPr>
        <w:tc>
          <w:tcPr>
            <w:cnfStyle w:val="001000000000" w:firstRow="0" w:lastRow="0" w:firstColumn="1" w:lastColumn="0" w:oddVBand="0" w:evenVBand="0" w:oddHBand="0" w:evenHBand="0" w:firstRowFirstColumn="0" w:firstRowLastColumn="0" w:lastRowFirstColumn="0" w:lastRowLastColumn="0"/>
            <w:tcW w:w="1384" w:type="dxa"/>
          </w:tcPr>
          <w:p w14:paraId="773E54D6" w14:textId="3F04261A" w:rsidR="00D56E3B" w:rsidRPr="00A3226D" w:rsidRDefault="003945BA">
            <w:pPr>
              <w:rPr>
                <w:rFonts w:ascii="Cambria" w:hAnsi="Cambria" w:cstheme="majorHAnsi"/>
                <w:sz w:val="18"/>
                <w:szCs w:val="18"/>
              </w:rPr>
            </w:pPr>
            <w:r w:rsidRPr="00A3226D">
              <w:rPr>
                <w:rFonts w:ascii="Cambria" w:hAnsi="Cambria" w:cstheme="majorHAnsi"/>
                <w:sz w:val="18"/>
                <w:szCs w:val="18"/>
              </w:rPr>
              <w:t>Jurisdiction</w:t>
            </w:r>
          </w:p>
        </w:tc>
        <w:tc>
          <w:tcPr>
            <w:tcW w:w="10093" w:type="dxa"/>
          </w:tcPr>
          <w:p w14:paraId="2D499712" w14:textId="36785B14" w:rsidR="00D56E3B" w:rsidRPr="00A3226D" w:rsidRDefault="003945BA">
            <w:pPr>
              <w:cnfStyle w:val="100000000000" w:firstRow="1"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Actions already underway</w:t>
            </w:r>
          </w:p>
        </w:tc>
        <w:tc>
          <w:tcPr>
            <w:tcW w:w="2410" w:type="dxa"/>
          </w:tcPr>
          <w:p w14:paraId="7B3554CB" w14:textId="13F23980" w:rsidR="00D56E3B" w:rsidRPr="00A3226D" w:rsidRDefault="003945BA">
            <w:pPr>
              <w:cnfStyle w:val="100000000000" w:firstRow="1"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Relevant ACCC recommendation(s)</w:t>
            </w:r>
          </w:p>
        </w:tc>
      </w:tr>
      <w:tr w:rsidR="003945BA" w:rsidRPr="00A3226D" w14:paraId="6E2DB569" w14:textId="77777777" w:rsidTr="00CD56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07" w:type="dxa"/>
            <w:gridSpan w:val="5"/>
            <w:shd w:val="clear" w:color="auto" w:fill="D9E2F3" w:themeFill="accent1" w:themeFillTint="33"/>
          </w:tcPr>
          <w:p w14:paraId="58E1EC29" w14:textId="4B6C54C5" w:rsidR="003945BA" w:rsidRPr="00A3226D" w:rsidRDefault="001D7A0B" w:rsidP="00D6727E">
            <w:pPr>
              <w:pStyle w:val="Heading3"/>
              <w:outlineLvl w:val="2"/>
              <w:rPr>
                <w:rFonts w:ascii="Cambria" w:hAnsi="Cambria" w:cstheme="majorHAnsi"/>
                <w:sz w:val="18"/>
                <w:szCs w:val="18"/>
              </w:rPr>
            </w:pPr>
            <w:bookmarkStart w:id="35" w:name="_Toc90470983"/>
            <w:r w:rsidRPr="00A3226D">
              <w:rPr>
                <w:rFonts w:ascii="Cambria" w:hAnsi="Cambria" w:cstheme="majorHAnsi"/>
                <w:color w:val="auto"/>
                <w:sz w:val="18"/>
                <w:szCs w:val="18"/>
              </w:rPr>
              <w:t xml:space="preserve">Improving </w:t>
            </w:r>
            <w:r w:rsidR="00915806" w:rsidRPr="00A3226D">
              <w:rPr>
                <w:rFonts w:ascii="Cambria" w:hAnsi="Cambria" w:cstheme="majorHAnsi"/>
                <w:color w:val="auto"/>
                <w:sz w:val="18"/>
                <w:szCs w:val="18"/>
              </w:rPr>
              <w:t>metering and monitoring of water take</w:t>
            </w:r>
            <w:bookmarkEnd w:id="35"/>
          </w:p>
        </w:tc>
      </w:tr>
      <w:tr w:rsidR="00DE0587" w:rsidRPr="00F744C3" w14:paraId="66F614DF"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6A957926" w14:textId="2C0EE2A6" w:rsidR="00DE0587" w:rsidRPr="00A3226D" w:rsidRDefault="00DE0587">
            <w:pPr>
              <w:rPr>
                <w:rFonts w:ascii="Cambria" w:hAnsi="Cambria" w:cstheme="majorHAnsi"/>
                <w:b w:val="0"/>
                <w:sz w:val="18"/>
                <w:szCs w:val="18"/>
              </w:rPr>
            </w:pPr>
            <w:proofErr w:type="spellStart"/>
            <w:r w:rsidRPr="00A3226D">
              <w:rPr>
                <w:rFonts w:ascii="Cambria" w:hAnsi="Cambria" w:cstheme="majorHAnsi"/>
                <w:b w:val="0"/>
                <w:sz w:val="18"/>
                <w:szCs w:val="18"/>
              </w:rPr>
              <w:t>Cth</w:t>
            </w:r>
            <w:proofErr w:type="spellEnd"/>
          </w:p>
        </w:tc>
        <w:tc>
          <w:tcPr>
            <w:tcW w:w="10093" w:type="dxa"/>
          </w:tcPr>
          <w:p w14:paraId="03559853" w14:textId="0047A4F7" w:rsidR="00DE0587" w:rsidRPr="00A3226D" w:rsidRDefault="00DE0587">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 xml:space="preserve">Creation of the Inspector-General of Water Compliance (IGWC) to increase oversight. The </w:t>
            </w:r>
            <w:r w:rsidR="00104538" w:rsidRPr="00A3226D">
              <w:rPr>
                <w:rFonts w:ascii="Cambria" w:hAnsi="Cambria"/>
                <w:sz w:val="18"/>
                <w:szCs w:val="18"/>
              </w:rPr>
              <w:t>Inspector General</w:t>
            </w:r>
            <w:r w:rsidR="00104538" w:rsidRPr="00A3226D">
              <w:rPr>
                <w:rFonts w:ascii="Cambria" w:hAnsi="Cambria" w:cstheme="majorHAnsi"/>
                <w:sz w:val="18"/>
                <w:szCs w:val="18"/>
              </w:rPr>
              <w:t xml:space="preserve"> </w:t>
            </w:r>
            <w:r w:rsidRPr="00A3226D">
              <w:rPr>
                <w:rFonts w:ascii="Cambria" w:hAnsi="Cambria" w:cstheme="majorHAnsi"/>
                <w:sz w:val="18"/>
                <w:szCs w:val="18"/>
              </w:rPr>
              <w:t xml:space="preserve">also has the power to issue metering standards that must be considered by Basin </w:t>
            </w:r>
            <w:r w:rsidRPr="00061CE2">
              <w:rPr>
                <w:rFonts w:ascii="Cambria" w:hAnsi="Cambria" w:cstheme="majorHAnsi"/>
                <w:sz w:val="18"/>
                <w:szCs w:val="18"/>
              </w:rPr>
              <w:t>governments.</w:t>
            </w:r>
            <w:r w:rsidR="00C014E3" w:rsidRPr="00B364AD">
              <w:rPr>
                <w:rFonts w:ascii="Cambria" w:hAnsi="Cambria" w:cstheme="majorHAnsi"/>
                <w:sz w:val="18"/>
                <w:szCs w:val="18"/>
              </w:rPr>
              <w:t xml:space="preserve"> </w:t>
            </w:r>
            <w:r w:rsidR="00C014E3" w:rsidRPr="00BD150F">
              <w:rPr>
                <w:rFonts w:ascii="Cambria" w:hAnsi="Cambria" w:cstheme="majorHAnsi"/>
                <w:sz w:val="18"/>
                <w:szCs w:val="18"/>
              </w:rPr>
              <w:t>Water metering and measurement is a current compliance priority for the IGWC.</w:t>
            </w:r>
          </w:p>
        </w:tc>
        <w:tc>
          <w:tcPr>
            <w:tcW w:w="2410" w:type="dxa"/>
            <w:vMerge w:val="restart"/>
          </w:tcPr>
          <w:p w14:paraId="05C162C0" w14:textId="50813028" w:rsidR="00DE0587" w:rsidRPr="00A3226D" w:rsidRDefault="00DE0587">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R17–Strengthen metering and monitoring</w:t>
            </w:r>
          </w:p>
        </w:tc>
      </w:tr>
      <w:tr w:rsidR="00DE0587" w:rsidRPr="00F744C3" w14:paraId="3708D92B"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098BA6E7" w14:textId="03A45458" w:rsidR="00DE0587" w:rsidRPr="009917D2" w:rsidRDefault="00DE0587" w:rsidP="00402E9D">
            <w:pPr>
              <w:rPr>
                <w:rFonts w:ascii="Cambria" w:hAnsi="Cambria" w:cstheme="majorHAnsi"/>
                <w:b w:val="0"/>
                <w:sz w:val="18"/>
                <w:szCs w:val="18"/>
              </w:rPr>
            </w:pPr>
            <w:r w:rsidRPr="00223AE9">
              <w:rPr>
                <w:rFonts w:ascii="Cambria" w:hAnsi="Cambria" w:cstheme="majorHAnsi"/>
                <w:b w:val="0"/>
                <w:sz w:val="18"/>
                <w:szCs w:val="18"/>
              </w:rPr>
              <w:t>NSW, VIC, SA</w:t>
            </w:r>
          </w:p>
        </w:tc>
        <w:tc>
          <w:tcPr>
            <w:tcW w:w="10093" w:type="dxa"/>
          </w:tcPr>
          <w:p w14:paraId="4D8E9102" w14:textId="2F2B04E7" w:rsidR="00DE0587" w:rsidRPr="009917D2" w:rsidRDefault="00DE0587" w:rsidP="00402E9D">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 xml:space="preserve">Compliance and enforcement efforts to identify and prevent water users being able to go into negative balances are led at the state level and balanced against other compliance and enforcement priorities within each state. While current approaches vary, NSW, Victoria and South Australia are continuing compliance and enforcement efforts to prevent water being taken when accounts are in negative balance. For example, Victoria has a zero-tolerance policy for unauthorised take, but compliance and enforcement of the policy is the responsibility of each water corporation and different approaches may be taken. In NSW, </w:t>
            </w:r>
            <w:r w:rsidR="002557F1" w:rsidRPr="00BD150F">
              <w:rPr>
                <w:rFonts w:ascii="Cambria" w:hAnsi="Cambria" w:cstheme="majorHAnsi"/>
                <w:sz w:val="18"/>
                <w:szCs w:val="18"/>
              </w:rPr>
              <w:t>the Natural Resources Access Regulator (NRAR), with support from WaterNSW, has detected and investigated breaches of overdrawn accounts. M</w:t>
            </w:r>
            <w:r w:rsidRPr="009917D2">
              <w:rPr>
                <w:rFonts w:ascii="Cambria" w:hAnsi="Cambria" w:cstheme="majorHAnsi"/>
                <w:sz w:val="18"/>
                <w:szCs w:val="18"/>
              </w:rPr>
              <w:t xml:space="preserve">etering and overdrawn accounts </w:t>
            </w:r>
            <w:r w:rsidR="00EB7CDA">
              <w:rPr>
                <w:rFonts w:ascii="Cambria" w:hAnsi="Cambria" w:cstheme="majorHAnsi"/>
                <w:sz w:val="18"/>
                <w:szCs w:val="18"/>
              </w:rPr>
              <w:t>are</w:t>
            </w:r>
            <w:r w:rsidRPr="009917D2">
              <w:rPr>
                <w:rFonts w:ascii="Cambria" w:hAnsi="Cambria" w:cstheme="majorHAnsi"/>
                <w:sz w:val="18"/>
                <w:szCs w:val="18"/>
              </w:rPr>
              <w:t xml:space="preserve"> two of NRAR's four regulatory priorities for 2021–‍22. South Australia’s recent increase in the frequency of meter </w:t>
            </w:r>
            <w:r w:rsidR="0009194C" w:rsidRPr="0009194C">
              <w:rPr>
                <w:rFonts w:ascii="Cambria" w:hAnsi="Cambria" w:cstheme="majorHAnsi"/>
                <w:sz w:val="18"/>
                <w:szCs w:val="18"/>
              </w:rPr>
              <w:t>compliance accounting</w:t>
            </w:r>
            <w:r w:rsidRPr="009917D2">
              <w:rPr>
                <w:rFonts w:ascii="Cambria" w:hAnsi="Cambria" w:cstheme="majorHAnsi"/>
                <w:sz w:val="18"/>
                <w:szCs w:val="18"/>
              </w:rPr>
              <w:t xml:space="preserve"> (from annually to quarterly</w:t>
            </w:r>
            <w:r w:rsidR="0008544A" w:rsidRPr="00BD150F">
              <w:rPr>
                <w:rFonts w:ascii="Cambria" w:hAnsi="Cambria" w:cstheme="majorHAnsi"/>
                <w:sz w:val="18"/>
                <w:szCs w:val="18"/>
              </w:rPr>
              <w:t>, with the application of mandatory financial penalties for any unauthorised use</w:t>
            </w:r>
            <w:r w:rsidRPr="009917D2">
              <w:rPr>
                <w:rFonts w:ascii="Cambria" w:hAnsi="Cambria" w:cstheme="majorHAnsi"/>
                <w:sz w:val="18"/>
                <w:szCs w:val="18"/>
              </w:rPr>
              <w:t xml:space="preserve">) has also </w:t>
            </w:r>
            <w:r w:rsidR="00E646BF">
              <w:rPr>
                <w:rFonts w:ascii="Cambria" w:hAnsi="Cambria" w:cstheme="majorHAnsi"/>
                <w:sz w:val="18"/>
                <w:szCs w:val="18"/>
              </w:rPr>
              <w:t xml:space="preserve">gone some way to </w:t>
            </w:r>
            <w:r w:rsidRPr="009917D2">
              <w:rPr>
                <w:rFonts w:ascii="Cambria" w:hAnsi="Cambria" w:cstheme="majorHAnsi"/>
                <w:sz w:val="18"/>
                <w:szCs w:val="18"/>
              </w:rPr>
              <w:t xml:space="preserve">improve these matters. </w:t>
            </w:r>
          </w:p>
        </w:tc>
        <w:tc>
          <w:tcPr>
            <w:tcW w:w="2410" w:type="dxa"/>
            <w:vMerge/>
          </w:tcPr>
          <w:p w14:paraId="715DD031" w14:textId="77777777" w:rsidR="00DE0587" w:rsidRPr="009917D2" w:rsidRDefault="00DE0587" w:rsidP="00402E9D">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DE0587" w:rsidRPr="00F744C3" w14:paraId="1F77DBBC"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698019B7" w14:textId="21AC0580" w:rsidR="00DE0587" w:rsidRPr="009917D2" w:rsidRDefault="00DE0587" w:rsidP="00402E9D">
            <w:pPr>
              <w:rPr>
                <w:rFonts w:ascii="Cambria" w:hAnsi="Cambria" w:cstheme="majorHAnsi"/>
                <w:b w:val="0"/>
                <w:sz w:val="18"/>
                <w:szCs w:val="18"/>
              </w:rPr>
            </w:pPr>
            <w:r w:rsidRPr="00223AE9">
              <w:rPr>
                <w:rFonts w:ascii="Cambria" w:hAnsi="Cambria" w:cstheme="majorHAnsi"/>
                <w:b w:val="0"/>
                <w:sz w:val="18"/>
                <w:szCs w:val="18"/>
              </w:rPr>
              <w:t>All</w:t>
            </w:r>
          </w:p>
        </w:tc>
        <w:tc>
          <w:tcPr>
            <w:tcW w:w="10093" w:type="dxa"/>
          </w:tcPr>
          <w:p w14:paraId="72676C2D" w14:textId="4A87C8C8" w:rsidR="00DE0587" w:rsidRPr="009917D2" w:rsidRDefault="00DE0587" w:rsidP="00402E9D">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 xml:space="preserve">All Basin states continue efforts to harmonise metering standards and NSW and QLD efforts to regulate and measure overland flows. </w:t>
            </w:r>
            <w:r w:rsidRPr="001D2152">
              <w:rPr>
                <w:rFonts w:ascii="Cambria" w:hAnsi="Cambria" w:cstheme="majorHAnsi"/>
                <w:sz w:val="18"/>
                <w:szCs w:val="18"/>
              </w:rPr>
              <w:t xml:space="preserve">The Commonwealth has committed $25 million to support the delivery of stronger compliance in the northern Basin. The program will provide better access to accurate, near-real water </w:t>
            </w:r>
            <w:r w:rsidRPr="005D517C">
              <w:rPr>
                <w:rFonts w:ascii="Cambria" w:hAnsi="Cambria" w:cstheme="majorHAnsi"/>
                <w:sz w:val="18"/>
                <w:szCs w:val="18"/>
              </w:rPr>
              <w:t>information in both NSW and Queensland.</w:t>
            </w:r>
            <w:r w:rsidR="001D2152" w:rsidRPr="005D517C">
              <w:rPr>
                <w:rFonts w:ascii="Cambria" w:hAnsi="Cambria" w:cstheme="majorHAnsi"/>
                <w:sz w:val="18"/>
                <w:szCs w:val="18"/>
              </w:rPr>
              <w:t xml:space="preserve"> </w:t>
            </w:r>
            <w:r w:rsidR="007B1732" w:rsidRPr="005D517C">
              <w:rPr>
                <w:rFonts w:ascii="Cambria" w:hAnsi="Cambria"/>
                <w:sz w:val="18"/>
                <w:szCs w:val="18"/>
              </w:rPr>
              <w:t xml:space="preserve">Victoria is </w:t>
            </w:r>
            <w:r w:rsidR="007B1732" w:rsidRPr="001528A0">
              <w:rPr>
                <w:rFonts w:ascii="Cambria" w:hAnsi="Cambria"/>
                <w:sz w:val="18"/>
                <w:szCs w:val="18"/>
              </w:rPr>
              <w:t xml:space="preserve">prioritising telemetry in high-risk areas, and those with the most active markets as part of this roll-out. </w:t>
            </w:r>
            <w:r w:rsidR="001D2152" w:rsidRPr="001528A0">
              <w:rPr>
                <w:rFonts w:ascii="Cambria" w:hAnsi="Cambria" w:cstheme="majorHAnsi"/>
                <w:sz w:val="18"/>
                <w:szCs w:val="18"/>
              </w:rPr>
              <w:t xml:space="preserve">The </w:t>
            </w:r>
            <w:r w:rsidR="001D2152" w:rsidRPr="001528A0">
              <w:rPr>
                <w:rFonts w:ascii="Cambria" w:hAnsi="Cambria"/>
                <w:sz w:val="18"/>
                <w:szCs w:val="18"/>
              </w:rPr>
              <w:t xml:space="preserve">NSW Government has also committed </w:t>
            </w:r>
            <w:r w:rsidR="001D2152" w:rsidRPr="005D517C">
              <w:rPr>
                <w:rFonts w:ascii="Cambria" w:hAnsi="Cambria"/>
                <w:sz w:val="18"/>
                <w:szCs w:val="18"/>
              </w:rPr>
              <w:t>$23.6m to accelerate the implementation of telemetry in the southern Basin in NSW as well as in coastal areas outside of the Basin. This includes $9m of rebates for water users and $14.6m to upgrade government owned meters.</w:t>
            </w:r>
            <w:r w:rsidR="001D2152" w:rsidRPr="001D2152">
              <w:rPr>
                <w:rFonts w:ascii="Cambria" w:hAnsi="Cambria"/>
                <w:sz w:val="18"/>
                <w:szCs w:val="18"/>
              </w:rPr>
              <w:t xml:space="preserve"> </w:t>
            </w:r>
          </w:p>
        </w:tc>
        <w:tc>
          <w:tcPr>
            <w:tcW w:w="2410" w:type="dxa"/>
            <w:vMerge/>
          </w:tcPr>
          <w:p w14:paraId="04ADED5E" w14:textId="77777777" w:rsidR="00DE0587" w:rsidRPr="009917D2" w:rsidRDefault="00DE0587" w:rsidP="00402E9D">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D6594F" w:rsidRPr="00A3226D" w14:paraId="4F954D60" w14:textId="77777777" w:rsidTr="00CD56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07" w:type="dxa"/>
            <w:gridSpan w:val="5"/>
            <w:shd w:val="clear" w:color="auto" w:fill="D9E2F3" w:themeFill="accent1" w:themeFillTint="33"/>
          </w:tcPr>
          <w:p w14:paraId="3704D612" w14:textId="457F68C8" w:rsidR="00D6594F" w:rsidRPr="00A3226D" w:rsidRDefault="00D6594F" w:rsidP="000A5C0B">
            <w:pPr>
              <w:pStyle w:val="Heading3"/>
              <w:outlineLvl w:val="2"/>
              <w:rPr>
                <w:rFonts w:ascii="Cambria" w:hAnsi="Cambria"/>
                <w:sz w:val="18"/>
                <w:szCs w:val="18"/>
              </w:rPr>
            </w:pPr>
            <w:bookmarkStart w:id="36" w:name="_Toc90470984"/>
            <w:r w:rsidRPr="00A3226D">
              <w:rPr>
                <w:rFonts w:ascii="Cambria" w:hAnsi="Cambria"/>
                <w:color w:val="auto"/>
                <w:sz w:val="18"/>
                <w:szCs w:val="18"/>
              </w:rPr>
              <w:t>Improving administration of interzone trade</w:t>
            </w:r>
            <w:bookmarkEnd w:id="36"/>
          </w:p>
        </w:tc>
      </w:tr>
      <w:tr w:rsidR="00F01885" w:rsidRPr="00A3226D" w14:paraId="47E4B5A6"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2DC637BD" w14:textId="64FE9C4E" w:rsidR="00F01885" w:rsidRPr="00A3226D" w:rsidRDefault="00F01885" w:rsidP="00402E9D">
            <w:pPr>
              <w:rPr>
                <w:rFonts w:ascii="Cambria" w:hAnsi="Cambria" w:cstheme="majorHAnsi"/>
                <w:b w:val="0"/>
                <w:sz w:val="18"/>
                <w:szCs w:val="18"/>
              </w:rPr>
            </w:pPr>
            <w:r w:rsidRPr="00A3226D">
              <w:rPr>
                <w:rFonts w:ascii="Cambria" w:hAnsi="Cambria" w:cstheme="majorHAnsi"/>
                <w:b w:val="0"/>
                <w:sz w:val="18"/>
                <w:szCs w:val="18"/>
              </w:rPr>
              <w:t>NSW</w:t>
            </w:r>
          </w:p>
        </w:tc>
        <w:tc>
          <w:tcPr>
            <w:tcW w:w="10093" w:type="dxa"/>
          </w:tcPr>
          <w:p w14:paraId="28551BAA" w14:textId="204F7D55" w:rsidR="00F01885" w:rsidRPr="00A3226D" w:rsidRDefault="00F01885" w:rsidP="00402E9D">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WaterNSW has sought feedback from water market participants on issues and options relating to the current application process and administration of the Murrumbidgee IVT.</w:t>
            </w:r>
          </w:p>
        </w:tc>
        <w:tc>
          <w:tcPr>
            <w:tcW w:w="2410" w:type="dxa"/>
            <w:vMerge w:val="restart"/>
          </w:tcPr>
          <w:p w14:paraId="31F88F0F" w14:textId="39664462" w:rsidR="00F01885" w:rsidRPr="00A3226D" w:rsidRDefault="00F01885" w:rsidP="0022036A">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 xml:space="preserve">R5–Implement technical and procedural solutions to </w:t>
            </w:r>
            <w:r w:rsidRPr="00A3226D">
              <w:rPr>
                <w:rFonts w:ascii="Cambria" w:hAnsi="Cambria" w:cstheme="majorHAnsi"/>
                <w:sz w:val="18"/>
                <w:szCs w:val="18"/>
              </w:rPr>
              <w:lastRenderedPageBreak/>
              <w:t>provide consistency</w:t>
            </w:r>
            <w:r w:rsidR="009C7A11" w:rsidRPr="00A3226D">
              <w:rPr>
                <w:rFonts w:ascii="Cambria" w:hAnsi="Cambria" w:cstheme="majorHAnsi"/>
                <w:sz w:val="18"/>
                <w:szCs w:val="18"/>
              </w:rPr>
              <w:t xml:space="preserve"> </w:t>
            </w:r>
            <w:r w:rsidRPr="00A3226D">
              <w:rPr>
                <w:rFonts w:ascii="Cambria" w:hAnsi="Cambria" w:cstheme="majorHAnsi"/>
                <w:sz w:val="18"/>
                <w:szCs w:val="18"/>
              </w:rPr>
              <w:t xml:space="preserve">for interzone </w:t>
            </w:r>
            <w:proofErr w:type="gramStart"/>
            <w:r w:rsidRPr="00A3226D">
              <w:rPr>
                <w:rFonts w:ascii="Cambria" w:hAnsi="Cambria" w:cstheme="majorHAnsi"/>
                <w:sz w:val="18"/>
                <w:szCs w:val="18"/>
              </w:rPr>
              <w:t>trade</w:t>
            </w:r>
            <w:r w:rsidR="00D22A36" w:rsidRPr="00A3226D">
              <w:rPr>
                <w:rFonts w:ascii="Cambria" w:hAnsi="Cambria" w:cstheme="majorHAnsi"/>
                <w:sz w:val="18"/>
                <w:szCs w:val="18"/>
              </w:rPr>
              <w:t>;</w:t>
            </w:r>
            <w:proofErr w:type="gramEnd"/>
          </w:p>
          <w:p w14:paraId="6412FF9A" w14:textId="32202CD6" w:rsidR="00D22A36" w:rsidRPr="00A3226D" w:rsidRDefault="00D22A36" w:rsidP="00D22A36">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R22–Improve intervalley trade mechanisms</w:t>
            </w:r>
          </w:p>
        </w:tc>
      </w:tr>
      <w:tr w:rsidR="00F01885" w:rsidRPr="00A3226D" w14:paraId="3D170B40"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6420F633" w14:textId="77AFA394" w:rsidR="00F01885" w:rsidRPr="00A3226D" w:rsidRDefault="00F01885" w:rsidP="002210A2">
            <w:pPr>
              <w:rPr>
                <w:rFonts w:ascii="Cambria" w:hAnsi="Cambria" w:cstheme="majorHAnsi"/>
                <w:b w:val="0"/>
                <w:sz w:val="18"/>
                <w:szCs w:val="18"/>
              </w:rPr>
            </w:pPr>
            <w:r w:rsidRPr="00A3226D">
              <w:rPr>
                <w:rFonts w:ascii="Cambria" w:hAnsi="Cambria" w:cstheme="majorHAnsi"/>
                <w:b w:val="0"/>
                <w:sz w:val="18"/>
                <w:szCs w:val="18"/>
              </w:rPr>
              <w:lastRenderedPageBreak/>
              <w:t>VIC</w:t>
            </w:r>
          </w:p>
        </w:tc>
        <w:tc>
          <w:tcPr>
            <w:tcW w:w="10093" w:type="dxa"/>
          </w:tcPr>
          <w:p w14:paraId="5F91EB0D" w14:textId="6D975E53" w:rsidR="00F01885" w:rsidRPr="00A3226D" w:rsidRDefault="00F01885"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Victoria has announced that interim regulations restricting tagged water use in line with trade are to be made enduring, to keep a level playing field for all types of trade and help protect the health of the lower Goulburn River.</w:t>
            </w:r>
            <w:r w:rsidR="0067104A">
              <w:rPr>
                <w:rFonts w:ascii="Cambria" w:hAnsi="Cambria" w:cstheme="majorHAnsi"/>
                <w:sz w:val="18"/>
                <w:szCs w:val="18"/>
              </w:rPr>
              <w:t xml:space="preserve"> </w:t>
            </w:r>
            <w:r w:rsidR="0067104A" w:rsidRPr="0067104A">
              <w:rPr>
                <w:rFonts w:ascii="Cambria" w:hAnsi="Cambria" w:cstheme="majorHAnsi"/>
                <w:sz w:val="18"/>
                <w:szCs w:val="18"/>
              </w:rPr>
              <w:t>Victoria has also improved the information available on the interzone trade limits they manage.</w:t>
            </w:r>
          </w:p>
        </w:tc>
        <w:tc>
          <w:tcPr>
            <w:tcW w:w="2410" w:type="dxa"/>
            <w:vMerge/>
          </w:tcPr>
          <w:p w14:paraId="7BF33A78" w14:textId="1B7BB8E4" w:rsidR="00F01885" w:rsidRPr="00A3226D" w:rsidRDefault="00F01885" w:rsidP="0022036A">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F26864" w:rsidRPr="00A3226D" w14:paraId="11963DE9" w14:textId="77777777" w:rsidTr="00CD566E">
        <w:trPr>
          <w:gridAfter w:val="1"/>
          <w:wAfter w:w="6"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05FE153B" w14:textId="2EB644A5" w:rsidR="00F26864" w:rsidRPr="00A3226D" w:rsidRDefault="00F26864" w:rsidP="00F26864">
            <w:pPr>
              <w:rPr>
                <w:rFonts w:ascii="Cambria" w:hAnsi="Cambria" w:cstheme="majorHAnsi"/>
                <w:b w:val="0"/>
                <w:bCs w:val="0"/>
                <w:sz w:val="18"/>
                <w:szCs w:val="18"/>
              </w:rPr>
            </w:pPr>
            <w:r>
              <w:rPr>
                <w:rFonts w:ascii="Cambria" w:hAnsi="Cambria" w:cstheme="majorHAnsi"/>
                <w:b w:val="0"/>
                <w:bCs w:val="0"/>
                <w:sz w:val="18"/>
                <w:szCs w:val="18"/>
              </w:rPr>
              <w:t>IGWC</w:t>
            </w:r>
          </w:p>
        </w:tc>
        <w:tc>
          <w:tcPr>
            <w:tcW w:w="10093" w:type="dxa"/>
          </w:tcPr>
          <w:p w14:paraId="7F813160" w14:textId="76815267" w:rsidR="00F26864" w:rsidRPr="00F26864" w:rsidRDefault="00F26864" w:rsidP="00F26864">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F26864">
              <w:rPr>
                <w:rFonts w:ascii="Cambria" w:hAnsi="Cambria" w:cstheme="majorHAnsi"/>
                <w:sz w:val="18"/>
                <w:szCs w:val="18"/>
              </w:rPr>
              <w:t>The IGWC is currently finalising an audit into interstate trade in the NSW/Qld Border Rivers.</w:t>
            </w:r>
          </w:p>
        </w:tc>
        <w:tc>
          <w:tcPr>
            <w:tcW w:w="2424" w:type="dxa"/>
            <w:gridSpan w:val="2"/>
          </w:tcPr>
          <w:p w14:paraId="1A5031E1" w14:textId="77777777" w:rsidR="00F26864" w:rsidRPr="00A3226D" w:rsidRDefault="00F26864" w:rsidP="00F26864">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F01885" w:rsidRPr="00A3226D" w14:paraId="5AED4B57"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2C198111" w14:textId="195AAFED" w:rsidR="00F01885" w:rsidRPr="00A3226D" w:rsidRDefault="00F01885" w:rsidP="002210A2">
            <w:pPr>
              <w:rPr>
                <w:rFonts w:ascii="Cambria" w:hAnsi="Cambria" w:cstheme="majorHAnsi"/>
                <w:b w:val="0"/>
                <w:sz w:val="18"/>
                <w:szCs w:val="18"/>
              </w:rPr>
            </w:pPr>
            <w:proofErr w:type="spellStart"/>
            <w:r w:rsidRPr="00A3226D">
              <w:rPr>
                <w:rFonts w:ascii="Cambria" w:hAnsi="Cambria" w:cstheme="majorHAnsi"/>
                <w:b w:val="0"/>
                <w:sz w:val="18"/>
                <w:szCs w:val="18"/>
              </w:rPr>
              <w:t>Cth</w:t>
            </w:r>
            <w:proofErr w:type="spellEnd"/>
            <w:r w:rsidRPr="00A3226D">
              <w:rPr>
                <w:rFonts w:ascii="Cambria" w:hAnsi="Cambria" w:cstheme="majorHAnsi"/>
                <w:b w:val="0"/>
                <w:sz w:val="18"/>
                <w:szCs w:val="18"/>
              </w:rPr>
              <w:t>, NSW, VIC, SA</w:t>
            </w:r>
          </w:p>
        </w:tc>
        <w:tc>
          <w:tcPr>
            <w:tcW w:w="10093" w:type="dxa"/>
          </w:tcPr>
          <w:p w14:paraId="697921E5" w14:textId="471BD729" w:rsidR="00F01885" w:rsidRPr="00A3226D" w:rsidRDefault="00F01885"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Tagging water access entitlements for extraction in another location is one form of trade. MDBA has completed a review of tagging arrangements for interstate tags in the southern connected Basin. This will result in an improved manual for authorities involved in administering tagging, and recommendations to improve the protocol (made under Schedule D of the Murray–Darling Basin agreement) which governs administration of tagging.</w:t>
            </w:r>
          </w:p>
        </w:tc>
        <w:tc>
          <w:tcPr>
            <w:tcW w:w="2410" w:type="dxa"/>
          </w:tcPr>
          <w:p w14:paraId="67163B49" w14:textId="66D05E2A" w:rsidR="00F01885" w:rsidRPr="00A3226D" w:rsidRDefault="00F01885" w:rsidP="0022036A">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F01885" w:rsidRPr="00A3226D" w14:paraId="1831C8F3"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6ACF35DF" w14:textId="421DDFF8" w:rsidR="00F01885" w:rsidRPr="00A3226D" w:rsidRDefault="00F01885" w:rsidP="002210A2">
            <w:pPr>
              <w:rPr>
                <w:rFonts w:ascii="Cambria" w:hAnsi="Cambria" w:cstheme="majorHAnsi"/>
                <w:b w:val="0"/>
                <w:sz w:val="18"/>
                <w:szCs w:val="18"/>
              </w:rPr>
            </w:pPr>
            <w:proofErr w:type="spellStart"/>
            <w:r w:rsidRPr="00A3226D">
              <w:rPr>
                <w:rFonts w:ascii="Cambria" w:hAnsi="Cambria" w:cstheme="majorHAnsi"/>
                <w:b w:val="0"/>
                <w:sz w:val="18"/>
                <w:szCs w:val="18"/>
              </w:rPr>
              <w:t>Cth</w:t>
            </w:r>
            <w:proofErr w:type="spellEnd"/>
            <w:r w:rsidRPr="00A3226D">
              <w:rPr>
                <w:rFonts w:ascii="Cambria" w:hAnsi="Cambria" w:cstheme="majorHAnsi"/>
                <w:b w:val="0"/>
                <w:sz w:val="18"/>
                <w:szCs w:val="18"/>
              </w:rPr>
              <w:t>, NSW, VIC, SA</w:t>
            </w:r>
          </w:p>
        </w:tc>
        <w:tc>
          <w:tcPr>
            <w:tcW w:w="10093" w:type="dxa"/>
          </w:tcPr>
          <w:p w14:paraId="2A52AC4A" w14:textId="6C368811" w:rsidR="00F01885" w:rsidRPr="00A3226D" w:rsidRDefault="00F01885"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MDBA has commenced its review of Schedule D of the Murray-Darling Basin Agreement, which underpins interstate trade in the Southern Connected Basin. Noting the linkages with the development of the water market reform roadmap, this review will be conducted in several phases, with the first phase dealing with Schedule D issues that are less related to the roadmap development</w:t>
            </w:r>
          </w:p>
        </w:tc>
        <w:tc>
          <w:tcPr>
            <w:tcW w:w="2410" w:type="dxa"/>
          </w:tcPr>
          <w:p w14:paraId="40A86B86" w14:textId="77777777" w:rsidR="00F01885" w:rsidRPr="00A3226D" w:rsidRDefault="00F01885" w:rsidP="0022036A">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2210A2" w:rsidRPr="00A3226D" w14:paraId="70608154" w14:textId="77777777" w:rsidTr="00CD56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07" w:type="dxa"/>
            <w:gridSpan w:val="5"/>
            <w:shd w:val="clear" w:color="auto" w:fill="D9E2F3" w:themeFill="accent1" w:themeFillTint="33"/>
          </w:tcPr>
          <w:p w14:paraId="77B831EE" w14:textId="2A7B6077" w:rsidR="002210A2" w:rsidRPr="00A3226D" w:rsidRDefault="002210A2" w:rsidP="000A5C0B">
            <w:pPr>
              <w:pStyle w:val="Heading3"/>
              <w:outlineLvl w:val="2"/>
              <w:rPr>
                <w:rFonts w:ascii="Cambria" w:hAnsi="Cambria"/>
                <w:sz w:val="18"/>
                <w:szCs w:val="18"/>
              </w:rPr>
            </w:pPr>
            <w:bookmarkStart w:id="37" w:name="_Toc90470985"/>
            <w:r w:rsidRPr="00A3226D">
              <w:rPr>
                <w:rFonts w:ascii="Cambria" w:hAnsi="Cambria"/>
                <w:color w:val="auto"/>
                <w:sz w:val="18"/>
                <w:szCs w:val="18"/>
              </w:rPr>
              <w:t>Improving data and systems for water trading</w:t>
            </w:r>
            <w:bookmarkEnd w:id="37"/>
          </w:p>
        </w:tc>
      </w:tr>
      <w:tr w:rsidR="002210A2" w:rsidRPr="00F744C3" w14:paraId="49A9BAF2"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74229D81" w14:textId="184299FA" w:rsidR="002210A2" w:rsidRPr="00A3226D" w:rsidRDefault="002210A2" w:rsidP="002210A2">
            <w:pPr>
              <w:rPr>
                <w:rFonts w:ascii="Cambria" w:hAnsi="Cambria" w:cstheme="majorHAnsi"/>
                <w:b w:val="0"/>
                <w:sz w:val="18"/>
                <w:szCs w:val="18"/>
              </w:rPr>
            </w:pPr>
            <w:r w:rsidRPr="00A3226D">
              <w:rPr>
                <w:rFonts w:ascii="Cambria" w:hAnsi="Cambria" w:cstheme="majorHAnsi"/>
                <w:b w:val="0"/>
                <w:sz w:val="18"/>
                <w:szCs w:val="18"/>
              </w:rPr>
              <w:t>NSW</w:t>
            </w:r>
          </w:p>
        </w:tc>
        <w:tc>
          <w:tcPr>
            <w:tcW w:w="10093" w:type="dxa"/>
          </w:tcPr>
          <w:p w14:paraId="1DC715F8" w14:textId="70BA413E" w:rsidR="002210A2" w:rsidRPr="00A3226D" w:rsidRDefault="002210A2"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roofErr w:type="spellStart"/>
            <w:r w:rsidRPr="00A3226D">
              <w:rPr>
                <w:rFonts w:ascii="Cambria" w:hAnsi="Cambria" w:cstheme="majorHAnsi"/>
                <w:sz w:val="18"/>
                <w:szCs w:val="18"/>
              </w:rPr>
              <w:t>WaterNSW’s</w:t>
            </w:r>
            <w:proofErr w:type="spellEnd"/>
            <w:r w:rsidRPr="00A3226D">
              <w:rPr>
                <w:rFonts w:ascii="Cambria" w:hAnsi="Cambria" w:cstheme="majorHAnsi"/>
                <w:sz w:val="18"/>
                <w:szCs w:val="18"/>
              </w:rPr>
              <w:t xml:space="preserve"> ‘WAVE’ program will improve digital infrastructure for processing trades and managing water accounts in NSW. This upgrade </w:t>
            </w:r>
            <w:r w:rsidR="006D676F">
              <w:rPr>
                <w:rFonts w:ascii="Cambria" w:hAnsi="Cambria" w:cstheme="majorHAnsi"/>
                <w:sz w:val="18"/>
                <w:szCs w:val="18"/>
              </w:rPr>
              <w:t xml:space="preserve">intends to deliver new </w:t>
            </w:r>
            <w:r w:rsidRPr="00A3226D">
              <w:rPr>
                <w:rFonts w:ascii="Cambria" w:hAnsi="Cambria" w:cstheme="majorHAnsi"/>
                <w:sz w:val="18"/>
                <w:szCs w:val="18"/>
              </w:rPr>
              <w:t xml:space="preserve">functionality </w:t>
            </w:r>
            <w:r w:rsidR="006D676F">
              <w:rPr>
                <w:rFonts w:ascii="Cambria" w:hAnsi="Cambria" w:cstheme="majorHAnsi"/>
                <w:sz w:val="18"/>
                <w:szCs w:val="18"/>
              </w:rPr>
              <w:t>including an</w:t>
            </w:r>
            <w:r w:rsidR="00807175" w:rsidRPr="00A3226D">
              <w:rPr>
                <w:rFonts w:ascii="Cambria" w:hAnsi="Cambria" w:cstheme="majorHAnsi"/>
                <w:sz w:val="18"/>
                <w:szCs w:val="18"/>
              </w:rPr>
              <w:t xml:space="preserve"> online Customer Portal where customers can</w:t>
            </w:r>
            <w:r w:rsidRPr="00A3226D">
              <w:rPr>
                <w:rFonts w:ascii="Cambria" w:hAnsi="Cambria" w:cstheme="majorHAnsi"/>
                <w:sz w:val="18"/>
                <w:szCs w:val="18"/>
              </w:rPr>
              <w:t xml:space="preserve"> </w:t>
            </w:r>
            <w:r w:rsidR="00D52C4E" w:rsidRPr="00D52C4E">
              <w:rPr>
                <w:rFonts w:ascii="Cambria" w:hAnsi="Cambria" w:cstheme="majorHAnsi"/>
                <w:sz w:val="18"/>
                <w:szCs w:val="18"/>
              </w:rPr>
              <w:t xml:space="preserve">submit allocation trade applications online, as well as </w:t>
            </w:r>
            <w:r w:rsidR="00E166CA" w:rsidRPr="00A3226D">
              <w:rPr>
                <w:rFonts w:ascii="Cambria" w:hAnsi="Cambria" w:cstheme="majorHAnsi"/>
                <w:sz w:val="18"/>
                <w:szCs w:val="18"/>
              </w:rPr>
              <w:t xml:space="preserve">view their water allocation accounts and access a self-service </w:t>
            </w:r>
            <w:r w:rsidR="00DE0587" w:rsidRPr="00A3226D">
              <w:rPr>
                <w:rFonts w:ascii="Cambria" w:hAnsi="Cambria" w:cstheme="majorHAnsi"/>
                <w:sz w:val="18"/>
                <w:szCs w:val="18"/>
              </w:rPr>
              <w:t>guided application selection and submission process for Licences, Approvals, Water Trading and Orders including detailed water account information.</w:t>
            </w:r>
          </w:p>
          <w:p w14:paraId="6F0142B7" w14:textId="2028005E" w:rsidR="002210A2" w:rsidRPr="00A3226D" w:rsidRDefault="002210A2"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c>
          <w:tcPr>
            <w:tcW w:w="2410" w:type="dxa"/>
          </w:tcPr>
          <w:p w14:paraId="1B98FFD0" w14:textId="77777777" w:rsidR="00B83062" w:rsidRPr="00A3226D" w:rsidRDefault="00FE308A" w:rsidP="00B8306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 xml:space="preserve">R6–Reshape current information portal </w:t>
            </w:r>
            <w:proofErr w:type="gramStart"/>
            <w:r w:rsidRPr="00A3226D">
              <w:rPr>
                <w:rFonts w:ascii="Cambria" w:hAnsi="Cambria" w:cstheme="majorHAnsi"/>
                <w:sz w:val="18"/>
                <w:szCs w:val="18"/>
              </w:rPr>
              <w:t>initiatives</w:t>
            </w:r>
            <w:r w:rsidR="00B83062" w:rsidRPr="00A3226D">
              <w:rPr>
                <w:rFonts w:ascii="Cambria" w:hAnsi="Cambria" w:cstheme="majorHAnsi"/>
                <w:sz w:val="18"/>
                <w:szCs w:val="18"/>
              </w:rPr>
              <w:t>;</w:t>
            </w:r>
            <w:proofErr w:type="gramEnd"/>
            <w:r w:rsidR="00B83062" w:rsidRPr="00A3226D">
              <w:rPr>
                <w:rFonts w:ascii="Cambria" w:hAnsi="Cambria" w:cstheme="majorHAnsi"/>
                <w:sz w:val="18"/>
                <w:szCs w:val="18"/>
              </w:rPr>
              <w:t xml:space="preserve"> </w:t>
            </w:r>
          </w:p>
          <w:p w14:paraId="1E695334" w14:textId="3B9F8A3C" w:rsidR="002210A2" w:rsidRPr="00A3226D" w:rsidRDefault="00B83062" w:rsidP="009C7A11">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R15–Increase the transparency of allocations decisions and the drivers of</w:t>
            </w:r>
            <w:r w:rsidR="009C7A11" w:rsidRPr="00A3226D">
              <w:rPr>
                <w:rFonts w:ascii="Cambria" w:hAnsi="Cambria" w:cstheme="majorHAnsi"/>
                <w:sz w:val="18"/>
                <w:szCs w:val="18"/>
              </w:rPr>
              <w:t xml:space="preserve"> </w:t>
            </w:r>
            <w:r w:rsidRPr="00A3226D">
              <w:rPr>
                <w:rFonts w:ascii="Cambria" w:hAnsi="Cambria" w:cstheme="majorHAnsi"/>
                <w:sz w:val="18"/>
                <w:szCs w:val="18"/>
              </w:rPr>
              <w:t>water availability</w:t>
            </w:r>
          </w:p>
        </w:tc>
      </w:tr>
      <w:tr w:rsidR="00302749" w:rsidRPr="00F744C3" w14:paraId="6D8549F8"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250F6CB6" w14:textId="283C1366" w:rsidR="00302749" w:rsidRPr="009917D2" w:rsidRDefault="00302749" w:rsidP="002210A2">
            <w:pPr>
              <w:rPr>
                <w:rFonts w:ascii="Cambria" w:hAnsi="Cambria" w:cstheme="majorHAnsi"/>
                <w:b w:val="0"/>
                <w:sz w:val="18"/>
                <w:szCs w:val="18"/>
              </w:rPr>
            </w:pPr>
            <w:r w:rsidRPr="00886AF1">
              <w:rPr>
                <w:rFonts w:ascii="Cambria" w:hAnsi="Cambria" w:cstheme="majorHAnsi"/>
                <w:b w:val="0"/>
                <w:sz w:val="18"/>
                <w:szCs w:val="18"/>
              </w:rPr>
              <w:t>NSW</w:t>
            </w:r>
          </w:p>
        </w:tc>
        <w:tc>
          <w:tcPr>
            <w:tcW w:w="10093" w:type="dxa"/>
          </w:tcPr>
          <w:p w14:paraId="5BCA5A15" w14:textId="4B3E435F" w:rsidR="00302749" w:rsidRPr="009917D2" w:rsidRDefault="00302749" w:rsidP="00DE0587">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lang w:eastAsia="en-AU"/>
              </w:rPr>
              <w:t xml:space="preserve">NSW DPIE’s trade dashboard and </w:t>
            </w:r>
            <w:proofErr w:type="spellStart"/>
            <w:r w:rsidRPr="009917D2">
              <w:rPr>
                <w:rFonts w:ascii="Cambria" w:hAnsi="Cambria" w:cstheme="majorHAnsi"/>
                <w:sz w:val="18"/>
                <w:szCs w:val="18"/>
                <w:lang w:eastAsia="en-AU"/>
              </w:rPr>
              <w:t>WaterNSW’s</w:t>
            </w:r>
            <w:proofErr w:type="spellEnd"/>
            <w:r w:rsidRPr="009917D2">
              <w:rPr>
                <w:rFonts w:ascii="Cambria" w:hAnsi="Cambria" w:cstheme="majorHAnsi"/>
                <w:sz w:val="18"/>
                <w:szCs w:val="18"/>
                <w:lang w:eastAsia="en-AU"/>
              </w:rPr>
              <w:t xml:space="preserve"> </w:t>
            </w:r>
            <w:proofErr w:type="spellStart"/>
            <w:r w:rsidRPr="009917D2">
              <w:rPr>
                <w:rFonts w:ascii="Cambria" w:hAnsi="Cambria" w:cstheme="majorHAnsi"/>
                <w:sz w:val="18"/>
                <w:szCs w:val="18"/>
                <w:lang w:eastAsia="en-AU"/>
              </w:rPr>
              <w:t>WaterInsights</w:t>
            </w:r>
            <w:proofErr w:type="spellEnd"/>
            <w:r w:rsidRPr="009917D2">
              <w:rPr>
                <w:rFonts w:ascii="Cambria" w:hAnsi="Cambria" w:cstheme="majorHAnsi"/>
                <w:sz w:val="18"/>
                <w:szCs w:val="18"/>
                <w:lang w:eastAsia="en-AU"/>
              </w:rPr>
              <w:t xml:space="preserve"> Portal publish </w:t>
            </w:r>
            <w:r w:rsidR="00E70DC2" w:rsidRPr="00E70DC2">
              <w:rPr>
                <w:rFonts w:ascii="Cambria" w:hAnsi="Cambria" w:cstheme="majorHAnsi"/>
                <w:sz w:val="18"/>
                <w:szCs w:val="18"/>
                <w:lang w:eastAsia="en-AU"/>
              </w:rPr>
              <w:t xml:space="preserve">detailed water information, including </w:t>
            </w:r>
            <w:r w:rsidRPr="009917D2">
              <w:rPr>
                <w:rFonts w:ascii="Cambria" w:hAnsi="Cambria" w:cstheme="majorHAnsi"/>
                <w:sz w:val="18"/>
                <w:szCs w:val="18"/>
                <w:lang w:eastAsia="en-AU"/>
              </w:rPr>
              <w:t xml:space="preserve">allocation trade data for the NSW Murray Regulated River water source which clearly identifies which water management zone(s) are associated with the trade.  </w:t>
            </w:r>
          </w:p>
        </w:tc>
        <w:tc>
          <w:tcPr>
            <w:tcW w:w="2410" w:type="dxa"/>
            <w:vMerge w:val="restart"/>
          </w:tcPr>
          <w:p w14:paraId="7CEEBAE8" w14:textId="2B4A7FD0" w:rsidR="00302749" w:rsidRPr="00A3226D" w:rsidRDefault="00302749"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R6–Reshape current information portal initiatives</w:t>
            </w:r>
          </w:p>
        </w:tc>
      </w:tr>
      <w:tr w:rsidR="00811B84" w:rsidRPr="00F744C3" w14:paraId="3117E964"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71BDC175" w14:textId="689C90F6" w:rsidR="00811B84" w:rsidRPr="009917D2" w:rsidRDefault="00EE3D30" w:rsidP="00F26864">
            <w:pPr>
              <w:rPr>
                <w:rFonts w:ascii="Cambria" w:hAnsi="Cambria" w:cstheme="majorHAnsi"/>
                <w:sz w:val="18"/>
                <w:szCs w:val="18"/>
              </w:rPr>
            </w:pPr>
            <w:r w:rsidRPr="00886AF1">
              <w:rPr>
                <w:rFonts w:ascii="Cambria" w:hAnsi="Cambria" w:cstheme="majorHAnsi"/>
                <w:b w:val="0"/>
                <w:sz w:val="18"/>
                <w:szCs w:val="18"/>
              </w:rPr>
              <w:t>Victoria</w:t>
            </w:r>
          </w:p>
        </w:tc>
        <w:tc>
          <w:tcPr>
            <w:tcW w:w="10093" w:type="dxa"/>
          </w:tcPr>
          <w:p w14:paraId="17B38DF5" w14:textId="6C80E5EE" w:rsidR="00811B84" w:rsidRPr="009917D2" w:rsidRDefault="00EE3D30" w:rsidP="00F26864">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lang w:eastAsia="en-AU"/>
              </w:rPr>
            </w:pPr>
            <w:r w:rsidRPr="00886AF1">
              <w:rPr>
                <w:rFonts w:ascii="Cambria" w:hAnsi="Cambria" w:cstheme="majorHAnsi"/>
                <w:sz w:val="18"/>
                <w:szCs w:val="18"/>
                <w:lang w:eastAsia="en-AU"/>
              </w:rPr>
              <w:t xml:space="preserve">Victoria has recently updated its presentation of aggregated trade data for the Victorian Murray, and now clearly identifies the trading zone(s) associated with the published </w:t>
            </w:r>
            <w:r w:rsidR="008674BE">
              <w:rPr>
                <w:rFonts w:ascii="Cambria" w:hAnsi="Cambria" w:cstheme="majorHAnsi"/>
                <w:sz w:val="18"/>
                <w:szCs w:val="18"/>
                <w:lang w:eastAsia="en-AU"/>
              </w:rPr>
              <w:t>median</w:t>
            </w:r>
            <w:r w:rsidRPr="00886AF1">
              <w:rPr>
                <w:rFonts w:ascii="Cambria" w:hAnsi="Cambria" w:cstheme="majorHAnsi"/>
                <w:sz w:val="18"/>
                <w:szCs w:val="18"/>
                <w:lang w:eastAsia="en-AU"/>
              </w:rPr>
              <w:t xml:space="preserve"> prices.</w:t>
            </w:r>
          </w:p>
        </w:tc>
        <w:tc>
          <w:tcPr>
            <w:tcW w:w="2410" w:type="dxa"/>
            <w:vMerge/>
          </w:tcPr>
          <w:p w14:paraId="5E59AB92" w14:textId="77777777" w:rsidR="00811B84" w:rsidRPr="00A3226D" w:rsidRDefault="00811B84" w:rsidP="00F26864">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733C51" w:rsidRPr="00F744C3" w14:paraId="5F364C35"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58EBADFA" w14:textId="7680914E" w:rsidR="00733C51" w:rsidRPr="009917D2" w:rsidRDefault="00EE3D30" w:rsidP="00F26864">
            <w:pPr>
              <w:rPr>
                <w:rFonts w:ascii="Cambria" w:hAnsi="Cambria" w:cstheme="majorHAnsi"/>
                <w:sz w:val="18"/>
                <w:szCs w:val="18"/>
              </w:rPr>
            </w:pPr>
            <w:r w:rsidRPr="00886AF1">
              <w:rPr>
                <w:rFonts w:ascii="Cambria" w:hAnsi="Cambria" w:cstheme="majorHAnsi"/>
                <w:b w:val="0"/>
                <w:sz w:val="18"/>
                <w:szCs w:val="18"/>
              </w:rPr>
              <w:t>SA</w:t>
            </w:r>
          </w:p>
        </w:tc>
        <w:tc>
          <w:tcPr>
            <w:tcW w:w="10093" w:type="dxa"/>
          </w:tcPr>
          <w:p w14:paraId="647E2D54" w14:textId="2EAB615D" w:rsidR="00733C51" w:rsidRPr="009917D2" w:rsidRDefault="00EE3D30" w:rsidP="00F26864">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lang w:eastAsia="en-AU"/>
              </w:rPr>
            </w:pPr>
            <w:r w:rsidRPr="00886AF1">
              <w:rPr>
                <w:rFonts w:ascii="Cambria" w:hAnsi="Cambria" w:cstheme="majorHAnsi"/>
                <w:sz w:val="18"/>
                <w:szCs w:val="18"/>
                <w:lang w:eastAsia="en-AU"/>
              </w:rPr>
              <w:t xml:space="preserve">SA is currently implementing its new online water register and trading system, Water Management Solutions (WMS). </w:t>
            </w:r>
            <w:r w:rsidR="00C22995">
              <w:rPr>
                <w:rFonts w:ascii="Cambria" w:hAnsi="Cambria" w:cstheme="majorHAnsi"/>
                <w:sz w:val="18"/>
                <w:szCs w:val="18"/>
                <w:lang w:eastAsia="en-AU"/>
              </w:rPr>
              <w:t xml:space="preserve">Among other features, </w:t>
            </w:r>
            <w:r w:rsidRPr="00886AF1">
              <w:rPr>
                <w:rFonts w:ascii="Cambria" w:hAnsi="Cambria" w:cstheme="majorHAnsi"/>
                <w:sz w:val="18"/>
                <w:szCs w:val="18"/>
                <w:lang w:eastAsia="en-AU"/>
              </w:rPr>
              <w:t xml:space="preserve">WMS includes functionality to enable market participants to submit water allocation and entitlement trade applications, licence alterations, enact payment for services, </w:t>
            </w:r>
            <w:proofErr w:type="gramStart"/>
            <w:r w:rsidRPr="00886AF1">
              <w:rPr>
                <w:rFonts w:ascii="Cambria" w:hAnsi="Cambria" w:cstheme="majorHAnsi"/>
                <w:sz w:val="18"/>
                <w:szCs w:val="18"/>
                <w:lang w:eastAsia="en-AU"/>
              </w:rPr>
              <w:t>and also</w:t>
            </w:r>
            <w:proofErr w:type="gramEnd"/>
            <w:r w:rsidRPr="00886AF1">
              <w:rPr>
                <w:rFonts w:ascii="Cambria" w:hAnsi="Cambria" w:cstheme="majorHAnsi"/>
                <w:sz w:val="18"/>
                <w:szCs w:val="18"/>
                <w:lang w:eastAsia="en-AU"/>
              </w:rPr>
              <w:t xml:space="preserve"> includes a customer portal where customers can view their allocation accounts, approvals and detailed water account information.</w:t>
            </w:r>
          </w:p>
        </w:tc>
        <w:tc>
          <w:tcPr>
            <w:tcW w:w="2410" w:type="dxa"/>
            <w:vMerge/>
          </w:tcPr>
          <w:p w14:paraId="579DE3BA" w14:textId="77777777" w:rsidR="00733C51" w:rsidRPr="00A3226D" w:rsidRDefault="00733C51" w:rsidP="00F26864">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302749" w:rsidRPr="00F744C3" w14:paraId="47F8D02D"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75BEBC38" w14:textId="428DC62E" w:rsidR="00302749" w:rsidRPr="009917D2" w:rsidRDefault="00302749" w:rsidP="002210A2">
            <w:pPr>
              <w:rPr>
                <w:rFonts w:ascii="Cambria" w:hAnsi="Cambria" w:cstheme="majorHAnsi"/>
                <w:b w:val="0"/>
                <w:sz w:val="18"/>
                <w:szCs w:val="18"/>
              </w:rPr>
            </w:pPr>
            <w:r w:rsidRPr="00886AF1">
              <w:rPr>
                <w:rFonts w:ascii="Cambria" w:hAnsi="Cambria" w:cstheme="majorHAnsi"/>
                <w:b w:val="0"/>
                <w:sz w:val="18"/>
                <w:szCs w:val="18"/>
              </w:rPr>
              <w:t>All</w:t>
            </w:r>
          </w:p>
        </w:tc>
        <w:tc>
          <w:tcPr>
            <w:tcW w:w="10093" w:type="dxa"/>
          </w:tcPr>
          <w:p w14:paraId="31479B0B" w14:textId="7FC2FC0E" w:rsidR="00302749" w:rsidRPr="009917D2" w:rsidRDefault="00302749"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lang w:eastAsia="en-AU"/>
              </w:rPr>
              <w:t>Basin states and Commonwealth government information portals now make available easily accessible metadata on how price series are calculated and explain data cleaning processes undertaken prior to derivation of aggregate or average price series</w:t>
            </w:r>
            <w:r w:rsidR="00C47B66">
              <w:rPr>
                <w:rFonts w:ascii="Cambria" w:hAnsi="Cambria" w:cstheme="majorHAnsi"/>
                <w:sz w:val="18"/>
                <w:szCs w:val="18"/>
                <w:lang w:eastAsia="en-AU"/>
              </w:rPr>
              <w:t>.</w:t>
            </w:r>
          </w:p>
        </w:tc>
        <w:tc>
          <w:tcPr>
            <w:tcW w:w="2410" w:type="dxa"/>
            <w:vMerge/>
          </w:tcPr>
          <w:p w14:paraId="2313C1A6" w14:textId="609A890A" w:rsidR="00302749" w:rsidRPr="009917D2" w:rsidRDefault="00302749"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2210A2" w:rsidRPr="00A3226D" w14:paraId="38D0D349" w14:textId="77777777" w:rsidTr="00CD56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07" w:type="dxa"/>
            <w:gridSpan w:val="5"/>
            <w:shd w:val="clear" w:color="auto" w:fill="D9E2F3" w:themeFill="accent1" w:themeFillTint="33"/>
          </w:tcPr>
          <w:p w14:paraId="1D7551D3" w14:textId="043CA1A3" w:rsidR="002210A2" w:rsidRPr="00A3226D" w:rsidRDefault="002210A2" w:rsidP="000A5C0B">
            <w:pPr>
              <w:pStyle w:val="Heading3"/>
              <w:outlineLvl w:val="2"/>
              <w:rPr>
                <w:rFonts w:ascii="Cambria" w:hAnsi="Cambria"/>
                <w:sz w:val="18"/>
                <w:szCs w:val="18"/>
              </w:rPr>
            </w:pPr>
            <w:bookmarkStart w:id="38" w:name="_Toc90470986"/>
            <w:r w:rsidRPr="00A3226D">
              <w:rPr>
                <w:rFonts w:ascii="Cambria" w:hAnsi="Cambria"/>
                <w:color w:val="auto"/>
                <w:sz w:val="18"/>
                <w:szCs w:val="18"/>
              </w:rPr>
              <w:lastRenderedPageBreak/>
              <w:t>Improving the evidence base for water market policy: Research and Development</w:t>
            </w:r>
            <w:bookmarkEnd w:id="38"/>
          </w:p>
        </w:tc>
      </w:tr>
      <w:tr w:rsidR="002210A2" w:rsidRPr="00A3226D" w14:paraId="0348EDE7"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3E4663DF" w14:textId="7C57FE07" w:rsidR="002210A2" w:rsidRPr="00A3226D" w:rsidRDefault="002210A2" w:rsidP="002210A2">
            <w:pPr>
              <w:rPr>
                <w:rFonts w:ascii="Cambria" w:hAnsi="Cambria" w:cstheme="majorHAnsi"/>
                <w:b w:val="0"/>
                <w:sz w:val="18"/>
                <w:szCs w:val="18"/>
              </w:rPr>
            </w:pPr>
            <w:proofErr w:type="spellStart"/>
            <w:r w:rsidRPr="00A3226D">
              <w:rPr>
                <w:rFonts w:ascii="Cambria" w:hAnsi="Cambria" w:cstheme="majorHAnsi"/>
                <w:b w:val="0"/>
                <w:sz w:val="18"/>
                <w:szCs w:val="18"/>
              </w:rPr>
              <w:t>Cth</w:t>
            </w:r>
            <w:proofErr w:type="spellEnd"/>
          </w:p>
        </w:tc>
        <w:tc>
          <w:tcPr>
            <w:tcW w:w="10093" w:type="dxa"/>
          </w:tcPr>
          <w:p w14:paraId="56B95FB5" w14:textId="77777777" w:rsidR="002210A2" w:rsidRPr="00A3226D" w:rsidRDefault="002210A2" w:rsidP="002210A2">
            <w:pPr>
              <w:spacing w:after="120"/>
              <w:jc w:val="both"/>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 xml:space="preserve">The MDBA is currently undertaking a series of hydrological modelling update programs, including: </w:t>
            </w:r>
          </w:p>
          <w:p w14:paraId="209984B0" w14:textId="76708DFD" w:rsidR="002210A2" w:rsidRPr="00A3226D" w:rsidRDefault="002210A2" w:rsidP="002210A2">
            <w:pPr>
              <w:pStyle w:val="Singleindentbodytext"/>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the Integrated River Modelling Uplift program, to boost modelling capacity and confidently advance water management and transparency in the Basin</w:t>
            </w:r>
          </w:p>
          <w:p w14:paraId="3C8416ED" w14:textId="57041014" w:rsidR="002210A2" w:rsidRPr="00A3226D" w:rsidRDefault="002210A2" w:rsidP="002210A2">
            <w:pPr>
              <w:pStyle w:val="Singleindentbodytext"/>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the Sustainable Diversion Limit (SDL) Accounting Improvements Strategy Model Harmonisation project, to ensure harmonisation of Basin sub-models and to ensure best representation of SDL conditions</w:t>
            </w:r>
            <w:r w:rsidRPr="00A3226D" w:rsidDel="00AE4787">
              <w:rPr>
                <w:rFonts w:ascii="Cambria" w:hAnsi="Cambria" w:cstheme="majorHAnsi"/>
                <w:sz w:val="18"/>
                <w:szCs w:val="18"/>
              </w:rPr>
              <w:t xml:space="preserve"> </w:t>
            </w:r>
          </w:p>
          <w:p w14:paraId="2D723F60" w14:textId="402FF5D0" w:rsidR="002210A2" w:rsidRPr="00A3226D" w:rsidRDefault="002210A2" w:rsidP="002210A2">
            <w:pPr>
              <w:pStyle w:val="Singleindentbodytext"/>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Water Resources Core Modelling, to provide t</w:t>
            </w:r>
            <w:r w:rsidRPr="00A3226D">
              <w:rPr>
                <w:rStyle w:val="normaltextrun"/>
                <w:rFonts w:ascii="Cambria" w:hAnsi="Cambria" w:cstheme="majorHAnsi"/>
                <w:sz w:val="18"/>
                <w:szCs w:val="18"/>
              </w:rPr>
              <w:t>echnical and modelling support to partner governments.</w:t>
            </w:r>
          </w:p>
        </w:tc>
        <w:tc>
          <w:tcPr>
            <w:tcW w:w="2410" w:type="dxa"/>
            <w:vMerge w:val="restart"/>
          </w:tcPr>
          <w:p w14:paraId="12F605CB" w14:textId="2696CB82" w:rsidR="002210A2" w:rsidRPr="00A3226D" w:rsidRDefault="002210A2"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R18–Improve modelling of delivery and trade</w:t>
            </w:r>
          </w:p>
        </w:tc>
      </w:tr>
      <w:tr w:rsidR="002210A2" w:rsidRPr="00F744C3" w14:paraId="591FC017"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1FDB7064" w14:textId="17FD4078" w:rsidR="002210A2" w:rsidRPr="009917D2" w:rsidRDefault="002210A2" w:rsidP="002210A2">
            <w:pPr>
              <w:rPr>
                <w:rFonts w:ascii="Cambria" w:hAnsi="Cambria" w:cstheme="majorHAnsi"/>
                <w:b w:val="0"/>
                <w:sz w:val="18"/>
                <w:szCs w:val="18"/>
              </w:rPr>
            </w:pPr>
            <w:r w:rsidRPr="00223AE9">
              <w:rPr>
                <w:rFonts w:ascii="Cambria" w:hAnsi="Cambria" w:cstheme="majorHAnsi"/>
                <w:b w:val="0"/>
                <w:sz w:val="18"/>
                <w:szCs w:val="18"/>
              </w:rPr>
              <w:t>NSW, VIC, SA</w:t>
            </w:r>
          </w:p>
        </w:tc>
        <w:tc>
          <w:tcPr>
            <w:tcW w:w="10093" w:type="dxa"/>
          </w:tcPr>
          <w:p w14:paraId="40736C05" w14:textId="699F0AA4" w:rsidR="002210A2" w:rsidRPr="009917D2"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 xml:space="preserve">NSW, </w:t>
            </w:r>
            <w:proofErr w:type="gramStart"/>
            <w:r w:rsidRPr="009917D2">
              <w:rPr>
                <w:rFonts w:ascii="Cambria" w:hAnsi="Cambria" w:cstheme="majorHAnsi"/>
                <w:sz w:val="18"/>
                <w:szCs w:val="18"/>
              </w:rPr>
              <w:t>Vic</w:t>
            </w:r>
            <w:proofErr w:type="gramEnd"/>
            <w:r w:rsidRPr="009917D2">
              <w:rPr>
                <w:rFonts w:ascii="Cambria" w:hAnsi="Cambria" w:cstheme="majorHAnsi"/>
                <w:sz w:val="18"/>
                <w:szCs w:val="18"/>
              </w:rPr>
              <w:t xml:space="preserve"> and SA governments are in the process of transitioning from legacy models to the </w:t>
            </w:r>
            <w:proofErr w:type="spellStart"/>
            <w:r w:rsidRPr="009917D2">
              <w:rPr>
                <w:rFonts w:ascii="Cambria" w:hAnsi="Cambria" w:cstheme="majorHAnsi"/>
                <w:sz w:val="18"/>
                <w:szCs w:val="18"/>
              </w:rPr>
              <w:t>eWater</w:t>
            </w:r>
            <w:proofErr w:type="spellEnd"/>
            <w:r w:rsidRPr="009917D2">
              <w:rPr>
                <w:rFonts w:ascii="Cambria" w:hAnsi="Cambria" w:cstheme="majorHAnsi"/>
                <w:sz w:val="18"/>
                <w:szCs w:val="18"/>
              </w:rPr>
              <w:t xml:space="preserve"> </w:t>
            </w:r>
            <w:r w:rsidRPr="009917D2">
              <w:rPr>
                <w:rFonts w:ascii="Cambria" w:hAnsi="Cambria" w:cstheme="majorHAnsi"/>
                <w:i/>
                <w:sz w:val="18"/>
                <w:szCs w:val="18"/>
              </w:rPr>
              <w:t>Source</w:t>
            </w:r>
            <w:r w:rsidRPr="009917D2">
              <w:rPr>
                <w:rFonts w:ascii="Cambria" w:hAnsi="Cambria" w:cstheme="majorHAnsi"/>
                <w:sz w:val="18"/>
                <w:szCs w:val="18"/>
              </w:rPr>
              <w:t xml:space="preserve"> modelling platform which allows for the effective linking and interaction between different Basin State and MDBA models.</w:t>
            </w:r>
          </w:p>
        </w:tc>
        <w:tc>
          <w:tcPr>
            <w:tcW w:w="2410" w:type="dxa"/>
            <w:vMerge/>
          </w:tcPr>
          <w:p w14:paraId="2703D56F" w14:textId="4BA25178" w:rsidR="002210A2" w:rsidRPr="009917D2"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2210A2" w:rsidRPr="00F744C3" w14:paraId="53CD58D1"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3219181C" w14:textId="0B69EA6D" w:rsidR="002210A2" w:rsidRPr="009917D2" w:rsidRDefault="002210A2" w:rsidP="002210A2">
            <w:pPr>
              <w:rPr>
                <w:rFonts w:ascii="Cambria" w:hAnsi="Cambria" w:cstheme="majorHAnsi"/>
                <w:b w:val="0"/>
                <w:sz w:val="18"/>
                <w:szCs w:val="18"/>
              </w:rPr>
            </w:pPr>
            <w:r w:rsidRPr="00223AE9">
              <w:rPr>
                <w:rFonts w:ascii="Cambria" w:hAnsi="Cambria" w:cstheme="majorHAnsi"/>
                <w:b w:val="0"/>
                <w:sz w:val="18"/>
                <w:szCs w:val="18"/>
              </w:rPr>
              <w:t>ACT</w:t>
            </w:r>
          </w:p>
        </w:tc>
        <w:tc>
          <w:tcPr>
            <w:tcW w:w="10093" w:type="dxa"/>
          </w:tcPr>
          <w:p w14:paraId="07BEB747" w14:textId="76D10466" w:rsidR="002210A2" w:rsidRPr="009917D2" w:rsidRDefault="002210A2"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ACT has invested in hydrological modelling focusing on urban runoff and water quality in Lake Burley Griffin and Lake Tuggeranong, including work to link urban, hydrology and hydrodynamic models</w:t>
            </w:r>
            <w:r w:rsidR="00B76281" w:rsidRPr="009917D2">
              <w:rPr>
                <w:rFonts w:ascii="Cambria" w:hAnsi="Cambria" w:cstheme="majorHAnsi"/>
                <w:sz w:val="18"/>
                <w:szCs w:val="18"/>
              </w:rPr>
              <w:t>.</w:t>
            </w:r>
          </w:p>
        </w:tc>
        <w:tc>
          <w:tcPr>
            <w:tcW w:w="2410" w:type="dxa"/>
            <w:vMerge/>
          </w:tcPr>
          <w:p w14:paraId="3A89CEBF" w14:textId="2D1C4F19" w:rsidR="002210A2" w:rsidRPr="009917D2" w:rsidRDefault="002210A2"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2210A2" w:rsidRPr="00F744C3" w14:paraId="6A7E0247"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Height w:val="66"/>
        </w:trPr>
        <w:tc>
          <w:tcPr>
            <w:cnfStyle w:val="001000000000" w:firstRow="0" w:lastRow="0" w:firstColumn="1" w:lastColumn="0" w:oddVBand="0" w:evenVBand="0" w:oddHBand="0" w:evenHBand="0" w:firstRowFirstColumn="0" w:firstRowLastColumn="0" w:lastRowFirstColumn="0" w:lastRowLastColumn="0"/>
            <w:tcW w:w="1384" w:type="dxa"/>
          </w:tcPr>
          <w:p w14:paraId="07D52531" w14:textId="36B53DBA" w:rsidR="002210A2" w:rsidRPr="009917D2" w:rsidRDefault="002210A2" w:rsidP="002210A2">
            <w:pPr>
              <w:rPr>
                <w:rFonts w:ascii="Cambria" w:hAnsi="Cambria" w:cstheme="majorHAnsi"/>
                <w:b w:val="0"/>
                <w:sz w:val="18"/>
                <w:szCs w:val="18"/>
              </w:rPr>
            </w:pPr>
            <w:r w:rsidRPr="00223AE9">
              <w:rPr>
                <w:rFonts w:ascii="Cambria" w:hAnsi="Cambria" w:cstheme="majorHAnsi"/>
                <w:b w:val="0"/>
                <w:sz w:val="18"/>
                <w:szCs w:val="18"/>
              </w:rPr>
              <w:t>QLD</w:t>
            </w:r>
          </w:p>
        </w:tc>
        <w:tc>
          <w:tcPr>
            <w:tcW w:w="10093" w:type="dxa"/>
          </w:tcPr>
          <w:p w14:paraId="1700856C" w14:textId="4EB78D8F" w:rsidR="002210A2" w:rsidRPr="009917D2"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In Queensland, the Water Planning Science Plan has identified areas for improvement and collaboration, including future modelling improvements. Routine model updates are also carried out to support annual compliance reporting in Queensland Murray-Darling Basin catchments and state Water Plan reviews. Queensland is also currently working collaboratively with the MDBA and the basin governments to identify the opportunities, collaboration and support of the Integrated Modelling Uplift Program, Water and Environment Research Program and the Model Harmonisation.</w:t>
            </w:r>
          </w:p>
        </w:tc>
        <w:tc>
          <w:tcPr>
            <w:tcW w:w="2410" w:type="dxa"/>
            <w:vMerge/>
          </w:tcPr>
          <w:p w14:paraId="0A0B31B1" w14:textId="32133824" w:rsidR="002210A2" w:rsidRPr="009917D2"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2210A2" w:rsidRPr="00F744C3" w14:paraId="1CA24DE5"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7F2A59B9" w14:textId="3D3D80AF" w:rsidR="002210A2" w:rsidRPr="009917D2" w:rsidRDefault="002210A2" w:rsidP="002210A2">
            <w:pPr>
              <w:rPr>
                <w:rFonts w:ascii="Cambria" w:hAnsi="Cambria" w:cstheme="majorHAnsi"/>
                <w:b w:val="0"/>
                <w:sz w:val="18"/>
                <w:szCs w:val="18"/>
              </w:rPr>
            </w:pPr>
            <w:r w:rsidRPr="00223AE9">
              <w:rPr>
                <w:rFonts w:ascii="Cambria" w:hAnsi="Cambria" w:cstheme="majorHAnsi"/>
                <w:b w:val="0"/>
                <w:sz w:val="18"/>
                <w:szCs w:val="18"/>
              </w:rPr>
              <w:t>VIC</w:t>
            </w:r>
          </w:p>
        </w:tc>
        <w:tc>
          <w:tcPr>
            <w:tcW w:w="10093" w:type="dxa"/>
          </w:tcPr>
          <w:p w14:paraId="16C0F8AF" w14:textId="2373029C" w:rsidR="002210A2" w:rsidRPr="009917D2" w:rsidRDefault="002210A2"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Victoria continues to implement modelling improvements and best practice modelling as part of its ‘business as usual’ modelling program.</w:t>
            </w:r>
          </w:p>
        </w:tc>
        <w:tc>
          <w:tcPr>
            <w:tcW w:w="2410" w:type="dxa"/>
            <w:vMerge/>
          </w:tcPr>
          <w:p w14:paraId="04110966" w14:textId="265D908D" w:rsidR="002210A2" w:rsidRPr="009917D2" w:rsidRDefault="002210A2"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2210A2" w:rsidRPr="00F744C3" w14:paraId="43D4569D"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19931ABE" w14:textId="2D2092FE" w:rsidR="002210A2" w:rsidRPr="009917D2" w:rsidRDefault="002210A2" w:rsidP="002210A2">
            <w:pPr>
              <w:rPr>
                <w:rFonts w:ascii="Cambria" w:hAnsi="Cambria" w:cstheme="majorHAnsi"/>
                <w:b w:val="0"/>
                <w:sz w:val="18"/>
                <w:szCs w:val="18"/>
              </w:rPr>
            </w:pPr>
            <w:r w:rsidRPr="00223AE9">
              <w:rPr>
                <w:rFonts w:ascii="Cambria" w:hAnsi="Cambria" w:cstheme="majorHAnsi"/>
                <w:b w:val="0"/>
                <w:sz w:val="18"/>
                <w:szCs w:val="18"/>
              </w:rPr>
              <w:t>NSW</w:t>
            </w:r>
          </w:p>
        </w:tc>
        <w:tc>
          <w:tcPr>
            <w:tcW w:w="10093" w:type="dxa"/>
          </w:tcPr>
          <w:p w14:paraId="3B75A89D" w14:textId="4940FA0D" w:rsidR="002210A2" w:rsidRPr="009917D2"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NSW is currently developing 12 regional water strategies that brings together a range of tools to plan and manage future water needs, including modelling for future climate projections. Policy or infrastructure options that influence the supply, demand, or allocation of water within a region are evaluated in a linked economic and hydrological model to assess the value of water for key extractive user groups. Economic variables considered in the model include a regional water value function, cost of proposed options, and a ‘break-even’ analysis of the proposed option.</w:t>
            </w:r>
          </w:p>
        </w:tc>
        <w:tc>
          <w:tcPr>
            <w:tcW w:w="2410" w:type="dxa"/>
            <w:vMerge/>
          </w:tcPr>
          <w:p w14:paraId="2BD274B7" w14:textId="6E7F3208" w:rsidR="002210A2" w:rsidRPr="009917D2"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2210A2" w:rsidRPr="00A3226D" w14:paraId="48ED4B5D" w14:textId="77777777" w:rsidTr="00CD566E">
        <w:trPr>
          <w:cantSplit/>
        </w:trPr>
        <w:tc>
          <w:tcPr>
            <w:cnfStyle w:val="001000000000" w:firstRow="0" w:lastRow="0" w:firstColumn="1" w:lastColumn="0" w:oddVBand="0" w:evenVBand="0" w:oddHBand="0" w:evenHBand="0" w:firstRowFirstColumn="0" w:firstRowLastColumn="0" w:lastRowFirstColumn="0" w:lastRowLastColumn="0"/>
            <w:tcW w:w="13907" w:type="dxa"/>
            <w:gridSpan w:val="5"/>
            <w:shd w:val="clear" w:color="auto" w:fill="D9E2F3" w:themeFill="accent1" w:themeFillTint="33"/>
          </w:tcPr>
          <w:p w14:paraId="739226F4" w14:textId="403843DB" w:rsidR="002210A2" w:rsidRPr="00A3226D" w:rsidRDefault="002210A2" w:rsidP="000A5C0B">
            <w:pPr>
              <w:pStyle w:val="Heading3"/>
              <w:outlineLvl w:val="2"/>
              <w:rPr>
                <w:rFonts w:ascii="Cambria" w:hAnsi="Cambria"/>
                <w:sz w:val="18"/>
                <w:szCs w:val="18"/>
              </w:rPr>
            </w:pPr>
            <w:bookmarkStart w:id="39" w:name="_Toc90470987"/>
            <w:r w:rsidRPr="00A3226D">
              <w:rPr>
                <w:rFonts w:ascii="Cambria" w:hAnsi="Cambria"/>
                <w:color w:val="auto"/>
                <w:sz w:val="18"/>
                <w:szCs w:val="18"/>
              </w:rPr>
              <w:t xml:space="preserve">Improving River Operations and interactions between </w:t>
            </w:r>
            <w:proofErr w:type="spellStart"/>
            <w:r w:rsidRPr="00A3226D">
              <w:rPr>
                <w:rFonts w:ascii="Cambria" w:hAnsi="Cambria"/>
                <w:color w:val="auto"/>
                <w:sz w:val="18"/>
                <w:szCs w:val="18"/>
              </w:rPr>
              <w:t>RiverOps</w:t>
            </w:r>
            <w:proofErr w:type="spellEnd"/>
            <w:r w:rsidRPr="00A3226D">
              <w:rPr>
                <w:rFonts w:ascii="Cambria" w:hAnsi="Cambria"/>
                <w:color w:val="auto"/>
                <w:sz w:val="18"/>
                <w:szCs w:val="18"/>
              </w:rPr>
              <w:t xml:space="preserve"> and water markets</w:t>
            </w:r>
            <w:bookmarkEnd w:id="39"/>
          </w:p>
        </w:tc>
      </w:tr>
      <w:tr w:rsidR="002210A2" w:rsidRPr="00F744C3" w14:paraId="7A39394D"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5270F7D7" w14:textId="4162BC2D" w:rsidR="002210A2" w:rsidRPr="00A3226D" w:rsidRDefault="002210A2" w:rsidP="002210A2">
            <w:pPr>
              <w:rPr>
                <w:rFonts w:ascii="Cambria" w:hAnsi="Cambria" w:cstheme="majorHAnsi"/>
                <w:b w:val="0"/>
                <w:sz w:val="18"/>
                <w:szCs w:val="18"/>
              </w:rPr>
            </w:pPr>
            <w:proofErr w:type="spellStart"/>
            <w:r w:rsidRPr="00A3226D">
              <w:rPr>
                <w:rFonts w:ascii="Cambria" w:hAnsi="Cambria" w:cstheme="majorHAnsi"/>
                <w:b w:val="0"/>
                <w:sz w:val="18"/>
                <w:szCs w:val="18"/>
              </w:rPr>
              <w:t>Cth</w:t>
            </w:r>
            <w:proofErr w:type="spellEnd"/>
            <w:r w:rsidRPr="00A3226D">
              <w:rPr>
                <w:rFonts w:ascii="Cambria" w:hAnsi="Cambria" w:cstheme="majorHAnsi"/>
                <w:b w:val="0"/>
                <w:sz w:val="18"/>
                <w:szCs w:val="18"/>
              </w:rPr>
              <w:t>, NSW, VIC, SA</w:t>
            </w:r>
          </w:p>
        </w:tc>
        <w:tc>
          <w:tcPr>
            <w:tcW w:w="10093" w:type="dxa"/>
          </w:tcPr>
          <w:p w14:paraId="79E07870" w14:textId="57A8BE93" w:rsidR="002210A2" w:rsidRPr="00A3226D"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 xml:space="preserve">The MDBA and southern Basin states are progressing work to address delivery risks under the Capacity and Delivery Shortfall Project, which receives advice and peer review from the Independent Panel for Capacity Project Review led by Dr Jane Doolan. The Panel is currently reviewing existing approaches and principles that guide decisions on actions to avoid shortfalls and share impacts where shortfalls cannot be avoided. </w:t>
            </w:r>
          </w:p>
          <w:p w14:paraId="52E0D0C4" w14:textId="12974D45" w:rsidR="002210A2" w:rsidRPr="00A3226D"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 xml:space="preserve">As part of the Capacity and Delivery Shortfall Project, the Independent Panel for Capacity Project Review is currently developing a decision-making framework and principles to help </w:t>
            </w:r>
            <w:r w:rsidR="00A50DA5">
              <w:rPr>
                <w:rFonts w:ascii="Cambria" w:hAnsi="Cambria" w:cstheme="majorHAnsi"/>
                <w:sz w:val="18"/>
                <w:szCs w:val="18"/>
              </w:rPr>
              <w:t>the Basin Officials Committee</w:t>
            </w:r>
            <w:r w:rsidRPr="00A3226D">
              <w:rPr>
                <w:rFonts w:ascii="Cambria" w:hAnsi="Cambria" w:cstheme="majorHAnsi"/>
                <w:sz w:val="18"/>
                <w:szCs w:val="18"/>
              </w:rPr>
              <w:t xml:space="preserve"> more effectively and transparently balance trade-offs between river operations and broader system management. This includes consideration of impacts on water markets. If approved, this decision-making framework could be included in the </w:t>
            </w:r>
            <w:r w:rsidRPr="00A3226D">
              <w:rPr>
                <w:rFonts w:ascii="Cambria" w:hAnsi="Cambria" w:cstheme="majorHAnsi"/>
                <w:i/>
                <w:sz w:val="18"/>
                <w:szCs w:val="18"/>
              </w:rPr>
              <w:t>Objectives and Outcomes for River Operations in the River Murray System</w:t>
            </w:r>
            <w:r w:rsidRPr="00A3226D">
              <w:rPr>
                <w:rFonts w:ascii="Cambria" w:hAnsi="Cambria" w:cstheme="majorHAnsi"/>
                <w:sz w:val="18"/>
                <w:szCs w:val="18"/>
              </w:rPr>
              <w:t xml:space="preserve"> document (‘O&amp;O document’). This is in line with the ACCC’s recommendation that </w:t>
            </w:r>
            <w:proofErr w:type="gramStart"/>
            <w:r w:rsidRPr="00A3226D">
              <w:rPr>
                <w:rFonts w:ascii="Cambria" w:hAnsi="Cambria" w:cstheme="majorHAnsi"/>
                <w:sz w:val="18"/>
                <w:szCs w:val="18"/>
              </w:rPr>
              <w:t>trade</w:t>
            </w:r>
            <w:proofErr w:type="gramEnd"/>
            <w:r w:rsidRPr="00A3226D">
              <w:rPr>
                <w:rFonts w:ascii="Cambria" w:hAnsi="Cambria" w:cstheme="majorHAnsi"/>
                <w:sz w:val="18"/>
                <w:szCs w:val="18"/>
              </w:rPr>
              <w:t xml:space="preserve"> and market design be better integrated into river operations decision making. </w:t>
            </w:r>
          </w:p>
        </w:tc>
        <w:tc>
          <w:tcPr>
            <w:tcW w:w="2410" w:type="dxa"/>
            <w:vMerge w:val="restart"/>
          </w:tcPr>
          <w:p w14:paraId="15B5CAFE" w14:textId="12E99D2A" w:rsidR="002210A2" w:rsidRPr="00A3226D"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R19–Formalise and communicate plans for managing delivery shortfalls</w:t>
            </w:r>
          </w:p>
        </w:tc>
      </w:tr>
      <w:tr w:rsidR="002210A2" w:rsidRPr="00F744C3" w14:paraId="2F6E6C09"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005846AC" w14:textId="236E1DA9" w:rsidR="002210A2" w:rsidRPr="009917D2" w:rsidRDefault="002210A2" w:rsidP="002210A2">
            <w:pPr>
              <w:rPr>
                <w:rFonts w:ascii="Cambria" w:hAnsi="Cambria" w:cstheme="majorHAnsi"/>
                <w:b w:val="0"/>
                <w:sz w:val="18"/>
                <w:szCs w:val="18"/>
              </w:rPr>
            </w:pPr>
            <w:r w:rsidRPr="00223AE9">
              <w:rPr>
                <w:rFonts w:ascii="Cambria" w:hAnsi="Cambria" w:cstheme="majorHAnsi"/>
                <w:b w:val="0"/>
                <w:sz w:val="18"/>
                <w:szCs w:val="18"/>
              </w:rPr>
              <w:lastRenderedPageBreak/>
              <w:t>VIC</w:t>
            </w:r>
          </w:p>
        </w:tc>
        <w:tc>
          <w:tcPr>
            <w:tcW w:w="10093" w:type="dxa"/>
          </w:tcPr>
          <w:p w14:paraId="559BE629" w14:textId="6EAC44D9" w:rsidR="002210A2" w:rsidRPr="009917D2" w:rsidRDefault="002210A2" w:rsidP="00C47B66">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 xml:space="preserve">The Victorian Government has commenced a program of work to strengthen its delivery rights framework to make sure that when shortfalls cannot be avoided, management arrangements are clear and effective. This will support better management of the system which delivers water to water users, including managing physical, </w:t>
            </w:r>
            <w:proofErr w:type="gramStart"/>
            <w:r w:rsidRPr="009917D2">
              <w:rPr>
                <w:rFonts w:ascii="Cambria" w:hAnsi="Cambria" w:cstheme="majorHAnsi"/>
                <w:sz w:val="18"/>
                <w:szCs w:val="18"/>
              </w:rPr>
              <w:t>environmental</w:t>
            </w:r>
            <w:proofErr w:type="gramEnd"/>
            <w:r w:rsidRPr="009917D2">
              <w:rPr>
                <w:rFonts w:ascii="Cambria" w:hAnsi="Cambria" w:cstheme="majorHAnsi"/>
                <w:sz w:val="18"/>
                <w:szCs w:val="18"/>
              </w:rPr>
              <w:t xml:space="preserve"> and operational constraints and empowering water users to manage their own delivery risks through a ‘cap and trade arrangement’. </w:t>
            </w:r>
            <w:r w:rsidR="00C47B66">
              <w:rPr>
                <w:rFonts w:ascii="Cambria" w:hAnsi="Cambria" w:cstheme="majorHAnsi"/>
                <w:sz w:val="18"/>
                <w:szCs w:val="18"/>
              </w:rPr>
              <w:t>T</w:t>
            </w:r>
            <w:r w:rsidRPr="009917D2">
              <w:rPr>
                <w:rFonts w:ascii="Cambria" w:hAnsi="Cambria" w:cstheme="majorHAnsi"/>
                <w:sz w:val="18"/>
                <w:szCs w:val="18"/>
              </w:rPr>
              <w:t>hese changes should be implemented from 1 July 2023.</w:t>
            </w:r>
            <w:r w:rsidR="0041757A" w:rsidRPr="009917D2">
              <w:rPr>
                <w:rFonts w:ascii="Cambria" w:hAnsi="Cambria" w:cstheme="majorHAnsi"/>
                <w:sz w:val="18"/>
                <w:szCs w:val="18"/>
              </w:rPr>
              <w:t xml:space="preserve"> </w:t>
            </w:r>
            <w:r w:rsidR="00B03BAF" w:rsidRPr="009917D2">
              <w:rPr>
                <w:rFonts w:ascii="Cambria" w:hAnsi="Cambria" w:cstheme="majorHAnsi"/>
                <w:sz w:val="18"/>
                <w:szCs w:val="18"/>
              </w:rPr>
              <w:t xml:space="preserve">Victoria has also produced factsheets on delivery </w:t>
            </w:r>
            <w:r w:rsidR="003877E1" w:rsidRPr="003877E1">
              <w:rPr>
                <w:rFonts w:ascii="Cambria" w:hAnsi="Cambria" w:cstheme="majorHAnsi"/>
                <w:sz w:val="18"/>
                <w:szCs w:val="18"/>
              </w:rPr>
              <w:t>and shortfall</w:t>
            </w:r>
            <w:r w:rsidR="003877E1">
              <w:rPr>
                <w:rFonts w:asciiTheme="majorHAnsi" w:hAnsiTheme="majorHAnsi" w:cstheme="majorHAnsi"/>
              </w:rPr>
              <w:t xml:space="preserve"> </w:t>
            </w:r>
            <w:r w:rsidR="00B03BAF" w:rsidRPr="009917D2">
              <w:rPr>
                <w:rFonts w:ascii="Cambria" w:hAnsi="Cambria" w:cstheme="majorHAnsi"/>
                <w:sz w:val="18"/>
                <w:szCs w:val="18"/>
              </w:rPr>
              <w:t>risks including what users can do to prepare for these risks.</w:t>
            </w:r>
          </w:p>
        </w:tc>
        <w:tc>
          <w:tcPr>
            <w:tcW w:w="2410" w:type="dxa"/>
            <w:vMerge/>
          </w:tcPr>
          <w:p w14:paraId="58D99D25" w14:textId="77777777" w:rsidR="002210A2" w:rsidRPr="00C66F0F" w:rsidRDefault="002210A2"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2210A2" w:rsidRPr="00F744C3" w14:paraId="6D27FF1F"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437FF002" w14:textId="0092DB09" w:rsidR="002210A2" w:rsidRPr="009917D2" w:rsidRDefault="002210A2" w:rsidP="002210A2">
            <w:pPr>
              <w:rPr>
                <w:rFonts w:ascii="Cambria" w:hAnsi="Cambria" w:cstheme="majorHAnsi"/>
                <w:b w:val="0"/>
                <w:sz w:val="18"/>
                <w:szCs w:val="18"/>
              </w:rPr>
            </w:pPr>
            <w:r w:rsidRPr="00223AE9">
              <w:rPr>
                <w:rFonts w:ascii="Cambria" w:hAnsi="Cambria" w:cstheme="majorHAnsi"/>
                <w:b w:val="0"/>
                <w:sz w:val="18"/>
                <w:szCs w:val="18"/>
              </w:rPr>
              <w:t>VIC</w:t>
            </w:r>
          </w:p>
        </w:tc>
        <w:tc>
          <w:tcPr>
            <w:tcW w:w="10093" w:type="dxa"/>
          </w:tcPr>
          <w:p w14:paraId="1E275020" w14:textId="105E0A0C" w:rsidR="002210A2" w:rsidRPr="009917D2"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 xml:space="preserve">Victoria recently published </w:t>
            </w:r>
            <w:r w:rsidR="00E17310" w:rsidRPr="009917D2">
              <w:rPr>
                <w:rFonts w:ascii="Cambria" w:hAnsi="Cambria" w:cstheme="majorHAnsi"/>
                <w:sz w:val="18"/>
                <w:szCs w:val="18"/>
              </w:rPr>
              <w:t>its</w:t>
            </w:r>
            <w:r w:rsidR="00603ED3" w:rsidRPr="009917D2">
              <w:rPr>
                <w:rFonts w:ascii="Cambria" w:hAnsi="Cambria" w:cstheme="majorHAnsi"/>
                <w:sz w:val="18"/>
                <w:szCs w:val="18"/>
              </w:rPr>
              <w:t xml:space="preserve"> operating plan</w:t>
            </w:r>
            <w:r w:rsidRPr="009917D2">
              <w:rPr>
                <w:rFonts w:ascii="Cambria" w:hAnsi="Cambria" w:cstheme="majorHAnsi"/>
                <w:sz w:val="18"/>
                <w:szCs w:val="18"/>
              </w:rPr>
              <w:t xml:space="preserve"> for the delivery of water from the Goulburn IVT for 2021–22. The plan outlines how delivery can occur within ecological thresholds, without restricting trade and without impacting delivery risks in the lower Murray. The plan sets a ‘default delivery pattern’ and details how delivery could be varied depending on seasonal conditions or spill risks</w:t>
            </w:r>
            <w:r w:rsidR="00223AE9" w:rsidRPr="00223AE9">
              <w:rPr>
                <w:rFonts w:ascii="Cambria" w:hAnsi="Cambria" w:cstheme="majorHAnsi"/>
                <w:sz w:val="18"/>
                <w:szCs w:val="18"/>
              </w:rPr>
              <w:t>, which gives water market participants more information and visibility over river operations decisions that affect trade opportunity</w:t>
            </w:r>
            <w:r w:rsidRPr="009917D2">
              <w:rPr>
                <w:rFonts w:ascii="Cambria" w:hAnsi="Cambria" w:cstheme="majorHAnsi"/>
                <w:sz w:val="18"/>
                <w:szCs w:val="18"/>
              </w:rPr>
              <w:t>.</w:t>
            </w:r>
          </w:p>
        </w:tc>
        <w:tc>
          <w:tcPr>
            <w:tcW w:w="2410" w:type="dxa"/>
            <w:vMerge/>
          </w:tcPr>
          <w:p w14:paraId="65399578" w14:textId="77777777" w:rsidR="002210A2" w:rsidRPr="00C66F0F"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2210A2" w:rsidRPr="00F744C3" w14:paraId="499BA281"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7B9D8F3E" w14:textId="195C0BD0" w:rsidR="002210A2" w:rsidRPr="009917D2" w:rsidRDefault="002210A2" w:rsidP="002210A2">
            <w:pPr>
              <w:rPr>
                <w:rFonts w:ascii="Cambria" w:hAnsi="Cambria" w:cstheme="majorHAnsi"/>
                <w:b w:val="0"/>
                <w:sz w:val="18"/>
                <w:szCs w:val="18"/>
              </w:rPr>
            </w:pPr>
            <w:proofErr w:type="spellStart"/>
            <w:r w:rsidRPr="00223AE9">
              <w:rPr>
                <w:rFonts w:ascii="Cambria" w:hAnsi="Cambria" w:cstheme="majorHAnsi"/>
                <w:b w:val="0"/>
                <w:sz w:val="18"/>
                <w:szCs w:val="18"/>
              </w:rPr>
              <w:t>Cth</w:t>
            </w:r>
            <w:proofErr w:type="spellEnd"/>
            <w:r w:rsidRPr="00223AE9">
              <w:rPr>
                <w:rFonts w:ascii="Cambria" w:hAnsi="Cambria" w:cstheme="majorHAnsi"/>
                <w:b w:val="0"/>
                <w:sz w:val="18"/>
                <w:szCs w:val="18"/>
              </w:rPr>
              <w:t>, VIC, NSW</w:t>
            </w:r>
            <w:r w:rsidR="008946DD" w:rsidRPr="00223AE9">
              <w:rPr>
                <w:rFonts w:ascii="Cambria" w:hAnsi="Cambria" w:cstheme="majorHAnsi"/>
                <w:b w:val="0"/>
                <w:sz w:val="18"/>
                <w:szCs w:val="18"/>
              </w:rPr>
              <w:t>, SA</w:t>
            </w:r>
          </w:p>
        </w:tc>
        <w:tc>
          <w:tcPr>
            <w:tcW w:w="10093" w:type="dxa"/>
          </w:tcPr>
          <w:p w14:paraId="668D2E10" w14:textId="74900728" w:rsidR="002210A2" w:rsidRPr="009917D2" w:rsidRDefault="002210A2"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 xml:space="preserve">MDBA is developing its </w:t>
            </w:r>
            <w:r w:rsidR="00670C31" w:rsidRPr="009917D2">
              <w:rPr>
                <w:rFonts w:ascii="Cambria" w:hAnsi="Cambria" w:cstheme="majorHAnsi"/>
                <w:sz w:val="18"/>
                <w:szCs w:val="18"/>
              </w:rPr>
              <w:t xml:space="preserve">updated </w:t>
            </w:r>
            <w:r w:rsidRPr="009917D2">
              <w:rPr>
                <w:rFonts w:ascii="Cambria" w:hAnsi="Cambria" w:cstheme="majorHAnsi"/>
                <w:sz w:val="18"/>
                <w:szCs w:val="18"/>
              </w:rPr>
              <w:t>shortfall response plan</w:t>
            </w:r>
            <w:r w:rsidR="00670C31" w:rsidRPr="009917D2">
              <w:rPr>
                <w:rFonts w:ascii="Cambria" w:hAnsi="Cambria" w:cstheme="majorHAnsi"/>
                <w:sz w:val="18"/>
                <w:szCs w:val="18"/>
              </w:rPr>
              <w:t>, building on the one published in 2020</w:t>
            </w:r>
            <w:r w:rsidRPr="009917D2">
              <w:rPr>
                <w:rFonts w:ascii="Cambria" w:hAnsi="Cambria" w:cstheme="majorHAnsi"/>
                <w:sz w:val="18"/>
                <w:szCs w:val="18"/>
              </w:rPr>
              <w:t>. Victorian agencies are updating their Shortfall Rationing Plans to align with the MDBA Shortfall Response Plan that was finalised this year and has factsheets available on delivery risks. NSW is also developing a Murray Shortfall Response Plan</w:t>
            </w:r>
            <w:r w:rsidR="00C47B66">
              <w:rPr>
                <w:rFonts w:ascii="Cambria" w:hAnsi="Cambria" w:cstheme="majorHAnsi"/>
                <w:sz w:val="18"/>
                <w:szCs w:val="18"/>
              </w:rPr>
              <w:t>.</w:t>
            </w:r>
            <w:r w:rsidR="00220E02" w:rsidRPr="009917D2">
              <w:rPr>
                <w:rFonts w:ascii="Cambria" w:hAnsi="Cambria" w:cstheme="majorHAnsi"/>
                <w:sz w:val="18"/>
                <w:szCs w:val="18"/>
              </w:rPr>
              <w:t xml:space="preserve"> </w:t>
            </w:r>
            <w:r w:rsidR="00C47B66">
              <w:rPr>
                <w:rFonts w:ascii="Cambria" w:hAnsi="Cambria" w:cstheme="majorHAnsi"/>
                <w:sz w:val="18"/>
                <w:szCs w:val="18"/>
              </w:rPr>
              <w:t>C</w:t>
            </w:r>
            <w:r w:rsidR="00220E02" w:rsidRPr="009917D2">
              <w:rPr>
                <w:rFonts w:ascii="Cambria" w:hAnsi="Cambria" w:cstheme="majorHAnsi"/>
                <w:sz w:val="18"/>
                <w:szCs w:val="18"/>
              </w:rPr>
              <w:t>onsultation on this is planned in early 2022</w:t>
            </w:r>
            <w:r w:rsidRPr="009917D2">
              <w:rPr>
                <w:rFonts w:ascii="Cambria" w:hAnsi="Cambria" w:cstheme="majorHAnsi"/>
                <w:sz w:val="18"/>
                <w:szCs w:val="18"/>
              </w:rPr>
              <w:t>.</w:t>
            </w:r>
            <w:r w:rsidR="002C364B" w:rsidRPr="009917D2">
              <w:rPr>
                <w:rFonts w:ascii="Cambria" w:hAnsi="Cambria" w:cstheme="majorHAnsi"/>
                <w:sz w:val="18"/>
                <w:szCs w:val="18"/>
              </w:rPr>
              <w:t xml:space="preserve"> SA recently consulted on shortfall management options, with a shortfall response plan to be formalised and published within 1-2 years.</w:t>
            </w:r>
          </w:p>
        </w:tc>
        <w:tc>
          <w:tcPr>
            <w:tcW w:w="2410" w:type="dxa"/>
            <w:vMerge/>
          </w:tcPr>
          <w:p w14:paraId="512D156C" w14:textId="77777777" w:rsidR="002210A2" w:rsidRPr="00C66F0F" w:rsidRDefault="002210A2" w:rsidP="002210A2">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2210A2" w:rsidRPr="00F744C3" w14:paraId="6481C4BB"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5042D4F1" w14:textId="3AFC675D" w:rsidR="002210A2" w:rsidRPr="009917D2" w:rsidRDefault="002210A2" w:rsidP="002210A2">
            <w:pPr>
              <w:rPr>
                <w:rFonts w:ascii="Cambria" w:hAnsi="Cambria" w:cstheme="majorHAnsi"/>
                <w:b w:val="0"/>
                <w:sz w:val="18"/>
                <w:szCs w:val="18"/>
              </w:rPr>
            </w:pPr>
            <w:proofErr w:type="spellStart"/>
            <w:r w:rsidRPr="00223AE9">
              <w:rPr>
                <w:rFonts w:ascii="Cambria" w:hAnsi="Cambria" w:cstheme="majorHAnsi"/>
                <w:b w:val="0"/>
                <w:sz w:val="18"/>
                <w:szCs w:val="18"/>
              </w:rPr>
              <w:t>Cth</w:t>
            </w:r>
            <w:proofErr w:type="spellEnd"/>
          </w:p>
        </w:tc>
        <w:tc>
          <w:tcPr>
            <w:tcW w:w="10093" w:type="dxa"/>
          </w:tcPr>
          <w:p w14:paraId="2EEFF70C" w14:textId="34032087" w:rsidR="002210A2" w:rsidRPr="009917D2"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 xml:space="preserve">The MDBA published the report </w:t>
            </w:r>
            <w:r w:rsidRPr="009917D2">
              <w:rPr>
                <w:rFonts w:ascii="Cambria" w:hAnsi="Cambria" w:cstheme="majorHAnsi"/>
                <w:i/>
                <w:sz w:val="18"/>
                <w:szCs w:val="18"/>
              </w:rPr>
              <w:t>Losses in the River Murray System 2018–19</w:t>
            </w:r>
            <w:r w:rsidRPr="009917D2">
              <w:rPr>
                <w:rFonts w:ascii="Cambria" w:hAnsi="Cambria" w:cstheme="majorHAnsi"/>
                <w:sz w:val="18"/>
                <w:szCs w:val="18"/>
              </w:rPr>
              <w:t xml:space="preserve"> in March 2019. The report provided information about the drivers behind the conveyance losses in the River Murray System, how they vary between years and how they were tracking for the 2018-19 water year. The MDBA published an update for 2018-19 and 2019-20 in March 2021 and has committed to publishing losses data annually.</w:t>
            </w:r>
          </w:p>
        </w:tc>
        <w:tc>
          <w:tcPr>
            <w:tcW w:w="2410" w:type="dxa"/>
          </w:tcPr>
          <w:p w14:paraId="46E54480" w14:textId="314835FC" w:rsidR="002210A2" w:rsidRPr="00A3226D" w:rsidRDefault="002210A2" w:rsidP="002210A2">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R21–Improve transparency of conveyance losses and other delivery impacts</w:t>
            </w:r>
          </w:p>
        </w:tc>
      </w:tr>
      <w:tr w:rsidR="002210A2" w:rsidRPr="00A3226D" w14:paraId="5E6BE2AF" w14:textId="77777777" w:rsidTr="00CD566E">
        <w:trPr>
          <w:cantSplit/>
        </w:trPr>
        <w:tc>
          <w:tcPr>
            <w:cnfStyle w:val="001000000000" w:firstRow="0" w:lastRow="0" w:firstColumn="1" w:lastColumn="0" w:oddVBand="0" w:evenVBand="0" w:oddHBand="0" w:evenHBand="0" w:firstRowFirstColumn="0" w:firstRowLastColumn="0" w:lastRowFirstColumn="0" w:lastRowLastColumn="0"/>
            <w:tcW w:w="13907" w:type="dxa"/>
            <w:gridSpan w:val="5"/>
            <w:shd w:val="clear" w:color="auto" w:fill="D9E2F3" w:themeFill="accent1" w:themeFillTint="33"/>
          </w:tcPr>
          <w:p w14:paraId="3A3355B5" w14:textId="25213C96" w:rsidR="002210A2" w:rsidRPr="00A3226D" w:rsidRDefault="003318B5" w:rsidP="000A5C0B">
            <w:pPr>
              <w:pStyle w:val="Heading3"/>
              <w:outlineLvl w:val="2"/>
              <w:rPr>
                <w:rFonts w:ascii="Cambria" w:hAnsi="Cambria"/>
                <w:sz w:val="18"/>
                <w:szCs w:val="18"/>
              </w:rPr>
            </w:pPr>
            <w:bookmarkStart w:id="40" w:name="_Toc90470988"/>
            <w:r w:rsidRPr="00A3226D">
              <w:rPr>
                <w:rFonts w:ascii="Cambria" w:hAnsi="Cambria"/>
                <w:color w:val="auto"/>
                <w:sz w:val="18"/>
                <w:szCs w:val="18"/>
              </w:rPr>
              <w:t>Improving transparency and e</w:t>
            </w:r>
            <w:r w:rsidR="002210A2" w:rsidRPr="00A3226D">
              <w:rPr>
                <w:rFonts w:ascii="Cambria" w:hAnsi="Cambria"/>
                <w:color w:val="auto"/>
                <w:sz w:val="18"/>
                <w:szCs w:val="18"/>
              </w:rPr>
              <w:t>nabling effective participation in water markets</w:t>
            </w:r>
            <w:bookmarkEnd w:id="40"/>
          </w:p>
        </w:tc>
      </w:tr>
      <w:tr w:rsidR="00302749" w:rsidRPr="00F744C3" w14:paraId="4632A884"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6BE43CEC" w14:textId="35506360" w:rsidR="00302749" w:rsidRPr="00A3226D" w:rsidRDefault="00302749" w:rsidP="002210A2">
            <w:pPr>
              <w:rPr>
                <w:rFonts w:ascii="Cambria" w:hAnsi="Cambria" w:cstheme="majorHAnsi"/>
                <w:b w:val="0"/>
                <w:sz w:val="18"/>
                <w:szCs w:val="18"/>
              </w:rPr>
            </w:pPr>
            <w:proofErr w:type="spellStart"/>
            <w:r w:rsidRPr="00A3226D">
              <w:rPr>
                <w:rFonts w:ascii="Cambria" w:hAnsi="Cambria" w:cstheme="majorHAnsi"/>
                <w:b w:val="0"/>
                <w:sz w:val="18"/>
                <w:szCs w:val="18"/>
              </w:rPr>
              <w:t>Cth</w:t>
            </w:r>
            <w:proofErr w:type="spellEnd"/>
            <w:r w:rsidRPr="00A3226D">
              <w:rPr>
                <w:rFonts w:ascii="Cambria" w:hAnsi="Cambria" w:cstheme="majorHAnsi"/>
                <w:b w:val="0"/>
                <w:sz w:val="18"/>
                <w:szCs w:val="18"/>
              </w:rPr>
              <w:t>, QLD, NSW, VIC, SA</w:t>
            </w:r>
          </w:p>
        </w:tc>
        <w:tc>
          <w:tcPr>
            <w:tcW w:w="10093" w:type="dxa"/>
          </w:tcPr>
          <w:p w14:paraId="2E021269" w14:textId="770397CF" w:rsidR="00302749" w:rsidRPr="00A3226D" w:rsidRDefault="00302749" w:rsidP="00C47B66">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Basin states (</w:t>
            </w:r>
            <w:proofErr w:type="gramStart"/>
            <w:r w:rsidRPr="00A3226D">
              <w:rPr>
                <w:rFonts w:ascii="Cambria" w:hAnsi="Cambria" w:cstheme="majorHAnsi"/>
                <w:sz w:val="18"/>
                <w:szCs w:val="18"/>
              </w:rPr>
              <w:t>with the exception of</w:t>
            </w:r>
            <w:proofErr w:type="gramEnd"/>
            <w:r w:rsidRPr="00A3226D">
              <w:rPr>
                <w:rFonts w:ascii="Cambria" w:hAnsi="Cambria" w:cstheme="majorHAnsi"/>
                <w:sz w:val="18"/>
                <w:szCs w:val="18"/>
              </w:rPr>
              <w:t xml:space="preserve"> the ACT) currently publish educational material on water markets on their individual websites. The MDBA produces webinars</w:t>
            </w:r>
            <w:r w:rsidR="001F324D" w:rsidRPr="001F324D">
              <w:rPr>
                <w:rFonts w:ascii="Cambria" w:hAnsi="Cambria" w:cstheme="majorHAnsi"/>
                <w:sz w:val="18"/>
                <w:szCs w:val="18"/>
              </w:rPr>
              <w:t>, with Basin state representatives where relevant,</w:t>
            </w:r>
            <w:r w:rsidRPr="00A3226D">
              <w:rPr>
                <w:rFonts w:ascii="Cambria" w:hAnsi="Cambria" w:cstheme="majorHAnsi"/>
                <w:sz w:val="18"/>
                <w:szCs w:val="18"/>
              </w:rPr>
              <w:t xml:space="preserve"> focused on different aspects of water management and river operations across the Basin.  </w:t>
            </w:r>
          </w:p>
        </w:tc>
        <w:tc>
          <w:tcPr>
            <w:tcW w:w="2410" w:type="dxa"/>
            <w:vMerge w:val="restart"/>
          </w:tcPr>
          <w:p w14:paraId="2089168B" w14:textId="598F8A60" w:rsidR="00302749" w:rsidRPr="00A3226D" w:rsidRDefault="00302749" w:rsidP="0030274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R13–Implement a Basin-wide Water Market Education Program</w:t>
            </w:r>
          </w:p>
        </w:tc>
      </w:tr>
      <w:tr w:rsidR="00302749" w:rsidRPr="00F744C3" w14:paraId="07F1C8B5"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51E2A694" w14:textId="71780C31" w:rsidR="00302749" w:rsidRPr="009917D2" w:rsidRDefault="00302749" w:rsidP="00302749">
            <w:pPr>
              <w:rPr>
                <w:rFonts w:ascii="Cambria" w:hAnsi="Cambria" w:cstheme="majorHAnsi"/>
                <w:b w:val="0"/>
                <w:sz w:val="18"/>
                <w:szCs w:val="18"/>
              </w:rPr>
            </w:pPr>
            <w:proofErr w:type="spellStart"/>
            <w:r w:rsidRPr="00223AE9">
              <w:rPr>
                <w:rFonts w:ascii="Cambria" w:hAnsi="Cambria" w:cstheme="majorHAnsi"/>
                <w:b w:val="0"/>
                <w:sz w:val="18"/>
                <w:szCs w:val="18"/>
              </w:rPr>
              <w:t>Cth</w:t>
            </w:r>
            <w:proofErr w:type="spellEnd"/>
          </w:p>
        </w:tc>
        <w:tc>
          <w:tcPr>
            <w:tcW w:w="10093" w:type="dxa"/>
          </w:tcPr>
          <w:p w14:paraId="7F1D6603" w14:textId="25789F7A" w:rsidR="00302749" w:rsidRPr="009917D2" w:rsidRDefault="00302749" w:rsidP="00302749">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9917D2">
              <w:rPr>
                <w:rFonts w:ascii="Cambria" w:eastAsia="Calibri" w:hAnsi="Cambria" w:cstheme="majorHAnsi"/>
                <w:sz w:val="18"/>
                <w:szCs w:val="18"/>
              </w:rPr>
              <w:t xml:space="preserve">DAWE is beginning a process to create a culturally appropriate document/brochure, including associated Indigenous art/graphics, to translate water market information for Indigenous communities, </w:t>
            </w:r>
            <w:proofErr w:type="gramStart"/>
            <w:r w:rsidRPr="009917D2">
              <w:rPr>
                <w:rFonts w:ascii="Cambria" w:eastAsia="Calibri" w:hAnsi="Cambria" w:cstheme="majorHAnsi"/>
                <w:sz w:val="18"/>
                <w:szCs w:val="18"/>
              </w:rPr>
              <w:t>organisations</w:t>
            </w:r>
            <w:proofErr w:type="gramEnd"/>
            <w:r w:rsidRPr="009917D2">
              <w:rPr>
                <w:rFonts w:ascii="Cambria" w:eastAsia="Calibri" w:hAnsi="Cambria" w:cstheme="majorHAnsi"/>
                <w:sz w:val="18"/>
                <w:szCs w:val="18"/>
              </w:rPr>
              <w:t xml:space="preserve"> and businesses. It is envisioned as the first phase of a multi-phased project.</w:t>
            </w:r>
          </w:p>
        </w:tc>
        <w:tc>
          <w:tcPr>
            <w:tcW w:w="2410" w:type="dxa"/>
            <w:vMerge/>
          </w:tcPr>
          <w:p w14:paraId="25DF70A9" w14:textId="1766E6BF" w:rsidR="00302749" w:rsidRPr="00C66F0F" w:rsidRDefault="00302749" w:rsidP="00302749">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302749" w:rsidRPr="00F744C3" w14:paraId="46BEB317"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20779783" w14:textId="13F8E21E" w:rsidR="00302749" w:rsidRPr="009917D2" w:rsidRDefault="00302749" w:rsidP="00302749">
            <w:pPr>
              <w:rPr>
                <w:rFonts w:ascii="Cambria" w:hAnsi="Cambria" w:cstheme="majorHAnsi"/>
                <w:b w:val="0"/>
                <w:sz w:val="18"/>
                <w:szCs w:val="18"/>
              </w:rPr>
            </w:pPr>
            <w:proofErr w:type="spellStart"/>
            <w:r w:rsidRPr="00223AE9">
              <w:rPr>
                <w:rFonts w:ascii="Cambria" w:hAnsi="Cambria" w:cstheme="majorHAnsi"/>
                <w:b w:val="0"/>
                <w:sz w:val="18"/>
                <w:szCs w:val="18"/>
              </w:rPr>
              <w:t>Cth</w:t>
            </w:r>
            <w:proofErr w:type="spellEnd"/>
          </w:p>
        </w:tc>
        <w:tc>
          <w:tcPr>
            <w:tcW w:w="10093" w:type="dxa"/>
          </w:tcPr>
          <w:p w14:paraId="26FC41FA" w14:textId="50752363" w:rsidR="00302749" w:rsidRPr="009917D2" w:rsidRDefault="00302749" w:rsidP="0030274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The Australian Government has committed $35 million to support an improved hydrometric network in the northern Basin and developing remote sensing and satellite technologies. This includes building a public water information website run by the Bureau of Meteorology. The first version of the website went live on 30 June 2021, and further upgrades are planned for future phases. The website contains a wide range of information about water resources, as well as data on completed trades sourced from Basin state registries and some irrigation infrastructure operators.</w:t>
            </w:r>
          </w:p>
        </w:tc>
        <w:tc>
          <w:tcPr>
            <w:tcW w:w="2410" w:type="dxa"/>
          </w:tcPr>
          <w:p w14:paraId="622195C3" w14:textId="77777777" w:rsidR="00302749" w:rsidRPr="00A3226D" w:rsidRDefault="00302749" w:rsidP="0030274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 xml:space="preserve">R6–Reshape current information portal </w:t>
            </w:r>
            <w:proofErr w:type="gramStart"/>
            <w:r w:rsidRPr="00A3226D">
              <w:rPr>
                <w:rFonts w:ascii="Cambria" w:hAnsi="Cambria" w:cstheme="majorHAnsi"/>
                <w:sz w:val="18"/>
                <w:szCs w:val="18"/>
              </w:rPr>
              <w:t>initiatives;</w:t>
            </w:r>
            <w:proofErr w:type="gramEnd"/>
            <w:r w:rsidRPr="00A3226D">
              <w:rPr>
                <w:rFonts w:ascii="Cambria" w:hAnsi="Cambria" w:cstheme="majorHAnsi"/>
                <w:sz w:val="18"/>
                <w:szCs w:val="18"/>
              </w:rPr>
              <w:t xml:space="preserve"> </w:t>
            </w:r>
          </w:p>
          <w:p w14:paraId="05EA33A4" w14:textId="77777777" w:rsidR="00302749" w:rsidRPr="00A3226D" w:rsidRDefault="00302749" w:rsidP="0030274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 xml:space="preserve">R12–Implement a public-facing Water Market Information Platform which harnesses improved data collection and </w:t>
            </w:r>
            <w:proofErr w:type="gramStart"/>
            <w:r w:rsidRPr="00A3226D">
              <w:rPr>
                <w:rFonts w:ascii="Cambria" w:hAnsi="Cambria" w:cstheme="majorHAnsi"/>
                <w:sz w:val="18"/>
                <w:szCs w:val="18"/>
              </w:rPr>
              <w:t>quality;</w:t>
            </w:r>
            <w:proofErr w:type="gramEnd"/>
          </w:p>
          <w:p w14:paraId="367BCEF1" w14:textId="17977554" w:rsidR="00302749" w:rsidRPr="00A3226D" w:rsidRDefault="00302749" w:rsidP="0030274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R17–Strengthen metering and monitoring</w:t>
            </w:r>
          </w:p>
        </w:tc>
      </w:tr>
      <w:tr w:rsidR="003656A3" w:rsidRPr="00F744C3" w14:paraId="3D9B8836"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69649618" w14:textId="782B7E8F" w:rsidR="003656A3" w:rsidRPr="00223AE9" w:rsidRDefault="003656A3" w:rsidP="00F26864">
            <w:pPr>
              <w:rPr>
                <w:rFonts w:ascii="Cambria" w:hAnsi="Cambria" w:cstheme="majorHAnsi"/>
                <w:b w:val="0"/>
                <w:bCs w:val="0"/>
                <w:sz w:val="18"/>
                <w:szCs w:val="18"/>
              </w:rPr>
            </w:pPr>
            <w:proofErr w:type="spellStart"/>
            <w:r>
              <w:rPr>
                <w:rFonts w:ascii="Cambria" w:hAnsi="Cambria" w:cstheme="majorHAnsi"/>
                <w:b w:val="0"/>
                <w:bCs w:val="0"/>
                <w:sz w:val="18"/>
                <w:szCs w:val="18"/>
              </w:rPr>
              <w:lastRenderedPageBreak/>
              <w:t>Cth</w:t>
            </w:r>
            <w:proofErr w:type="spellEnd"/>
          </w:p>
        </w:tc>
        <w:tc>
          <w:tcPr>
            <w:tcW w:w="10093" w:type="dxa"/>
          </w:tcPr>
          <w:p w14:paraId="52DF0A8F" w14:textId="35377C6A" w:rsidR="003656A3" w:rsidRPr="009917D2" w:rsidRDefault="003656A3" w:rsidP="003656A3">
            <w:pPr>
              <w:tabs>
                <w:tab w:val="left" w:pos="978"/>
              </w:tabs>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3656A3">
              <w:rPr>
                <w:rFonts w:ascii="Cambria" w:hAnsi="Cambria" w:cstheme="majorHAnsi"/>
                <w:sz w:val="18"/>
                <w:szCs w:val="18"/>
              </w:rPr>
              <w:t>The IGWC has commenced a review of the operation of the Murray and lower Darling Rivers to assess the key drivers of allocation decisions, including how well water is being measured and modelled at the Basin and valley scales for conveyance losses and bulk state water shares. This work also includes an assessment of hydrometric data coverage and quality, and associated data analysis processes.</w:t>
            </w:r>
          </w:p>
        </w:tc>
        <w:tc>
          <w:tcPr>
            <w:tcW w:w="2410" w:type="dxa"/>
            <w:vMerge w:val="restart"/>
          </w:tcPr>
          <w:p w14:paraId="27BCB852" w14:textId="77777777" w:rsidR="003656A3" w:rsidRPr="00A3226D" w:rsidRDefault="003656A3" w:rsidP="00F26864">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R15–Increase the transparency of allocations decisions and the drivers of</w:t>
            </w:r>
          </w:p>
          <w:p w14:paraId="51A4E2BF" w14:textId="0DF7DB0A" w:rsidR="003656A3" w:rsidRPr="00A3226D" w:rsidRDefault="003656A3" w:rsidP="00F26864">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 xml:space="preserve">water availability; R21–Improve transparency of conveyance losses and other delivery impacts </w:t>
            </w:r>
          </w:p>
        </w:tc>
      </w:tr>
      <w:tr w:rsidR="001F2C3E" w:rsidRPr="00F744C3" w14:paraId="4112ED7B"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75DC76D3" w14:textId="43FDE17D" w:rsidR="001F2C3E" w:rsidRPr="009917D2" w:rsidRDefault="001F2C3E" w:rsidP="00302749">
            <w:pPr>
              <w:rPr>
                <w:rFonts w:ascii="Cambria" w:hAnsi="Cambria" w:cstheme="majorHAnsi"/>
                <w:b w:val="0"/>
                <w:sz w:val="18"/>
                <w:szCs w:val="18"/>
              </w:rPr>
            </w:pPr>
            <w:r w:rsidRPr="00223AE9">
              <w:rPr>
                <w:rFonts w:ascii="Cambria" w:hAnsi="Cambria" w:cstheme="majorHAnsi"/>
                <w:b w:val="0"/>
                <w:sz w:val="18"/>
                <w:szCs w:val="18"/>
              </w:rPr>
              <w:t>NSW</w:t>
            </w:r>
          </w:p>
        </w:tc>
        <w:tc>
          <w:tcPr>
            <w:tcW w:w="10093" w:type="dxa"/>
          </w:tcPr>
          <w:p w14:paraId="25C774B0" w14:textId="3C92B6E3" w:rsidR="001F2C3E" w:rsidRPr="009917D2" w:rsidRDefault="001F2C3E" w:rsidP="0030274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 xml:space="preserve">NSW has recently made significant progress to improve </w:t>
            </w:r>
            <w:r w:rsidR="007A0B23">
              <w:rPr>
                <w:rFonts w:ascii="Cambria" w:hAnsi="Cambria" w:cstheme="majorHAnsi"/>
                <w:sz w:val="18"/>
                <w:szCs w:val="18"/>
              </w:rPr>
              <w:t>water information</w:t>
            </w:r>
            <w:r w:rsidR="003656A3" w:rsidRPr="009917D2">
              <w:rPr>
                <w:rFonts w:ascii="Cambria" w:hAnsi="Cambria" w:cstheme="majorHAnsi"/>
                <w:sz w:val="18"/>
                <w:szCs w:val="18"/>
              </w:rPr>
              <w:t xml:space="preserve"> </w:t>
            </w:r>
            <w:r w:rsidRPr="009917D2">
              <w:rPr>
                <w:rFonts w:ascii="Cambria" w:hAnsi="Cambria" w:cstheme="majorHAnsi"/>
                <w:sz w:val="18"/>
                <w:szCs w:val="18"/>
              </w:rPr>
              <w:t>transparency</w:t>
            </w:r>
            <w:r w:rsidR="004102C5">
              <w:t xml:space="preserve"> </w:t>
            </w:r>
            <w:r w:rsidR="004102C5" w:rsidRPr="004102C5">
              <w:rPr>
                <w:rFonts w:ascii="Cambria" w:hAnsi="Cambria" w:cstheme="majorHAnsi"/>
                <w:sz w:val="18"/>
                <w:szCs w:val="18"/>
              </w:rPr>
              <w:t xml:space="preserve">through the development of water information dashboards and the </w:t>
            </w:r>
            <w:proofErr w:type="spellStart"/>
            <w:r w:rsidR="004102C5" w:rsidRPr="004102C5">
              <w:rPr>
                <w:rFonts w:ascii="Cambria" w:hAnsi="Cambria" w:cstheme="majorHAnsi"/>
                <w:sz w:val="18"/>
                <w:szCs w:val="18"/>
              </w:rPr>
              <w:t>WaterInsights</w:t>
            </w:r>
            <w:proofErr w:type="spellEnd"/>
            <w:r w:rsidR="004102C5" w:rsidRPr="004102C5">
              <w:rPr>
                <w:rFonts w:ascii="Cambria" w:hAnsi="Cambria" w:cstheme="majorHAnsi"/>
                <w:sz w:val="18"/>
                <w:szCs w:val="18"/>
              </w:rPr>
              <w:t xml:space="preserve"> Portal</w:t>
            </w:r>
            <w:r w:rsidR="003656A3" w:rsidRPr="009917D2">
              <w:rPr>
                <w:rFonts w:ascii="Cambria" w:hAnsi="Cambria" w:cstheme="majorHAnsi"/>
                <w:sz w:val="18"/>
                <w:szCs w:val="18"/>
              </w:rPr>
              <w:t>.</w:t>
            </w:r>
            <w:r w:rsidRPr="009917D2">
              <w:rPr>
                <w:rFonts w:ascii="Cambria" w:hAnsi="Cambria" w:cstheme="majorHAnsi"/>
                <w:sz w:val="18"/>
                <w:szCs w:val="18"/>
              </w:rPr>
              <w:t xml:space="preserve"> Water balances for each valley are included on the </w:t>
            </w:r>
            <w:proofErr w:type="spellStart"/>
            <w:r w:rsidRPr="009917D2">
              <w:rPr>
                <w:rFonts w:ascii="Cambria" w:hAnsi="Cambria" w:cstheme="majorHAnsi"/>
                <w:sz w:val="18"/>
                <w:szCs w:val="18"/>
              </w:rPr>
              <w:t>WaterInsights</w:t>
            </w:r>
            <w:proofErr w:type="spellEnd"/>
            <w:r w:rsidRPr="009917D2">
              <w:rPr>
                <w:rFonts w:ascii="Cambria" w:hAnsi="Cambria" w:cstheme="majorHAnsi"/>
                <w:sz w:val="18"/>
                <w:szCs w:val="18"/>
              </w:rPr>
              <w:t xml:space="preserve"> Portal </w:t>
            </w:r>
            <w:r w:rsidR="00C95803" w:rsidRPr="00C95803">
              <w:rPr>
                <w:rFonts w:ascii="Cambria" w:hAnsi="Cambria" w:cstheme="majorHAnsi"/>
                <w:sz w:val="18"/>
                <w:szCs w:val="18"/>
              </w:rPr>
              <w:t xml:space="preserve">to support improved understanding of conveyance losses, </w:t>
            </w:r>
            <w:r w:rsidRPr="009917D2">
              <w:rPr>
                <w:rFonts w:ascii="Cambria" w:hAnsi="Cambria" w:cstheme="majorHAnsi"/>
                <w:sz w:val="18"/>
                <w:szCs w:val="18"/>
              </w:rPr>
              <w:t xml:space="preserve">and the WaterNSW publication Murrumbidgee River Operations Plan </w:t>
            </w:r>
            <w:r w:rsidR="00C95803">
              <w:rPr>
                <w:rFonts w:ascii="Cambria" w:hAnsi="Cambria" w:cstheme="majorHAnsi"/>
                <w:sz w:val="18"/>
                <w:szCs w:val="18"/>
              </w:rPr>
              <w:t xml:space="preserve">also </w:t>
            </w:r>
            <w:r w:rsidRPr="009917D2">
              <w:rPr>
                <w:rFonts w:ascii="Cambria" w:hAnsi="Cambria" w:cstheme="majorHAnsi"/>
                <w:sz w:val="18"/>
                <w:szCs w:val="18"/>
              </w:rPr>
              <w:t xml:space="preserve">includes information of this nature. </w:t>
            </w:r>
            <w:proofErr w:type="spellStart"/>
            <w:r w:rsidRPr="009917D2">
              <w:rPr>
                <w:rFonts w:ascii="Cambria" w:hAnsi="Cambria" w:cstheme="majorHAnsi"/>
                <w:sz w:val="18"/>
                <w:szCs w:val="18"/>
              </w:rPr>
              <w:t>WaterInsights</w:t>
            </w:r>
            <w:proofErr w:type="spellEnd"/>
            <w:r w:rsidRPr="009917D2">
              <w:rPr>
                <w:rFonts w:ascii="Cambria" w:hAnsi="Cambria" w:cstheme="majorHAnsi"/>
                <w:sz w:val="18"/>
                <w:szCs w:val="18"/>
              </w:rPr>
              <w:t xml:space="preserve"> has created an environment where it is easy to see storage, flow, water availability, allocation, weather outlook and trading in one location. </w:t>
            </w:r>
            <w:r w:rsidR="003345B6" w:rsidRPr="008912DA">
              <w:rPr>
                <w:rFonts w:ascii="Cambria" w:hAnsi="Cambria" w:cstheme="majorHAnsi"/>
                <w:sz w:val="18"/>
                <w:szCs w:val="18"/>
              </w:rPr>
              <w:t xml:space="preserve">Consistent with the </w:t>
            </w:r>
            <w:r w:rsidR="003345B6" w:rsidRPr="00704D86">
              <w:rPr>
                <w:rFonts w:ascii="Cambria" w:hAnsi="Cambria" w:cstheme="majorHAnsi"/>
                <w:sz w:val="18"/>
                <w:szCs w:val="18"/>
              </w:rPr>
              <w:t>NSW Water Strategy</w:t>
            </w:r>
            <w:r w:rsidR="003345B6" w:rsidRPr="008912DA">
              <w:rPr>
                <w:rFonts w:ascii="Cambria" w:hAnsi="Cambria" w:cstheme="majorHAnsi"/>
                <w:sz w:val="18"/>
                <w:szCs w:val="18"/>
              </w:rPr>
              <w:t>, NSW is currently pursuing a strong open data framework</w:t>
            </w:r>
            <w:r w:rsidR="00B93819">
              <w:rPr>
                <w:rFonts w:ascii="Cambria" w:hAnsi="Cambria" w:cstheme="majorHAnsi"/>
                <w:sz w:val="18"/>
                <w:szCs w:val="18"/>
              </w:rPr>
              <w:t xml:space="preserve">, taking an ‘if not </w:t>
            </w:r>
            <w:proofErr w:type="gramStart"/>
            <w:r w:rsidR="00B93819">
              <w:rPr>
                <w:rFonts w:ascii="Cambria" w:hAnsi="Cambria" w:cstheme="majorHAnsi"/>
                <w:sz w:val="18"/>
                <w:szCs w:val="18"/>
              </w:rPr>
              <w:t>why not</w:t>
            </w:r>
            <w:proofErr w:type="gramEnd"/>
            <w:r w:rsidR="00B93819">
              <w:rPr>
                <w:rFonts w:ascii="Cambria" w:hAnsi="Cambria" w:cstheme="majorHAnsi"/>
                <w:sz w:val="18"/>
                <w:szCs w:val="18"/>
              </w:rPr>
              <w:t>’ approach to publishing information</w:t>
            </w:r>
            <w:r w:rsidR="003345B6" w:rsidRPr="008912DA">
              <w:rPr>
                <w:rFonts w:ascii="Cambria" w:hAnsi="Cambria" w:cstheme="majorHAnsi"/>
                <w:sz w:val="18"/>
                <w:szCs w:val="18"/>
              </w:rPr>
              <w:t xml:space="preserve">. </w:t>
            </w:r>
            <w:r w:rsidR="003656A3" w:rsidRPr="003345B6">
              <w:rPr>
                <w:rFonts w:ascii="Cambria" w:hAnsi="Cambria" w:cstheme="majorHAnsi"/>
                <w:sz w:val="18"/>
                <w:szCs w:val="18"/>
              </w:rPr>
              <w:t xml:space="preserve"> </w:t>
            </w:r>
          </w:p>
        </w:tc>
        <w:tc>
          <w:tcPr>
            <w:tcW w:w="2410" w:type="dxa"/>
            <w:vMerge/>
          </w:tcPr>
          <w:p w14:paraId="6FD45D79" w14:textId="5CF67770" w:rsidR="001F2C3E" w:rsidRPr="00A3226D" w:rsidRDefault="001F2C3E" w:rsidP="0030274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3656A3" w:rsidRPr="00F744C3" w14:paraId="61F0D8EF"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210D59CE" w14:textId="1789CCEB" w:rsidR="003656A3" w:rsidRPr="00223AE9" w:rsidRDefault="003656A3" w:rsidP="00F26864">
            <w:pPr>
              <w:rPr>
                <w:rFonts w:ascii="Cambria" w:hAnsi="Cambria" w:cstheme="majorHAnsi"/>
                <w:b w:val="0"/>
                <w:bCs w:val="0"/>
                <w:sz w:val="18"/>
                <w:szCs w:val="18"/>
              </w:rPr>
            </w:pPr>
            <w:r>
              <w:rPr>
                <w:rFonts w:ascii="Cambria" w:hAnsi="Cambria" w:cstheme="majorHAnsi"/>
                <w:b w:val="0"/>
                <w:bCs w:val="0"/>
                <w:sz w:val="18"/>
                <w:szCs w:val="18"/>
              </w:rPr>
              <w:t>SA</w:t>
            </w:r>
          </w:p>
        </w:tc>
        <w:tc>
          <w:tcPr>
            <w:tcW w:w="10093" w:type="dxa"/>
          </w:tcPr>
          <w:p w14:paraId="183AE883" w14:textId="6FF15588" w:rsidR="003656A3" w:rsidRPr="009917D2" w:rsidRDefault="00C60EE6" w:rsidP="00F26864">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C60EE6">
              <w:rPr>
                <w:rFonts w:ascii="Cambria" w:hAnsi="Cambria" w:cstheme="majorHAnsi"/>
                <w:sz w:val="18"/>
                <w:szCs w:val="18"/>
              </w:rPr>
              <w:t xml:space="preserve">SA publishes the </w:t>
            </w:r>
            <w:r w:rsidRPr="00C60EE6">
              <w:rPr>
                <w:rFonts w:ascii="Cambria" w:hAnsi="Cambria" w:cstheme="majorHAnsi"/>
                <w:i/>
                <w:sz w:val="18"/>
                <w:szCs w:val="18"/>
              </w:rPr>
              <w:t>South Australia’s River Murray Flow and Use Report</w:t>
            </w:r>
            <w:r w:rsidRPr="00C60EE6">
              <w:rPr>
                <w:rFonts w:ascii="Cambria" w:hAnsi="Cambria" w:cstheme="majorHAnsi"/>
                <w:sz w:val="18"/>
                <w:szCs w:val="18"/>
              </w:rPr>
              <w:t xml:space="preserve"> quarterly report series containing SA River Murray water flow and use data. Stakeholders can also refer to the </w:t>
            </w:r>
            <w:r w:rsidRPr="00C60EE6">
              <w:rPr>
                <w:rFonts w:ascii="Cambria" w:hAnsi="Cambria" w:cstheme="majorHAnsi"/>
                <w:i/>
                <w:sz w:val="18"/>
                <w:szCs w:val="18"/>
              </w:rPr>
              <w:t>SA River Murray Water Calculator</w:t>
            </w:r>
            <w:r w:rsidRPr="00C60EE6">
              <w:rPr>
                <w:rFonts w:ascii="Cambria" w:hAnsi="Cambria" w:cstheme="majorHAnsi"/>
                <w:sz w:val="18"/>
                <w:szCs w:val="18"/>
              </w:rPr>
              <w:t xml:space="preserve"> to discern how much allocation they will receive under different water availability scenarios.</w:t>
            </w:r>
          </w:p>
        </w:tc>
        <w:tc>
          <w:tcPr>
            <w:tcW w:w="2410" w:type="dxa"/>
            <w:vMerge/>
          </w:tcPr>
          <w:p w14:paraId="26F6B7AB" w14:textId="77777777" w:rsidR="003656A3" w:rsidRPr="00A3226D" w:rsidRDefault="003656A3" w:rsidP="00F26864">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1F2C3E" w:rsidRPr="00F744C3" w14:paraId="21B3EFF9"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03167F05" w14:textId="4397DA4E" w:rsidR="001F2C3E" w:rsidRPr="009917D2" w:rsidRDefault="001F2C3E" w:rsidP="00302749">
            <w:pPr>
              <w:rPr>
                <w:rFonts w:ascii="Cambria" w:hAnsi="Cambria" w:cstheme="majorHAnsi"/>
                <w:b w:val="0"/>
                <w:sz w:val="18"/>
                <w:szCs w:val="18"/>
              </w:rPr>
            </w:pPr>
            <w:r w:rsidRPr="00223AE9">
              <w:rPr>
                <w:rFonts w:ascii="Cambria" w:hAnsi="Cambria" w:cstheme="majorHAnsi"/>
                <w:b w:val="0"/>
                <w:sz w:val="18"/>
                <w:szCs w:val="18"/>
              </w:rPr>
              <w:t>All Basin states</w:t>
            </w:r>
          </w:p>
        </w:tc>
        <w:tc>
          <w:tcPr>
            <w:tcW w:w="10093" w:type="dxa"/>
          </w:tcPr>
          <w:p w14:paraId="11139A44" w14:textId="007CCB8F" w:rsidR="001F2C3E" w:rsidRPr="009917D2" w:rsidRDefault="001F2C3E" w:rsidP="0030274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 xml:space="preserve">All Basin states have </w:t>
            </w:r>
            <w:r w:rsidR="005D3129">
              <w:rPr>
                <w:rFonts w:ascii="Cambria" w:hAnsi="Cambria" w:cstheme="majorHAnsi"/>
                <w:sz w:val="18"/>
                <w:szCs w:val="18"/>
              </w:rPr>
              <w:t xml:space="preserve">published guidance as to how water resources are managed during </w:t>
            </w:r>
            <w:r w:rsidRPr="009917D2">
              <w:rPr>
                <w:rFonts w:ascii="Cambria" w:hAnsi="Cambria" w:cstheme="majorHAnsi"/>
                <w:sz w:val="18"/>
                <w:szCs w:val="18"/>
              </w:rPr>
              <w:t>extreme events online</w:t>
            </w:r>
          </w:p>
        </w:tc>
        <w:tc>
          <w:tcPr>
            <w:tcW w:w="2410" w:type="dxa"/>
            <w:vMerge/>
          </w:tcPr>
          <w:p w14:paraId="3811E611" w14:textId="77777777" w:rsidR="001F2C3E" w:rsidRPr="00C66F0F" w:rsidRDefault="001F2C3E" w:rsidP="0030274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1F2C3E" w:rsidRPr="00F744C3" w14:paraId="07FEB40B" w14:textId="77777777" w:rsidTr="00CD566E">
        <w:trPr>
          <w:gridAfter w:val="2"/>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0F09D61D" w14:textId="52555034" w:rsidR="001F2C3E" w:rsidRPr="009917D2" w:rsidRDefault="001F2C3E" w:rsidP="00302749">
            <w:pPr>
              <w:rPr>
                <w:rFonts w:ascii="Cambria" w:hAnsi="Cambria" w:cstheme="majorHAnsi"/>
                <w:b w:val="0"/>
                <w:sz w:val="18"/>
                <w:szCs w:val="18"/>
              </w:rPr>
            </w:pPr>
            <w:r w:rsidRPr="00223AE9">
              <w:rPr>
                <w:rFonts w:ascii="Cambria" w:hAnsi="Cambria" w:cstheme="majorHAnsi"/>
                <w:b w:val="0"/>
                <w:sz w:val="18"/>
                <w:szCs w:val="18"/>
              </w:rPr>
              <w:t xml:space="preserve">All </w:t>
            </w:r>
          </w:p>
        </w:tc>
        <w:tc>
          <w:tcPr>
            <w:tcW w:w="10093" w:type="dxa"/>
          </w:tcPr>
          <w:p w14:paraId="0767C1EC" w14:textId="26814E52" w:rsidR="001F2C3E" w:rsidRPr="009917D2" w:rsidRDefault="001F2C3E" w:rsidP="00302749">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All Basin states have published info on how water allocation decisions are made, MDBA has published information on how state shares are divided.</w:t>
            </w:r>
          </w:p>
        </w:tc>
        <w:tc>
          <w:tcPr>
            <w:tcW w:w="2410" w:type="dxa"/>
            <w:vMerge/>
          </w:tcPr>
          <w:p w14:paraId="328734BB" w14:textId="77777777" w:rsidR="001F2C3E" w:rsidRPr="00C66F0F" w:rsidRDefault="001F2C3E" w:rsidP="00302749">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302749" w:rsidRPr="00F744C3" w14:paraId="015D5D05" w14:textId="77777777" w:rsidTr="00CD566E">
        <w:trPr>
          <w:gridAfter w:val="2"/>
          <w:cnfStyle w:val="000000100000" w:firstRow="0" w:lastRow="0" w:firstColumn="0" w:lastColumn="0" w:oddVBand="0" w:evenVBand="0" w:oddHBand="1" w:evenHBand="0" w:firstRowFirstColumn="0" w:firstRowLastColumn="0" w:lastRowFirstColumn="0" w:lastRowLastColumn="0"/>
          <w:wAfter w:w="20"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10C8A5B4" w14:textId="0F04E62C" w:rsidR="00302749" w:rsidRPr="009917D2" w:rsidRDefault="00302749" w:rsidP="00302749">
            <w:pPr>
              <w:rPr>
                <w:rFonts w:ascii="Cambria" w:hAnsi="Cambria" w:cstheme="majorHAnsi"/>
                <w:b w:val="0"/>
                <w:sz w:val="18"/>
                <w:szCs w:val="18"/>
              </w:rPr>
            </w:pPr>
            <w:r w:rsidRPr="00223AE9">
              <w:rPr>
                <w:rFonts w:ascii="Cambria" w:hAnsi="Cambria" w:cstheme="majorHAnsi"/>
                <w:b w:val="0"/>
                <w:sz w:val="18"/>
                <w:szCs w:val="18"/>
              </w:rPr>
              <w:t>Joint governments</w:t>
            </w:r>
          </w:p>
        </w:tc>
        <w:tc>
          <w:tcPr>
            <w:tcW w:w="10093" w:type="dxa"/>
          </w:tcPr>
          <w:p w14:paraId="7C899EC3" w14:textId="266F46D1" w:rsidR="00302749" w:rsidRPr="009917D2" w:rsidRDefault="00302749" w:rsidP="0030274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rPr>
              <w:t>Consistent with the ACCC recommendation to publishing procedural docs for committees, BOC now publishes communiques of its meetings</w:t>
            </w:r>
          </w:p>
        </w:tc>
        <w:tc>
          <w:tcPr>
            <w:tcW w:w="2410" w:type="dxa"/>
          </w:tcPr>
          <w:p w14:paraId="52478F7F" w14:textId="285B3BEA" w:rsidR="0052343E" w:rsidRPr="00A3226D" w:rsidRDefault="0052343E" w:rsidP="0052343E">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R29–Increase transparency of roles and functions of intergovernmental</w:t>
            </w:r>
          </w:p>
          <w:p w14:paraId="469C9DC5" w14:textId="1E58D308" w:rsidR="00302749" w:rsidRPr="00A3226D" w:rsidRDefault="0052343E" w:rsidP="0052343E">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committees</w:t>
            </w:r>
          </w:p>
        </w:tc>
      </w:tr>
      <w:tr w:rsidR="00A104B6" w:rsidRPr="00A3226D" w14:paraId="3B92C30A" w14:textId="77777777" w:rsidTr="00CD566E">
        <w:trPr>
          <w:cantSplit/>
        </w:trPr>
        <w:tc>
          <w:tcPr>
            <w:cnfStyle w:val="001000000000" w:firstRow="0" w:lastRow="0" w:firstColumn="1" w:lastColumn="0" w:oddVBand="0" w:evenVBand="0" w:oddHBand="0" w:evenHBand="0" w:firstRowFirstColumn="0" w:firstRowLastColumn="0" w:lastRowFirstColumn="0" w:lastRowLastColumn="0"/>
            <w:tcW w:w="13907" w:type="dxa"/>
            <w:gridSpan w:val="5"/>
          </w:tcPr>
          <w:p w14:paraId="33B18046" w14:textId="34B1454E" w:rsidR="00A104B6" w:rsidRPr="00A3226D" w:rsidRDefault="00246548" w:rsidP="003077CB">
            <w:pPr>
              <w:pStyle w:val="Heading3"/>
              <w:outlineLvl w:val="2"/>
              <w:rPr>
                <w:rFonts w:ascii="Cambria" w:hAnsi="Cambria"/>
                <w:sz w:val="18"/>
                <w:szCs w:val="18"/>
              </w:rPr>
            </w:pPr>
            <w:bookmarkStart w:id="41" w:name="_Toc90470989"/>
            <w:r w:rsidRPr="00A3226D">
              <w:rPr>
                <w:rFonts w:ascii="Cambria" w:hAnsi="Cambria"/>
                <w:color w:val="auto"/>
                <w:sz w:val="18"/>
                <w:szCs w:val="18"/>
              </w:rPr>
              <w:t xml:space="preserve">Improving integration of </w:t>
            </w:r>
            <w:r w:rsidR="003077CB" w:rsidRPr="00A3226D">
              <w:rPr>
                <w:rFonts w:ascii="Cambria" w:hAnsi="Cambria"/>
                <w:color w:val="auto"/>
                <w:sz w:val="18"/>
                <w:szCs w:val="18"/>
              </w:rPr>
              <w:t>environmental water delivery and trade</w:t>
            </w:r>
            <w:bookmarkEnd w:id="41"/>
            <w:r w:rsidR="003077CB" w:rsidRPr="00A3226D">
              <w:rPr>
                <w:rFonts w:ascii="Cambria" w:hAnsi="Cambria"/>
                <w:color w:val="auto"/>
                <w:sz w:val="18"/>
                <w:szCs w:val="18"/>
              </w:rPr>
              <w:t xml:space="preserve"> </w:t>
            </w:r>
          </w:p>
        </w:tc>
      </w:tr>
      <w:tr w:rsidR="005608DF" w:rsidRPr="00A3226D" w14:paraId="12515D21" w14:textId="77777777" w:rsidTr="00CD566E">
        <w:trPr>
          <w:gridAfter w:val="1"/>
          <w:cnfStyle w:val="000000100000" w:firstRow="0" w:lastRow="0" w:firstColumn="0" w:lastColumn="0" w:oddVBand="0" w:evenVBand="0" w:oddHBand="1" w:evenHBand="0" w:firstRowFirstColumn="0" w:firstRowLastColumn="0" w:lastRowFirstColumn="0" w:lastRowLastColumn="0"/>
          <w:wAfter w:w="6"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1D1EBAF1" w14:textId="67C8B4E3" w:rsidR="0076582B" w:rsidRPr="00223AE9" w:rsidRDefault="0076582B" w:rsidP="00302749">
            <w:pPr>
              <w:rPr>
                <w:rFonts w:ascii="Cambria" w:hAnsi="Cambria" w:cstheme="majorHAnsi"/>
                <w:b w:val="0"/>
                <w:sz w:val="18"/>
                <w:szCs w:val="18"/>
              </w:rPr>
            </w:pPr>
            <w:proofErr w:type="spellStart"/>
            <w:r w:rsidRPr="00223AE9">
              <w:rPr>
                <w:rFonts w:ascii="Cambria" w:hAnsi="Cambria" w:cstheme="majorHAnsi"/>
                <w:b w:val="0"/>
                <w:sz w:val="18"/>
                <w:szCs w:val="18"/>
              </w:rPr>
              <w:t>Cth</w:t>
            </w:r>
            <w:proofErr w:type="spellEnd"/>
            <w:r w:rsidRPr="00223AE9">
              <w:rPr>
                <w:rFonts w:ascii="Cambria" w:hAnsi="Cambria" w:cstheme="majorHAnsi"/>
                <w:b w:val="0"/>
                <w:sz w:val="18"/>
                <w:szCs w:val="18"/>
              </w:rPr>
              <w:t xml:space="preserve"> </w:t>
            </w:r>
          </w:p>
        </w:tc>
        <w:tc>
          <w:tcPr>
            <w:tcW w:w="10093" w:type="dxa"/>
          </w:tcPr>
          <w:p w14:paraId="2E67321F" w14:textId="4768446A" w:rsidR="0076582B" w:rsidRPr="00A3226D" w:rsidRDefault="009457FC" w:rsidP="007422A1">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The</w:t>
            </w:r>
            <w:r w:rsidR="0076582B" w:rsidRPr="00A3226D">
              <w:rPr>
                <w:rFonts w:ascii="Cambria" w:hAnsi="Cambria" w:cstheme="majorHAnsi"/>
                <w:sz w:val="18"/>
                <w:szCs w:val="18"/>
              </w:rPr>
              <w:t xml:space="preserve"> MDBA </w:t>
            </w:r>
            <w:r w:rsidR="00B9637A" w:rsidRPr="00A3226D">
              <w:rPr>
                <w:rFonts w:ascii="Cambria" w:hAnsi="Cambria" w:cstheme="majorHAnsi"/>
                <w:sz w:val="18"/>
                <w:szCs w:val="18"/>
              </w:rPr>
              <w:t xml:space="preserve">has </w:t>
            </w:r>
            <w:r w:rsidR="0076582B" w:rsidRPr="00A3226D">
              <w:rPr>
                <w:rFonts w:ascii="Cambria" w:hAnsi="Cambria" w:cstheme="majorHAnsi"/>
                <w:sz w:val="18"/>
                <w:szCs w:val="18"/>
              </w:rPr>
              <w:t>assess</w:t>
            </w:r>
            <w:r w:rsidR="00AB52F4" w:rsidRPr="00A3226D">
              <w:rPr>
                <w:rFonts w:ascii="Cambria" w:hAnsi="Cambria" w:cstheme="majorHAnsi"/>
                <w:sz w:val="18"/>
                <w:szCs w:val="18"/>
              </w:rPr>
              <w:t>ed</w:t>
            </w:r>
            <w:r w:rsidR="00366727" w:rsidRPr="00A3226D">
              <w:rPr>
                <w:rFonts w:ascii="Cambria" w:hAnsi="Cambria" w:cstheme="majorHAnsi"/>
                <w:sz w:val="18"/>
                <w:szCs w:val="18"/>
              </w:rPr>
              <w:t xml:space="preserve"> </w:t>
            </w:r>
            <w:r w:rsidR="00AF601E" w:rsidRPr="00A3226D">
              <w:rPr>
                <w:rFonts w:ascii="Cambria" w:hAnsi="Cambria" w:cstheme="majorHAnsi"/>
                <w:sz w:val="18"/>
                <w:szCs w:val="18"/>
              </w:rPr>
              <w:t xml:space="preserve">possible future </w:t>
            </w:r>
            <w:r w:rsidR="00366727" w:rsidRPr="00A3226D">
              <w:rPr>
                <w:rFonts w:ascii="Cambria" w:hAnsi="Cambria" w:cstheme="majorHAnsi"/>
                <w:sz w:val="18"/>
                <w:szCs w:val="18"/>
              </w:rPr>
              <w:t xml:space="preserve">options </w:t>
            </w:r>
            <w:r w:rsidR="00AF601E" w:rsidRPr="00A3226D">
              <w:rPr>
                <w:rFonts w:ascii="Cambria" w:hAnsi="Cambria" w:cstheme="majorHAnsi"/>
                <w:sz w:val="18"/>
                <w:szCs w:val="18"/>
              </w:rPr>
              <w:t xml:space="preserve">for the </w:t>
            </w:r>
            <w:r w:rsidR="0076582B" w:rsidRPr="00A3226D">
              <w:rPr>
                <w:rFonts w:ascii="Cambria" w:hAnsi="Cambria" w:cstheme="majorHAnsi"/>
                <w:sz w:val="18"/>
                <w:szCs w:val="18"/>
              </w:rPr>
              <w:t>operation of Section 12.02 of the Basin Plan Water Trading Rules (BPWTR) as it relates to the trade of environmental water</w:t>
            </w:r>
            <w:r w:rsidR="008556BF" w:rsidRPr="00A3226D">
              <w:rPr>
                <w:rFonts w:ascii="Cambria" w:hAnsi="Cambria" w:cstheme="majorHAnsi"/>
                <w:sz w:val="18"/>
                <w:szCs w:val="18"/>
              </w:rPr>
              <w:t xml:space="preserve">. The MDBA </w:t>
            </w:r>
            <w:r w:rsidR="0076582B" w:rsidRPr="00A3226D">
              <w:rPr>
                <w:rFonts w:ascii="Cambria" w:hAnsi="Cambria" w:cstheme="majorHAnsi"/>
                <w:sz w:val="18"/>
                <w:szCs w:val="18"/>
              </w:rPr>
              <w:t xml:space="preserve">found that, on balance, it was preferable to retain the Section 12.02 exemption. </w:t>
            </w:r>
            <w:r w:rsidR="00294CD8" w:rsidRPr="00294CD8">
              <w:rPr>
                <w:rFonts w:ascii="Cambria" w:hAnsi="Cambria" w:cstheme="majorHAnsi"/>
                <w:sz w:val="18"/>
                <w:szCs w:val="18"/>
              </w:rPr>
              <w:t>The MDBA also commissioned a review of the Southern Spring Flow Event of 2019 which found the governa</w:t>
            </w:r>
            <w:r w:rsidR="00294CD8" w:rsidRPr="0071366D">
              <w:rPr>
                <w:rFonts w:ascii="Cambria" w:hAnsi="Cambria" w:cstheme="majorHAnsi"/>
                <w:sz w:val="18"/>
                <w:szCs w:val="18"/>
              </w:rPr>
              <w:t xml:space="preserve">nce and delivery of environmental water is improving.  </w:t>
            </w:r>
            <w:r w:rsidR="00426E7A">
              <w:rPr>
                <w:rFonts w:ascii="Cambria" w:hAnsi="Cambria" w:cstheme="majorHAnsi"/>
                <w:sz w:val="18"/>
                <w:szCs w:val="18"/>
              </w:rPr>
              <w:t>Separately, t</w:t>
            </w:r>
            <w:r w:rsidR="00947F21" w:rsidRPr="0071366D">
              <w:rPr>
                <w:rFonts w:ascii="Cambria" w:hAnsi="Cambria" w:cstheme="majorHAnsi"/>
                <w:sz w:val="18"/>
                <w:szCs w:val="18"/>
              </w:rPr>
              <w:t>he IGWC is currently</w:t>
            </w:r>
            <w:r w:rsidR="00947F21" w:rsidRPr="00947F21">
              <w:rPr>
                <w:rFonts w:ascii="Cambria" w:hAnsi="Cambria" w:cstheme="majorHAnsi"/>
                <w:sz w:val="18"/>
                <w:szCs w:val="18"/>
              </w:rPr>
              <w:t xml:space="preserve"> undertaking a review of the CEWH’s processes for planning and managing environmental water each year.</w:t>
            </w:r>
          </w:p>
          <w:p w14:paraId="3EF6686C" w14:textId="785F3AA7" w:rsidR="0076582B" w:rsidRPr="00A3226D" w:rsidRDefault="00085A2C" w:rsidP="007422A1">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Held environmental water</w:t>
            </w:r>
            <w:r w:rsidR="00C60EE6" w:rsidRPr="00A3226D">
              <w:rPr>
                <w:rFonts w:ascii="Cambria" w:hAnsi="Cambria" w:cstheme="majorHAnsi"/>
                <w:sz w:val="18"/>
                <w:szCs w:val="18"/>
              </w:rPr>
              <w:t xml:space="preserve"> </w:t>
            </w:r>
            <w:r w:rsidR="002D7625">
              <w:rPr>
                <w:rFonts w:ascii="Cambria" w:hAnsi="Cambria" w:cstheme="majorHAnsi"/>
                <w:sz w:val="18"/>
                <w:szCs w:val="18"/>
              </w:rPr>
              <w:t>(HEW)</w:t>
            </w:r>
            <w:r w:rsidRPr="00A3226D">
              <w:rPr>
                <w:rFonts w:ascii="Cambria" w:hAnsi="Cambria" w:cstheme="majorHAnsi"/>
                <w:sz w:val="18"/>
                <w:szCs w:val="18"/>
              </w:rPr>
              <w:t xml:space="preserve"> delivery arrangements are considered in the Basin-wide Environmental Water Protection Strategy and Implementation Plan</w:t>
            </w:r>
            <w:r w:rsidRPr="00A3226D">
              <w:rPr>
                <w:rFonts w:ascii="Cambria" w:hAnsi="Cambria" w:cstheme="majorHAnsi"/>
                <w:sz w:val="18"/>
                <w:szCs w:val="18"/>
                <w:lang w:eastAsia="en-AU"/>
              </w:rPr>
              <w:t xml:space="preserve">. The plan is due to be reviewed in late 2021. The Capacity Panel Working Group is also working to considering environmental water delivery </w:t>
            </w:r>
            <w:r w:rsidR="0093104F">
              <w:rPr>
                <w:rFonts w:ascii="Cambria" w:hAnsi="Cambria" w:cstheme="majorHAnsi"/>
                <w:sz w:val="18"/>
                <w:szCs w:val="18"/>
                <w:lang w:eastAsia="en-AU"/>
              </w:rPr>
              <w:t xml:space="preserve">within the River Murray System </w:t>
            </w:r>
            <w:r w:rsidRPr="00A3226D">
              <w:rPr>
                <w:rFonts w:ascii="Cambria" w:hAnsi="Cambria" w:cstheme="majorHAnsi"/>
                <w:sz w:val="18"/>
                <w:szCs w:val="18"/>
                <w:lang w:eastAsia="en-AU"/>
              </w:rPr>
              <w:t>aspects as part of the delivery shortfall work</w:t>
            </w:r>
            <w:r w:rsidR="00440205">
              <w:t xml:space="preserve"> </w:t>
            </w:r>
            <w:r w:rsidR="00440205" w:rsidRPr="00440205">
              <w:rPr>
                <w:rFonts w:ascii="Cambria" w:hAnsi="Cambria" w:cstheme="majorHAnsi"/>
                <w:sz w:val="18"/>
                <w:szCs w:val="18"/>
                <w:lang w:eastAsia="en-AU"/>
              </w:rPr>
              <w:t>and is working closely with the Environmental Watering Committee</w:t>
            </w:r>
            <w:r w:rsidR="00C60EE6" w:rsidRPr="00A3226D">
              <w:rPr>
                <w:rFonts w:ascii="Cambria" w:hAnsi="Cambria" w:cstheme="majorHAnsi"/>
                <w:sz w:val="18"/>
                <w:szCs w:val="18"/>
                <w:lang w:eastAsia="en-AU"/>
              </w:rPr>
              <w:t>.</w:t>
            </w:r>
          </w:p>
        </w:tc>
        <w:tc>
          <w:tcPr>
            <w:tcW w:w="2424" w:type="dxa"/>
            <w:gridSpan w:val="2"/>
            <w:vMerge w:val="restart"/>
          </w:tcPr>
          <w:p w14:paraId="0E10CBE8" w14:textId="7D77841F" w:rsidR="0076582B" w:rsidRPr="00A3226D" w:rsidRDefault="0076582B" w:rsidP="0052343E">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A3226D">
              <w:rPr>
                <w:rFonts w:ascii="Cambria" w:hAnsi="Cambria" w:cstheme="majorHAnsi"/>
                <w:sz w:val="18"/>
                <w:szCs w:val="18"/>
              </w:rPr>
              <w:t xml:space="preserve">R23 – Better integrate environmental watering arrangements into trading arrangements and market design </w:t>
            </w:r>
          </w:p>
        </w:tc>
      </w:tr>
      <w:tr w:rsidR="005608DF" w:rsidRPr="00F744C3" w14:paraId="5C510983" w14:textId="77777777" w:rsidTr="00CD566E">
        <w:trPr>
          <w:gridAfter w:val="1"/>
          <w:wAfter w:w="6"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6E8E2A8F" w14:textId="04129799" w:rsidR="0076582B" w:rsidRPr="00223AE9" w:rsidRDefault="0076582B" w:rsidP="00764F29">
            <w:pPr>
              <w:rPr>
                <w:rFonts w:ascii="Cambria" w:hAnsi="Cambria" w:cstheme="majorHAnsi"/>
                <w:b w:val="0"/>
                <w:sz w:val="18"/>
                <w:szCs w:val="18"/>
              </w:rPr>
            </w:pPr>
            <w:r w:rsidRPr="00223AE9">
              <w:rPr>
                <w:rFonts w:ascii="Cambria" w:hAnsi="Cambria" w:cstheme="majorHAnsi"/>
                <w:b w:val="0"/>
                <w:sz w:val="18"/>
                <w:szCs w:val="18"/>
              </w:rPr>
              <w:t>SA, NSW, V</w:t>
            </w:r>
            <w:r w:rsidR="00365644" w:rsidRPr="00223AE9">
              <w:rPr>
                <w:rFonts w:ascii="Cambria" w:hAnsi="Cambria" w:cstheme="majorHAnsi"/>
                <w:b w:val="0"/>
                <w:sz w:val="18"/>
                <w:szCs w:val="18"/>
              </w:rPr>
              <w:t>IC</w:t>
            </w:r>
          </w:p>
        </w:tc>
        <w:tc>
          <w:tcPr>
            <w:tcW w:w="10093" w:type="dxa"/>
          </w:tcPr>
          <w:p w14:paraId="5F039FBE" w14:textId="087ECDBE" w:rsidR="0076582B" w:rsidRPr="009917D2" w:rsidRDefault="0076582B" w:rsidP="00764F29">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lang w:val="en-US"/>
              </w:rPr>
              <w:t>SA, NSW, and Vic are joint proponents of the Enhanced Environmental Water Delivery (EEWD) Project</w:t>
            </w:r>
            <w:r w:rsidR="0089040E">
              <w:rPr>
                <w:rFonts w:ascii="Cambria" w:hAnsi="Cambria" w:cstheme="majorHAnsi"/>
                <w:sz w:val="18"/>
                <w:szCs w:val="18"/>
                <w:lang w:val="en-US"/>
              </w:rPr>
              <w:t xml:space="preserve"> </w:t>
            </w:r>
            <w:r w:rsidR="0089040E" w:rsidRPr="0089040E">
              <w:rPr>
                <w:rFonts w:ascii="Cambria" w:hAnsi="Cambria" w:cstheme="majorHAnsi"/>
                <w:sz w:val="18"/>
                <w:szCs w:val="18"/>
                <w:lang w:val="en-US"/>
              </w:rPr>
              <w:t>under the Sustainable Diversion Limit Adjustment Mechanism</w:t>
            </w:r>
            <w:r w:rsidR="00C60EE6" w:rsidRPr="009917D2">
              <w:rPr>
                <w:rFonts w:ascii="Cambria" w:hAnsi="Cambria" w:cstheme="majorHAnsi"/>
                <w:sz w:val="18"/>
                <w:szCs w:val="18"/>
                <w:lang w:val="en-US"/>
              </w:rPr>
              <w:t>.</w:t>
            </w:r>
            <w:r w:rsidRPr="009917D2">
              <w:rPr>
                <w:rFonts w:ascii="Cambria" w:hAnsi="Cambria" w:cstheme="majorHAnsi"/>
                <w:sz w:val="18"/>
                <w:szCs w:val="18"/>
                <w:lang w:val="en-US"/>
              </w:rPr>
              <w:t xml:space="preserve"> The EEWD project is a multijurisdictional project aimed at improving the outcomes and efficiency of delivery of environmental water. The project will build on the existing knowledge of environmental water managers and river operators </w:t>
            </w:r>
            <w:r w:rsidR="00D50587">
              <w:rPr>
                <w:rFonts w:ascii="Cambria" w:hAnsi="Cambria" w:cstheme="majorHAnsi"/>
                <w:sz w:val="18"/>
                <w:szCs w:val="18"/>
                <w:lang w:val="en-US"/>
              </w:rPr>
              <w:t xml:space="preserve">within the southern connected basin </w:t>
            </w:r>
            <w:r w:rsidRPr="009917D2">
              <w:rPr>
                <w:rFonts w:ascii="Cambria" w:hAnsi="Cambria" w:cstheme="majorHAnsi"/>
                <w:sz w:val="18"/>
                <w:szCs w:val="18"/>
                <w:lang w:val="en-US"/>
              </w:rPr>
              <w:t>to improve coordination of HEW delivery across the southern connected basin.</w:t>
            </w:r>
          </w:p>
        </w:tc>
        <w:tc>
          <w:tcPr>
            <w:tcW w:w="2424" w:type="dxa"/>
            <w:gridSpan w:val="2"/>
            <w:vMerge/>
          </w:tcPr>
          <w:p w14:paraId="2914162A" w14:textId="77777777" w:rsidR="0076582B" w:rsidRPr="00C66F0F" w:rsidRDefault="0076582B" w:rsidP="00764F29">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r w:rsidR="005608DF" w:rsidRPr="00F744C3" w14:paraId="53CE326F" w14:textId="77777777" w:rsidTr="00CD566E">
        <w:trPr>
          <w:gridAfter w:val="1"/>
          <w:cnfStyle w:val="000000100000" w:firstRow="0" w:lastRow="0" w:firstColumn="0" w:lastColumn="0" w:oddVBand="0" w:evenVBand="0" w:oddHBand="1" w:evenHBand="0" w:firstRowFirstColumn="0" w:firstRowLastColumn="0" w:lastRowFirstColumn="0" w:lastRowLastColumn="0"/>
          <w:wAfter w:w="6"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1962B46F" w14:textId="04FBA86B" w:rsidR="0076582B" w:rsidRPr="00223AE9" w:rsidRDefault="0076582B" w:rsidP="00764F29">
            <w:pPr>
              <w:rPr>
                <w:rFonts w:ascii="Cambria" w:hAnsi="Cambria" w:cstheme="majorHAnsi"/>
                <w:b w:val="0"/>
                <w:sz w:val="18"/>
                <w:szCs w:val="18"/>
              </w:rPr>
            </w:pPr>
            <w:r w:rsidRPr="00223AE9">
              <w:rPr>
                <w:rFonts w:ascii="Cambria" w:hAnsi="Cambria" w:cstheme="majorHAnsi"/>
                <w:b w:val="0"/>
                <w:sz w:val="18"/>
                <w:szCs w:val="18"/>
              </w:rPr>
              <w:t>V</w:t>
            </w:r>
            <w:r w:rsidR="00365644" w:rsidRPr="00223AE9">
              <w:rPr>
                <w:rFonts w:ascii="Cambria" w:hAnsi="Cambria" w:cstheme="majorHAnsi"/>
                <w:b w:val="0"/>
                <w:sz w:val="18"/>
                <w:szCs w:val="18"/>
              </w:rPr>
              <w:t>IC</w:t>
            </w:r>
          </w:p>
        </w:tc>
        <w:tc>
          <w:tcPr>
            <w:tcW w:w="10093" w:type="dxa"/>
          </w:tcPr>
          <w:p w14:paraId="7AB0D512" w14:textId="4135AD9F" w:rsidR="0076582B" w:rsidRPr="009917D2" w:rsidRDefault="0076582B" w:rsidP="00764F2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r w:rsidRPr="009917D2">
              <w:rPr>
                <w:rFonts w:ascii="Cambria" w:hAnsi="Cambria" w:cstheme="majorHAnsi"/>
                <w:sz w:val="18"/>
                <w:szCs w:val="18"/>
                <w:lang w:val="en-US"/>
              </w:rPr>
              <w:t xml:space="preserve">Work is underway to better clarify delivery rights for environmental water based on policy principles and embed these rights in the entitlement framework. This program aligns with work identified in consideration the ACCC’s advice on Section 12.02 of the BPWTR. </w:t>
            </w:r>
          </w:p>
        </w:tc>
        <w:tc>
          <w:tcPr>
            <w:tcW w:w="2424" w:type="dxa"/>
            <w:gridSpan w:val="2"/>
            <w:vMerge/>
          </w:tcPr>
          <w:p w14:paraId="6CEB1011" w14:textId="77777777" w:rsidR="0076582B" w:rsidRPr="00C66F0F" w:rsidRDefault="0076582B" w:rsidP="00764F29">
            <w:pPr>
              <w:cnfStyle w:val="000000100000" w:firstRow="0" w:lastRow="0" w:firstColumn="0" w:lastColumn="0" w:oddVBand="0" w:evenVBand="0" w:oddHBand="1" w:evenHBand="0" w:firstRowFirstColumn="0" w:firstRowLastColumn="0" w:lastRowFirstColumn="0" w:lastRowLastColumn="0"/>
              <w:rPr>
                <w:rFonts w:ascii="Cambria" w:hAnsi="Cambria" w:cstheme="majorHAnsi"/>
                <w:sz w:val="18"/>
                <w:szCs w:val="18"/>
              </w:rPr>
            </w:pPr>
          </w:p>
        </w:tc>
      </w:tr>
      <w:tr w:rsidR="005608DF" w:rsidRPr="00F744C3" w14:paraId="60B93B07" w14:textId="77777777" w:rsidTr="00CD566E">
        <w:trPr>
          <w:gridAfter w:val="1"/>
          <w:wAfter w:w="6" w:type="dxa"/>
          <w:cantSplit/>
        </w:trPr>
        <w:tc>
          <w:tcPr>
            <w:cnfStyle w:val="001000000000" w:firstRow="0" w:lastRow="0" w:firstColumn="1" w:lastColumn="0" w:oddVBand="0" w:evenVBand="0" w:oddHBand="0" w:evenHBand="0" w:firstRowFirstColumn="0" w:firstRowLastColumn="0" w:lastRowFirstColumn="0" w:lastRowLastColumn="0"/>
            <w:tcW w:w="1384" w:type="dxa"/>
          </w:tcPr>
          <w:p w14:paraId="7AA1F2BC" w14:textId="3C683947" w:rsidR="0076582B" w:rsidRPr="00223AE9" w:rsidRDefault="00D50587" w:rsidP="00764F29">
            <w:pPr>
              <w:rPr>
                <w:rFonts w:ascii="Cambria" w:hAnsi="Cambria" w:cstheme="majorHAnsi"/>
                <w:b w:val="0"/>
                <w:sz w:val="18"/>
                <w:szCs w:val="18"/>
              </w:rPr>
            </w:pPr>
            <w:proofErr w:type="spellStart"/>
            <w:r>
              <w:rPr>
                <w:rFonts w:ascii="Cambria" w:hAnsi="Cambria" w:cstheme="majorHAnsi"/>
                <w:b w:val="0"/>
                <w:bCs w:val="0"/>
                <w:sz w:val="18"/>
                <w:szCs w:val="18"/>
              </w:rPr>
              <w:lastRenderedPageBreak/>
              <w:t>Cth</w:t>
            </w:r>
            <w:proofErr w:type="spellEnd"/>
            <w:r>
              <w:rPr>
                <w:rFonts w:ascii="Cambria" w:hAnsi="Cambria" w:cstheme="majorHAnsi"/>
                <w:b w:val="0"/>
                <w:bCs w:val="0"/>
                <w:sz w:val="18"/>
                <w:szCs w:val="18"/>
              </w:rPr>
              <w:t xml:space="preserve">, </w:t>
            </w:r>
            <w:r w:rsidR="00C60EE6" w:rsidRPr="00223AE9">
              <w:rPr>
                <w:rFonts w:ascii="Cambria" w:hAnsi="Cambria" w:cstheme="majorHAnsi"/>
                <w:b w:val="0"/>
                <w:bCs w:val="0"/>
                <w:sz w:val="18"/>
                <w:szCs w:val="18"/>
              </w:rPr>
              <w:t>Qld</w:t>
            </w:r>
            <w:r w:rsidR="00FB1314">
              <w:rPr>
                <w:rFonts w:ascii="Cambria" w:hAnsi="Cambria" w:cstheme="majorHAnsi"/>
                <w:b w:val="0"/>
                <w:bCs w:val="0"/>
                <w:sz w:val="18"/>
                <w:szCs w:val="18"/>
              </w:rPr>
              <w:t>, NSW</w:t>
            </w:r>
          </w:p>
        </w:tc>
        <w:tc>
          <w:tcPr>
            <w:tcW w:w="10093" w:type="dxa"/>
          </w:tcPr>
          <w:p w14:paraId="31EA0D0F" w14:textId="06E2BE6E" w:rsidR="0076582B" w:rsidRPr="009917D2" w:rsidRDefault="0076582B" w:rsidP="00764F29">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lang w:val="en-US"/>
              </w:rPr>
            </w:pPr>
            <w:r>
              <w:t xml:space="preserve"> </w:t>
            </w:r>
            <w:r w:rsidR="00AD3A06" w:rsidRPr="00AD3A06">
              <w:rPr>
                <w:rFonts w:ascii="Cambria" w:hAnsi="Cambria" w:cstheme="majorHAnsi"/>
                <w:sz w:val="18"/>
                <w:szCs w:val="18"/>
                <w:lang w:val="en-US"/>
              </w:rPr>
              <w:t xml:space="preserve">Arrangements have been established to account for the volume of held environmental water crossing the Queensland-NSW border. Queensland, </w:t>
            </w:r>
            <w:proofErr w:type="gramStart"/>
            <w:r w:rsidR="00AD3A06" w:rsidRPr="00AD3A06">
              <w:rPr>
                <w:rFonts w:ascii="Cambria" w:hAnsi="Cambria" w:cstheme="majorHAnsi"/>
                <w:sz w:val="18"/>
                <w:szCs w:val="18"/>
                <w:lang w:val="en-US"/>
              </w:rPr>
              <w:t>NSW</w:t>
            </w:r>
            <w:proofErr w:type="gramEnd"/>
            <w:r w:rsidR="00AD3A06" w:rsidRPr="00AD3A06">
              <w:rPr>
                <w:rFonts w:ascii="Cambria" w:hAnsi="Cambria" w:cstheme="majorHAnsi"/>
                <w:sz w:val="18"/>
                <w:szCs w:val="18"/>
                <w:lang w:val="en-US"/>
              </w:rPr>
              <w:t xml:space="preserve"> and the Commonwealth Environmental Water Office worked together to develop and successfully trial the accounting method during significant flows in early 2021. The States will now proceed to fully implement the arrangements according to an agreed procedure and protocols. </w:t>
            </w:r>
            <w:r w:rsidR="00C60EE6" w:rsidRPr="009917D2">
              <w:rPr>
                <w:rFonts w:ascii="Cambria" w:hAnsi="Cambria" w:cstheme="majorHAnsi"/>
                <w:sz w:val="18"/>
                <w:szCs w:val="18"/>
                <w:lang w:val="en-US"/>
              </w:rPr>
              <w:t xml:space="preserve"> </w:t>
            </w:r>
          </w:p>
        </w:tc>
        <w:tc>
          <w:tcPr>
            <w:tcW w:w="2424" w:type="dxa"/>
            <w:gridSpan w:val="2"/>
            <w:vMerge/>
          </w:tcPr>
          <w:p w14:paraId="7B03CE8A" w14:textId="77777777" w:rsidR="0076582B" w:rsidRPr="00C66F0F" w:rsidRDefault="0076582B" w:rsidP="00764F29">
            <w:pPr>
              <w:cnfStyle w:val="000000000000" w:firstRow="0" w:lastRow="0" w:firstColumn="0" w:lastColumn="0" w:oddVBand="0" w:evenVBand="0" w:oddHBand="0" w:evenHBand="0" w:firstRowFirstColumn="0" w:firstRowLastColumn="0" w:lastRowFirstColumn="0" w:lastRowLastColumn="0"/>
              <w:rPr>
                <w:rFonts w:ascii="Cambria" w:hAnsi="Cambria" w:cstheme="majorHAnsi"/>
                <w:sz w:val="18"/>
                <w:szCs w:val="18"/>
              </w:rPr>
            </w:pPr>
          </w:p>
        </w:tc>
      </w:tr>
    </w:tbl>
    <w:p w14:paraId="0BF57246" w14:textId="77777777" w:rsidR="00A80F63" w:rsidRPr="009917D2" w:rsidRDefault="00A80F63">
      <w:pPr>
        <w:rPr>
          <w:rFonts w:ascii="Cambria" w:hAnsi="Cambria"/>
          <w:sz w:val="18"/>
          <w:szCs w:val="18"/>
        </w:rPr>
      </w:pPr>
    </w:p>
    <w:p w14:paraId="1E51FC7F" w14:textId="41A383B5" w:rsidR="002F49B4" w:rsidRPr="00A3226D" w:rsidRDefault="00EA65F4">
      <w:pPr>
        <w:rPr>
          <w:rFonts w:cstheme="minorHAnsi"/>
          <w:sz w:val="18"/>
          <w:szCs w:val="18"/>
        </w:rPr>
      </w:pPr>
      <w:r w:rsidRPr="00A3226D">
        <w:rPr>
          <w:rFonts w:cstheme="minorHAnsi"/>
          <w:sz w:val="18"/>
          <w:szCs w:val="18"/>
        </w:rPr>
        <w:t xml:space="preserve">Notes: </w:t>
      </w:r>
      <w:r w:rsidR="00BD59AE" w:rsidRPr="00A3226D">
        <w:rPr>
          <w:rFonts w:cstheme="minorHAnsi"/>
          <w:sz w:val="18"/>
          <w:szCs w:val="18"/>
        </w:rPr>
        <w:t xml:space="preserve">BOC = Basin Officials Committee; </w:t>
      </w:r>
      <w:proofErr w:type="spellStart"/>
      <w:r w:rsidR="009C7A11" w:rsidRPr="00A3226D">
        <w:rPr>
          <w:rFonts w:cstheme="minorHAnsi"/>
          <w:sz w:val="18"/>
          <w:szCs w:val="18"/>
        </w:rPr>
        <w:t>Cth</w:t>
      </w:r>
      <w:proofErr w:type="spellEnd"/>
      <w:r w:rsidR="009C7A11" w:rsidRPr="00A3226D">
        <w:rPr>
          <w:rFonts w:cstheme="minorHAnsi"/>
          <w:sz w:val="18"/>
          <w:szCs w:val="18"/>
        </w:rPr>
        <w:t xml:space="preserve"> = Commonwealth; </w:t>
      </w:r>
      <w:r w:rsidRPr="00A3226D">
        <w:rPr>
          <w:rFonts w:cstheme="minorHAnsi"/>
          <w:sz w:val="18"/>
          <w:szCs w:val="18"/>
        </w:rPr>
        <w:t xml:space="preserve">DAWE = Department of Agriculture, </w:t>
      </w:r>
      <w:proofErr w:type="gramStart"/>
      <w:r w:rsidRPr="00A3226D">
        <w:rPr>
          <w:rFonts w:cstheme="minorHAnsi"/>
          <w:sz w:val="18"/>
          <w:szCs w:val="18"/>
        </w:rPr>
        <w:t>Water</w:t>
      </w:r>
      <w:proofErr w:type="gramEnd"/>
      <w:r w:rsidRPr="00A3226D">
        <w:rPr>
          <w:rFonts w:cstheme="minorHAnsi"/>
          <w:sz w:val="18"/>
          <w:szCs w:val="18"/>
        </w:rPr>
        <w:t xml:space="preserve"> and the Environment (</w:t>
      </w:r>
      <w:proofErr w:type="spellStart"/>
      <w:r w:rsidRPr="00A3226D">
        <w:rPr>
          <w:rFonts w:cstheme="minorHAnsi"/>
          <w:sz w:val="18"/>
          <w:szCs w:val="18"/>
        </w:rPr>
        <w:t>Cth</w:t>
      </w:r>
      <w:proofErr w:type="spellEnd"/>
      <w:r w:rsidRPr="00A3226D">
        <w:rPr>
          <w:rFonts w:cstheme="minorHAnsi"/>
          <w:sz w:val="18"/>
          <w:szCs w:val="18"/>
        </w:rPr>
        <w:t>); IGWC = Inspector-General of Water Compliance (</w:t>
      </w:r>
      <w:proofErr w:type="spellStart"/>
      <w:r w:rsidRPr="00A3226D">
        <w:rPr>
          <w:rFonts w:cstheme="minorHAnsi"/>
          <w:sz w:val="18"/>
          <w:szCs w:val="18"/>
        </w:rPr>
        <w:t>Cth</w:t>
      </w:r>
      <w:proofErr w:type="spellEnd"/>
      <w:r w:rsidRPr="00A3226D">
        <w:rPr>
          <w:rFonts w:cstheme="minorHAnsi"/>
          <w:sz w:val="18"/>
          <w:szCs w:val="18"/>
        </w:rPr>
        <w:t>); MDBA = Murray – Darling Basin Authority (</w:t>
      </w:r>
      <w:proofErr w:type="spellStart"/>
      <w:r w:rsidRPr="00A3226D">
        <w:rPr>
          <w:rFonts w:cstheme="minorHAnsi"/>
          <w:sz w:val="18"/>
          <w:szCs w:val="18"/>
        </w:rPr>
        <w:t>Cth</w:t>
      </w:r>
      <w:proofErr w:type="spellEnd"/>
      <w:r w:rsidRPr="00A3226D">
        <w:rPr>
          <w:rFonts w:cstheme="minorHAnsi"/>
          <w:sz w:val="18"/>
          <w:szCs w:val="18"/>
        </w:rPr>
        <w:t>)</w:t>
      </w:r>
      <w:r w:rsidR="000C4272" w:rsidRPr="000C4272">
        <w:rPr>
          <w:rFonts w:cstheme="minorHAnsi"/>
          <w:sz w:val="18"/>
          <w:szCs w:val="18"/>
        </w:rPr>
        <w:t>; NRAR = Natural Resources Access Regulator</w:t>
      </w:r>
      <w:r w:rsidR="009C7A11" w:rsidRPr="00A3226D">
        <w:rPr>
          <w:rFonts w:cstheme="minorHAnsi"/>
          <w:sz w:val="18"/>
          <w:szCs w:val="18"/>
        </w:rPr>
        <w:t>.</w:t>
      </w:r>
    </w:p>
    <w:p w14:paraId="3E4B0228" w14:textId="5E9E9511" w:rsidR="0025071D" w:rsidRPr="009917D2" w:rsidRDefault="0025071D">
      <w:pPr>
        <w:rPr>
          <w:rFonts w:ascii="Cambria" w:hAnsi="Cambria"/>
          <w:sz w:val="18"/>
          <w:szCs w:val="18"/>
        </w:rPr>
      </w:pPr>
    </w:p>
    <w:p w14:paraId="04C9A1EB" w14:textId="00AB8269" w:rsidR="00D04D03" w:rsidRPr="009917D2" w:rsidRDefault="00D04D03">
      <w:pPr>
        <w:rPr>
          <w:rFonts w:ascii="Cambria" w:hAnsi="Cambria"/>
          <w:sz w:val="18"/>
          <w:szCs w:val="18"/>
        </w:rPr>
      </w:pPr>
    </w:p>
    <w:sectPr w:rsidR="00D04D03" w:rsidRPr="009917D2" w:rsidSect="003945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674C" w14:textId="77777777" w:rsidR="00F35F7E" w:rsidRDefault="00F35F7E" w:rsidP="00AE7E37">
      <w:pPr>
        <w:spacing w:after="0" w:line="240" w:lineRule="auto"/>
      </w:pPr>
      <w:r>
        <w:separator/>
      </w:r>
    </w:p>
  </w:endnote>
  <w:endnote w:type="continuationSeparator" w:id="0">
    <w:p w14:paraId="44D572AD" w14:textId="77777777" w:rsidR="00F35F7E" w:rsidRDefault="00F35F7E" w:rsidP="00AE7E37">
      <w:pPr>
        <w:spacing w:after="0" w:line="240" w:lineRule="auto"/>
      </w:pPr>
      <w:r>
        <w:continuationSeparator/>
      </w:r>
    </w:p>
  </w:endnote>
  <w:endnote w:type="continuationNotice" w:id="1">
    <w:p w14:paraId="69E89005" w14:textId="77777777" w:rsidR="00F35F7E" w:rsidRDefault="00F35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59370"/>
      <w:docPartObj>
        <w:docPartGallery w:val="Page Numbers (Bottom of Page)"/>
        <w:docPartUnique/>
      </w:docPartObj>
    </w:sdtPr>
    <w:sdtEndPr>
      <w:rPr>
        <w:noProof/>
      </w:rPr>
    </w:sdtEndPr>
    <w:sdtContent>
      <w:p w14:paraId="54BE4334" w14:textId="5B97CCA1" w:rsidR="005B0032" w:rsidRDefault="007A2E4F">
        <w:pPr>
          <w:pStyle w:val="Footer"/>
          <w:jc w:val="center"/>
        </w:pPr>
      </w:p>
    </w:sdtContent>
  </w:sdt>
  <w:p w14:paraId="49F10848" w14:textId="77777777" w:rsidR="007658A1" w:rsidRDefault="00765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791083"/>
      <w:docPartObj>
        <w:docPartGallery w:val="Page Numbers (Bottom of Page)"/>
        <w:docPartUnique/>
      </w:docPartObj>
    </w:sdtPr>
    <w:sdtEndPr>
      <w:rPr>
        <w:noProof/>
      </w:rPr>
    </w:sdtEndPr>
    <w:sdtContent>
      <w:p w14:paraId="2DC57EC1" w14:textId="297A8046" w:rsidR="007B544A" w:rsidRDefault="007A2E4F">
        <w:pPr>
          <w:pStyle w:val="Footer"/>
          <w:jc w:val="center"/>
        </w:pPr>
      </w:p>
    </w:sdtContent>
  </w:sdt>
  <w:p w14:paraId="496445BB" w14:textId="77777777" w:rsidR="007B544A" w:rsidRDefault="007B5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473184"/>
      <w:docPartObj>
        <w:docPartGallery w:val="Page Numbers (Bottom of Page)"/>
        <w:docPartUnique/>
      </w:docPartObj>
    </w:sdtPr>
    <w:sdtEndPr>
      <w:rPr>
        <w:noProof/>
      </w:rPr>
    </w:sdtEndPr>
    <w:sdtContent>
      <w:p w14:paraId="253B91BC" w14:textId="6FE3AE9B" w:rsidR="005B0032" w:rsidRDefault="005B00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1B899" w14:textId="77777777" w:rsidR="005B0032" w:rsidRDefault="005B00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830650"/>
      <w:docPartObj>
        <w:docPartGallery w:val="Page Numbers (Bottom of Page)"/>
        <w:docPartUnique/>
      </w:docPartObj>
    </w:sdtPr>
    <w:sdtEndPr>
      <w:rPr>
        <w:noProof/>
      </w:rPr>
    </w:sdtEndPr>
    <w:sdtContent>
      <w:p w14:paraId="296A3AD7" w14:textId="5D538601" w:rsidR="005B0032" w:rsidRDefault="005B00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A135FC" w14:textId="77777777" w:rsidR="005B0032" w:rsidRDefault="005B0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64A7" w14:textId="77777777" w:rsidR="00F35F7E" w:rsidRDefault="00F35F7E" w:rsidP="00AE7E37">
      <w:pPr>
        <w:spacing w:after="0" w:line="240" w:lineRule="auto"/>
      </w:pPr>
      <w:r>
        <w:separator/>
      </w:r>
    </w:p>
  </w:footnote>
  <w:footnote w:type="continuationSeparator" w:id="0">
    <w:p w14:paraId="39605A49" w14:textId="77777777" w:rsidR="00F35F7E" w:rsidRDefault="00F35F7E" w:rsidP="00AE7E37">
      <w:pPr>
        <w:spacing w:after="0" w:line="240" w:lineRule="auto"/>
      </w:pPr>
      <w:r>
        <w:continuationSeparator/>
      </w:r>
    </w:p>
  </w:footnote>
  <w:footnote w:type="continuationNotice" w:id="1">
    <w:p w14:paraId="4C2A9141" w14:textId="77777777" w:rsidR="00F35F7E" w:rsidRDefault="00F35F7E">
      <w:pPr>
        <w:spacing w:after="0" w:line="240" w:lineRule="auto"/>
      </w:pPr>
    </w:p>
  </w:footnote>
  <w:footnote w:id="2">
    <w:p w14:paraId="1F8112C2" w14:textId="20BB8FFC" w:rsidR="00A21414" w:rsidRPr="00D2542A" w:rsidRDefault="00A21414">
      <w:pPr>
        <w:pStyle w:val="FootnoteText"/>
        <w:rPr>
          <w:rFonts w:cstheme="minorHAnsi"/>
          <w:sz w:val="18"/>
          <w:szCs w:val="18"/>
        </w:rPr>
      </w:pPr>
      <w:r>
        <w:rPr>
          <w:rStyle w:val="FootnoteReference"/>
        </w:rPr>
        <w:footnoteRef/>
      </w:r>
      <w:r>
        <w:t xml:space="preserve"> </w:t>
      </w:r>
      <w:r w:rsidR="009565FE" w:rsidRPr="00D2542A">
        <w:rPr>
          <w:rFonts w:cstheme="minorHAnsi"/>
          <w:sz w:val="18"/>
          <w:szCs w:val="18"/>
        </w:rPr>
        <w:t>This includes including 100% of Australia’s rice production, 80% of Australia’s grape production and 28% of Australia’s dairy production. Source: https://www.mdba.gov.au/importance-murray-darling-basin</w:t>
      </w:r>
    </w:p>
  </w:footnote>
  <w:footnote w:id="3">
    <w:p w14:paraId="3D47A6BE" w14:textId="77777777" w:rsidR="00C859E6" w:rsidRDefault="00C859E6" w:rsidP="00C859E6">
      <w:pPr>
        <w:pStyle w:val="FootnoteText"/>
      </w:pPr>
      <w:r w:rsidRPr="00E71F0C">
        <w:rPr>
          <w:rStyle w:val="FootnoteReference"/>
          <w:sz w:val="18"/>
          <w:szCs w:val="18"/>
        </w:rPr>
        <w:footnoteRef/>
      </w:r>
      <w:r w:rsidRPr="00E71F0C">
        <w:rPr>
          <w:sz w:val="18"/>
          <w:szCs w:val="18"/>
        </w:rPr>
        <w:t xml:space="preserve"> Interim Inspector-General of Murray–Darling Basin Water Resources</w:t>
      </w:r>
      <w:r>
        <w:rPr>
          <w:sz w:val="18"/>
          <w:szCs w:val="18"/>
        </w:rPr>
        <w:t xml:space="preserve"> 2020</w:t>
      </w:r>
      <w:r w:rsidRPr="00E71F0C">
        <w:rPr>
          <w:sz w:val="18"/>
          <w:szCs w:val="18"/>
        </w:rPr>
        <w:t xml:space="preserve">, </w:t>
      </w:r>
      <w:r w:rsidRPr="00E71F0C">
        <w:rPr>
          <w:i/>
          <w:sz w:val="18"/>
          <w:szCs w:val="18"/>
        </w:rPr>
        <w:t xml:space="preserve">Impact of lower inflows on state shares under the Murray–Darling Basin </w:t>
      </w:r>
      <w:r w:rsidRPr="00E71F0C">
        <w:rPr>
          <w:i/>
          <w:iCs/>
          <w:sz w:val="18"/>
          <w:szCs w:val="18"/>
        </w:rPr>
        <w:t xml:space="preserve">Agreement, </w:t>
      </w:r>
      <w:r w:rsidRPr="00E71F0C">
        <w:rPr>
          <w:sz w:val="18"/>
          <w:szCs w:val="18"/>
        </w:rPr>
        <w:t>p.</w:t>
      </w:r>
      <w:r>
        <w:rPr>
          <w:sz w:val="18"/>
          <w:szCs w:val="18"/>
        </w:rPr>
        <w:t> </w:t>
      </w:r>
      <w:r w:rsidRPr="00E71F0C">
        <w:rPr>
          <w:sz w:val="18"/>
          <w:szCs w:val="18"/>
        </w:rPr>
        <w:t>7.</w:t>
      </w:r>
    </w:p>
  </w:footnote>
  <w:footnote w:id="4">
    <w:p w14:paraId="42560601" w14:textId="302217AD" w:rsidR="003F5B7D" w:rsidRPr="00E62367" w:rsidRDefault="003F5B7D">
      <w:pPr>
        <w:pStyle w:val="FootnoteText"/>
        <w:rPr>
          <w:sz w:val="18"/>
          <w:szCs w:val="18"/>
        </w:rPr>
      </w:pPr>
      <w:r w:rsidRPr="00E62367">
        <w:rPr>
          <w:rStyle w:val="FootnoteReference"/>
          <w:sz w:val="18"/>
          <w:szCs w:val="18"/>
        </w:rPr>
        <w:footnoteRef/>
      </w:r>
      <w:r w:rsidRPr="00E62367">
        <w:rPr>
          <w:sz w:val="18"/>
          <w:szCs w:val="18"/>
        </w:rPr>
        <w:t xml:space="preserve"> As at </w:t>
      </w:r>
      <w:r w:rsidR="00A30FDA" w:rsidRPr="00E62367">
        <w:rPr>
          <w:sz w:val="18"/>
          <w:szCs w:val="18"/>
        </w:rPr>
        <w:t xml:space="preserve">30 September 2021. Source: </w:t>
      </w:r>
      <w:hyperlink r:id="rId1" w:history="1">
        <w:r w:rsidR="00A30FDA" w:rsidRPr="00E62367">
          <w:rPr>
            <w:rStyle w:val="Hyperlink"/>
            <w:sz w:val="18"/>
            <w:szCs w:val="18"/>
          </w:rPr>
          <w:t>https://www.mdba.gov.au/progress-water-recovery</w:t>
        </w:r>
      </w:hyperlink>
      <w:r w:rsidR="00A30FDA" w:rsidRPr="00E62367">
        <w:rPr>
          <w:sz w:val="18"/>
          <w:szCs w:val="18"/>
        </w:rPr>
        <w:t xml:space="preserve"> </w:t>
      </w:r>
    </w:p>
  </w:footnote>
  <w:footnote w:id="5">
    <w:p w14:paraId="1DC65FF2" w14:textId="77777777" w:rsidR="00A44617" w:rsidRPr="00B242A9" w:rsidRDefault="00A44617" w:rsidP="00A44617">
      <w:pPr>
        <w:pStyle w:val="FootnoteText"/>
        <w:rPr>
          <w:sz w:val="18"/>
          <w:szCs w:val="18"/>
        </w:rPr>
      </w:pPr>
      <w:r>
        <w:rPr>
          <w:rStyle w:val="FootnoteReference"/>
        </w:rPr>
        <w:footnoteRef/>
      </w:r>
      <w:r>
        <w:t xml:space="preserve"> </w:t>
      </w:r>
      <w:r w:rsidRPr="00B242A9">
        <w:rPr>
          <w:sz w:val="18"/>
          <w:szCs w:val="18"/>
        </w:rPr>
        <w:t xml:space="preserve">When averaged over the Murray–Darling Basin and New South Wales. Average rainfall for the Murray–Darling Basin was more than 100 mm lower than the second driest period (January 1965 to December 1967). Source: Bureau of Meterology, at </w:t>
      </w:r>
      <w:hyperlink r:id="rId2" w:history="1">
        <w:r w:rsidRPr="00B242A9">
          <w:rPr>
            <w:rStyle w:val="Hyperlink"/>
            <w:sz w:val="18"/>
            <w:szCs w:val="18"/>
          </w:rPr>
          <w:t>http://www.bom.gov.au/climate/drought/knowledge-centre/previous-droughts.shtml</w:t>
        </w:r>
      </w:hyperlink>
      <w:r w:rsidRPr="00B242A9">
        <w:rPr>
          <w:sz w:val="18"/>
          <w:szCs w:val="18"/>
        </w:rPr>
        <w:t xml:space="preserve"> </w:t>
      </w:r>
    </w:p>
  </w:footnote>
  <w:footnote w:id="6">
    <w:p w14:paraId="77BBA8A6" w14:textId="09893D54" w:rsidR="00F8739E" w:rsidRPr="00D2542A" w:rsidRDefault="00F8739E">
      <w:pPr>
        <w:pStyle w:val="FootnoteText"/>
        <w:rPr>
          <w:rFonts w:cstheme="minorHAnsi"/>
          <w:sz w:val="18"/>
          <w:szCs w:val="18"/>
        </w:rPr>
      </w:pPr>
      <w:r w:rsidRPr="00D2542A">
        <w:rPr>
          <w:rStyle w:val="FootnoteReference"/>
          <w:rFonts w:cstheme="minorHAnsi"/>
          <w:sz w:val="18"/>
          <w:szCs w:val="18"/>
        </w:rPr>
        <w:footnoteRef/>
      </w:r>
      <w:r w:rsidRPr="00D2542A">
        <w:rPr>
          <w:rFonts w:cstheme="minorHAnsi"/>
          <w:sz w:val="18"/>
          <w:szCs w:val="18"/>
        </w:rPr>
        <w:t xml:space="preserve"> Aither, </w:t>
      </w:r>
      <w:r w:rsidR="008D6159" w:rsidRPr="00D2542A">
        <w:rPr>
          <w:rFonts w:cstheme="minorHAnsi"/>
          <w:i/>
          <w:sz w:val="18"/>
          <w:szCs w:val="18"/>
        </w:rPr>
        <w:t>Water Markets Report 2020-21</w:t>
      </w:r>
      <w:r w:rsidR="008D6159" w:rsidRPr="00D2542A">
        <w:rPr>
          <w:rFonts w:cstheme="minorHAnsi"/>
          <w:sz w:val="18"/>
          <w:szCs w:val="18"/>
        </w:rPr>
        <w:t>, p.5.</w:t>
      </w:r>
    </w:p>
  </w:footnote>
  <w:footnote w:id="7">
    <w:p w14:paraId="4A0FFD40" w14:textId="77777777" w:rsidR="00C12036" w:rsidRPr="007B2CF1" w:rsidRDefault="00C12036" w:rsidP="00C12036">
      <w:pPr>
        <w:pStyle w:val="FootnoteText"/>
        <w:rPr>
          <w:sz w:val="18"/>
          <w:szCs w:val="18"/>
        </w:rPr>
      </w:pPr>
      <w:r w:rsidRPr="007B2CF1">
        <w:rPr>
          <w:rStyle w:val="FootnoteReference"/>
          <w:sz w:val="18"/>
          <w:szCs w:val="18"/>
        </w:rPr>
        <w:footnoteRef/>
      </w:r>
      <w:r w:rsidRPr="007B2CF1">
        <w:rPr>
          <w:sz w:val="18"/>
          <w:szCs w:val="18"/>
        </w:rPr>
        <w:t xml:space="preserve"> </w:t>
      </w:r>
      <w:r>
        <w:rPr>
          <w:sz w:val="18"/>
          <w:szCs w:val="18"/>
        </w:rPr>
        <w:t>ACCC 2021</w:t>
      </w:r>
      <w:r w:rsidRPr="007B2CF1">
        <w:rPr>
          <w:sz w:val="18"/>
          <w:szCs w:val="18"/>
        </w:rPr>
        <w:t>,</w:t>
      </w:r>
      <w:r>
        <w:rPr>
          <w:sz w:val="18"/>
          <w:szCs w:val="18"/>
        </w:rPr>
        <w:t xml:space="preserve"> </w:t>
      </w:r>
      <w:r>
        <w:rPr>
          <w:i/>
          <w:iCs/>
          <w:sz w:val="18"/>
          <w:szCs w:val="18"/>
        </w:rPr>
        <w:t>Murray–Darling Basin water markets inquiry – final report</w:t>
      </w:r>
      <w:r>
        <w:rPr>
          <w:sz w:val="18"/>
          <w:szCs w:val="18"/>
        </w:rPr>
        <w:t>, p. 1.</w:t>
      </w:r>
      <w:r w:rsidRPr="007B2CF1">
        <w:rPr>
          <w:sz w:val="18"/>
          <w:szCs w:val="18"/>
        </w:rPr>
        <w:t xml:space="preserve"> </w:t>
      </w:r>
    </w:p>
  </w:footnote>
  <w:footnote w:id="8">
    <w:p w14:paraId="5AE4E709" w14:textId="17498858" w:rsidR="0099515D" w:rsidRDefault="0099515D">
      <w:pPr>
        <w:pStyle w:val="FootnoteText"/>
      </w:pPr>
      <w:r w:rsidRPr="00C66F0F">
        <w:rPr>
          <w:rStyle w:val="FootnoteReference"/>
          <w:sz w:val="18"/>
          <w:szCs w:val="18"/>
        </w:rPr>
        <w:footnoteRef/>
      </w:r>
      <w:r w:rsidRPr="00C66F0F">
        <w:rPr>
          <w:sz w:val="18"/>
          <w:szCs w:val="18"/>
        </w:rPr>
        <w:t xml:space="preserve"> </w:t>
      </w:r>
      <w:r w:rsidR="00B30364">
        <w:rPr>
          <w:sz w:val="18"/>
          <w:szCs w:val="18"/>
        </w:rPr>
        <w:t>During the course of its inquiry into Murray–Darling Basin water markets, the</w:t>
      </w:r>
      <w:r w:rsidRPr="00C66F0F">
        <w:rPr>
          <w:sz w:val="18"/>
          <w:szCs w:val="18"/>
        </w:rPr>
        <w:t xml:space="preserve"> ACCC</w:t>
      </w:r>
      <w:r w:rsidR="004234D9">
        <w:rPr>
          <w:sz w:val="18"/>
          <w:szCs w:val="18"/>
        </w:rPr>
        <w:t xml:space="preserve"> compiled a database of over 8 million </w:t>
      </w:r>
      <w:r w:rsidR="00A14D86">
        <w:rPr>
          <w:sz w:val="18"/>
          <w:szCs w:val="18"/>
        </w:rPr>
        <w:t xml:space="preserve">water market and water use </w:t>
      </w:r>
      <w:r w:rsidR="00B30364">
        <w:rPr>
          <w:sz w:val="18"/>
          <w:szCs w:val="18"/>
        </w:rPr>
        <w:t>transactions</w:t>
      </w:r>
      <w:r w:rsidR="007D0C47">
        <w:rPr>
          <w:sz w:val="18"/>
          <w:szCs w:val="18"/>
        </w:rPr>
        <w:t xml:space="preserve"> from 2012–2019</w:t>
      </w:r>
      <w:r w:rsidR="00B30364">
        <w:rPr>
          <w:sz w:val="18"/>
          <w:szCs w:val="18"/>
        </w:rPr>
        <w:t>.</w:t>
      </w:r>
      <w:r w:rsidR="004A706E">
        <w:rPr>
          <w:sz w:val="18"/>
          <w:szCs w:val="18"/>
        </w:rPr>
        <w:t xml:space="preserve"> </w:t>
      </w:r>
      <w:r w:rsidR="009E1AA6">
        <w:rPr>
          <w:sz w:val="18"/>
          <w:szCs w:val="18"/>
        </w:rPr>
        <w:t>Water market transactions were collected from a variety of public and private trade service providers, and a trade may have been represented multiple times in the database depending on its source and destination zones and whether intermediaries were used to facilitate the trade</w:t>
      </w:r>
      <w:r w:rsidR="001A1A70">
        <w:rPr>
          <w:sz w:val="18"/>
          <w:szCs w:val="18"/>
        </w:rPr>
        <w:t>.</w:t>
      </w:r>
    </w:p>
  </w:footnote>
  <w:footnote w:id="9">
    <w:p w14:paraId="07E8F08E" w14:textId="0569261D" w:rsidR="00AC6500" w:rsidRPr="005E2716" w:rsidRDefault="00AC6500">
      <w:pPr>
        <w:pStyle w:val="FootnoteText"/>
        <w:rPr>
          <w:rFonts w:cstheme="minorHAnsi"/>
        </w:rPr>
      </w:pPr>
      <w:r>
        <w:rPr>
          <w:rStyle w:val="FootnoteReference"/>
        </w:rPr>
        <w:footnoteRef/>
      </w:r>
      <w:r>
        <w:t xml:space="preserve"> </w:t>
      </w:r>
      <w:r w:rsidR="00500239" w:rsidRPr="00161D74">
        <w:rPr>
          <w:rStyle w:val="normaltextrun"/>
          <w:rFonts w:cstheme="minorHAnsi"/>
          <w:sz w:val="18"/>
          <w:szCs w:val="18"/>
          <w:lang w:val="en-US"/>
        </w:rPr>
        <w:t>Delivery risk is the risk that water cannot be delivered according to demand. It can a</w:t>
      </w:r>
      <w:r w:rsidR="00500239" w:rsidRPr="00CB3677">
        <w:rPr>
          <w:rStyle w:val="normaltextrun"/>
          <w:rFonts w:cstheme="minorHAnsi"/>
          <w:sz w:val="18"/>
          <w:szCs w:val="18"/>
          <w:lang w:val="en-US"/>
        </w:rPr>
        <w:t>rise from a delivery shortfall</w:t>
      </w:r>
      <w:r w:rsidR="00500239" w:rsidRPr="00CB3677">
        <w:rPr>
          <w:rFonts w:cstheme="minorHAnsi"/>
          <w:sz w:val="18"/>
          <w:szCs w:val="18"/>
        </w:rPr>
        <w:t xml:space="preserve"> </w:t>
      </w:r>
      <w:r w:rsidR="00032D11" w:rsidRPr="00032D11">
        <w:rPr>
          <w:rStyle w:val="normaltextrun"/>
          <w:rFonts w:cstheme="minorHAnsi"/>
          <w:sz w:val="18"/>
          <w:szCs w:val="18"/>
          <w:lang w:val="en-US"/>
        </w:rPr>
        <w:t>(occurring when water cannot be delivered according to demand due to the long travel time between storages and the point of extraction)</w:t>
      </w:r>
      <w:r w:rsidR="00032D11">
        <w:rPr>
          <w:rStyle w:val="normaltextrun"/>
          <w:rFonts w:cstheme="minorHAnsi"/>
          <w:sz w:val="18"/>
          <w:szCs w:val="18"/>
          <w:lang w:val="en-US"/>
        </w:rPr>
        <w:t xml:space="preserve"> </w:t>
      </w:r>
      <w:r w:rsidR="00500239" w:rsidRPr="00E56C88">
        <w:rPr>
          <w:rStyle w:val="normaltextrun"/>
          <w:rFonts w:cstheme="minorHAnsi"/>
          <w:sz w:val="18"/>
          <w:szCs w:val="18"/>
          <w:lang w:val="en-US"/>
        </w:rPr>
        <w:t>or a system shortfal</w:t>
      </w:r>
      <w:r w:rsidR="00500239" w:rsidRPr="00F15EFD">
        <w:rPr>
          <w:rStyle w:val="normaltextrun"/>
          <w:rFonts w:cstheme="minorHAnsi"/>
          <w:sz w:val="18"/>
          <w:szCs w:val="18"/>
          <w:lang w:val="en-US"/>
        </w:rPr>
        <w:t>l (where there is insufficient water available to meet total system demand)</w:t>
      </w:r>
      <w:r w:rsidR="00500239" w:rsidRPr="005E2716">
        <w:rPr>
          <w:rFonts w:cstheme="minorHAnsi"/>
          <w:sz w:val="18"/>
          <w:szCs w:val="18"/>
        </w:rPr>
        <w:t>.</w:t>
      </w:r>
    </w:p>
  </w:footnote>
  <w:footnote w:id="10">
    <w:p w14:paraId="17A5DDC2" w14:textId="72D6C540" w:rsidR="00E56C88" w:rsidRDefault="00E56C88">
      <w:pPr>
        <w:pStyle w:val="FootnoteText"/>
      </w:pPr>
      <w:r>
        <w:rPr>
          <w:rStyle w:val="FootnoteReference"/>
        </w:rPr>
        <w:footnoteRef/>
      </w:r>
      <w:r>
        <w:t xml:space="preserve"> </w:t>
      </w:r>
      <w:r w:rsidRPr="003D584A">
        <w:rPr>
          <w:sz w:val="18"/>
          <w:szCs w:val="18"/>
        </w:rPr>
        <w:t>While Victoria has a well-established annual audit of water brokers’ use of the Victorian Water Register’s Broker Portal, its scope is limited to the preparation and submission of documents for approval of trade within Victoria.</w:t>
      </w:r>
    </w:p>
  </w:footnote>
  <w:footnote w:id="11">
    <w:p w14:paraId="322CD2A2" w14:textId="43E5BCAE" w:rsidR="00A43DF9" w:rsidRDefault="00A43DF9" w:rsidP="00A43DF9">
      <w:pPr>
        <w:pStyle w:val="FootnoteText"/>
      </w:pPr>
      <w:r>
        <w:rPr>
          <w:rStyle w:val="FootnoteReference"/>
        </w:rPr>
        <w:footnoteRef/>
      </w:r>
      <w:r>
        <w:t xml:space="preserve"> </w:t>
      </w:r>
      <w:r w:rsidRPr="003D584A">
        <w:rPr>
          <w:sz w:val="18"/>
          <w:szCs w:val="18"/>
        </w:rPr>
        <w:t>Note that this differs from the licencing option which was the subject of a 2014 COAG consultation RIS on options for regulation of water market intermediaries. At that time, governments opted to trial an industry-led voluntary code of conduct approach (i.e. the AWBA Voluntary Code of Conduct), due to concerns about regulatory burden and an absence of evidence that a lack of regulation was causing significant concerns for traders.</w:t>
      </w:r>
      <w:r w:rsidR="00AC144C" w:rsidRPr="003D584A">
        <w:rPr>
          <w:sz w:val="18"/>
          <w:szCs w:val="18"/>
        </w:rPr>
        <w:t xml:space="preserve"> </w:t>
      </w:r>
      <w:r w:rsidR="005E0F6A" w:rsidRPr="003D584A">
        <w:rPr>
          <w:sz w:val="18"/>
          <w:szCs w:val="18"/>
        </w:rPr>
        <w:t>The ACCC considered whether a licensing scheme (with the ability to revoke a licence) would be an appropriate regulatory tool, however it found that licensing would impose a disproportionate regulatory burden on intermediaries, and therefore didn’t recommend this option.</w:t>
      </w:r>
    </w:p>
  </w:footnote>
  <w:footnote w:id="12">
    <w:p w14:paraId="430DCC06" w14:textId="2DE7E3C1" w:rsidR="005B6109" w:rsidRPr="00A3226D" w:rsidRDefault="005B6109">
      <w:pPr>
        <w:pStyle w:val="FootnoteText"/>
        <w:rPr>
          <w:rFonts w:cstheme="minorHAnsi"/>
          <w:sz w:val="18"/>
          <w:szCs w:val="18"/>
        </w:rPr>
      </w:pPr>
      <w:r>
        <w:rPr>
          <w:rStyle w:val="FootnoteReference"/>
        </w:rPr>
        <w:footnoteRef/>
      </w:r>
      <w:r>
        <w:t xml:space="preserve"> </w:t>
      </w:r>
      <w:r w:rsidRPr="00A3226D">
        <w:rPr>
          <w:rFonts w:cstheme="minorHAnsi"/>
          <w:sz w:val="18"/>
          <w:szCs w:val="18"/>
        </w:rPr>
        <w:t xml:space="preserve">An exception is in </w:t>
      </w:r>
      <w:r w:rsidR="009E475B" w:rsidRPr="00A3226D">
        <w:rPr>
          <w:rFonts w:cstheme="minorHAnsi"/>
          <w:sz w:val="18"/>
          <w:szCs w:val="18"/>
        </w:rPr>
        <w:t>respect of permanent water trades</w:t>
      </w:r>
      <w:r w:rsidR="00EE3CBE">
        <w:rPr>
          <w:rFonts w:cstheme="minorHAnsi"/>
          <w:sz w:val="18"/>
          <w:szCs w:val="18"/>
        </w:rPr>
        <w:t xml:space="preserve">, </w:t>
      </w:r>
      <w:r w:rsidR="00EE3CBE" w:rsidRPr="00EE3CBE">
        <w:rPr>
          <w:rFonts w:cstheme="minorHAnsi"/>
          <w:sz w:val="18"/>
          <w:szCs w:val="18"/>
        </w:rPr>
        <w:t>including water trades</w:t>
      </w:r>
      <w:r w:rsidR="009E475B" w:rsidRPr="00A3226D">
        <w:rPr>
          <w:rFonts w:cstheme="minorHAnsi"/>
          <w:sz w:val="18"/>
          <w:szCs w:val="18"/>
        </w:rPr>
        <w:t xml:space="preserve"> associated with property transactions in </w:t>
      </w:r>
      <w:r w:rsidRPr="00A3226D">
        <w:rPr>
          <w:rFonts w:cstheme="minorHAnsi"/>
          <w:sz w:val="18"/>
          <w:szCs w:val="18"/>
        </w:rPr>
        <w:t>Queensland</w:t>
      </w:r>
      <w:r w:rsidR="009E475B" w:rsidRPr="00A3226D">
        <w:rPr>
          <w:rFonts w:cstheme="minorHAnsi"/>
          <w:sz w:val="18"/>
          <w:szCs w:val="18"/>
        </w:rPr>
        <w:t xml:space="preserve">. In that circumstance, </w:t>
      </w:r>
      <w:r w:rsidR="007734D4" w:rsidRPr="00A3226D">
        <w:rPr>
          <w:rFonts w:cstheme="minorHAnsi"/>
          <w:sz w:val="18"/>
          <w:szCs w:val="18"/>
        </w:rPr>
        <w:t xml:space="preserve">this role is assigned to </w:t>
      </w:r>
      <w:r w:rsidR="00597EE1" w:rsidRPr="00597EE1">
        <w:rPr>
          <w:rFonts w:cstheme="minorHAnsi"/>
          <w:sz w:val="18"/>
          <w:szCs w:val="18"/>
        </w:rPr>
        <w:t>Titles Queensland and the Office of State Revenue</w:t>
      </w:r>
      <w:r w:rsidR="007734D4" w:rsidRPr="00A3226D">
        <w:rPr>
          <w:rFonts w:cstheme="minorHAnsi"/>
          <w:sz w:val="18"/>
          <w:szCs w:val="18"/>
        </w:rPr>
        <w:t>.</w:t>
      </w:r>
      <w:r w:rsidRPr="00A3226D">
        <w:rPr>
          <w:rFonts w:cstheme="minorHAnsi"/>
          <w:sz w:val="18"/>
          <w:szCs w:val="18"/>
        </w:rPr>
        <w:t xml:space="preserve"> </w:t>
      </w:r>
    </w:p>
  </w:footnote>
  <w:footnote w:id="13">
    <w:p w14:paraId="7B45AA79" w14:textId="77777777" w:rsidR="00446116" w:rsidRPr="00A3226D" w:rsidRDefault="00446116" w:rsidP="00446116">
      <w:pPr>
        <w:pStyle w:val="FootnoteText"/>
        <w:rPr>
          <w:sz w:val="18"/>
          <w:szCs w:val="18"/>
        </w:rPr>
      </w:pPr>
      <w:r>
        <w:rPr>
          <w:rStyle w:val="FootnoteReference"/>
        </w:rPr>
        <w:footnoteRef/>
      </w:r>
      <w:r>
        <w:t xml:space="preserve"> </w:t>
      </w:r>
      <w:r w:rsidRPr="00A3226D">
        <w:rPr>
          <w:sz w:val="18"/>
          <w:szCs w:val="18"/>
        </w:rPr>
        <w:t xml:space="preserve">Note that Victoria implemented interim restrictions on tagged use in line with trade restrictions, and on November 20201 announced that these restrictions would become long-term. See </w:t>
      </w:r>
      <w:hyperlink r:id="rId3" w:history="1">
        <w:r w:rsidRPr="00A3226D">
          <w:rPr>
            <w:rStyle w:val="Hyperlink"/>
            <w:i/>
            <w:sz w:val="18"/>
            <w:szCs w:val="18"/>
          </w:rPr>
          <w:t>Restrictions on tagged use to become long-term from 30 November 2021 - Water Register</w:t>
        </w:r>
      </w:hyperlink>
      <w:r w:rsidRPr="00A3226D">
        <w:rPr>
          <w:sz w:val="18"/>
          <w:szCs w:val="18"/>
        </w:rPr>
        <w:t>, accessed November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E8EF" w14:textId="4298FF2F" w:rsidR="00AE7E37" w:rsidRPr="00F15EFD" w:rsidRDefault="00C337A6" w:rsidP="00F15EFD">
    <w:pPr>
      <w:pStyle w:val="Header"/>
      <w:jc w:val="center"/>
      <w:rPr>
        <w:rFonts w:cstheme="minorHAnsi"/>
        <w:sz w:val="20"/>
        <w:szCs w:val="20"/>
      </w:rPr>
    </w:pPr>
    <w:r w:rsidRPr="00F15EFD">
      <w:rPr>
        <w:rFonts w:cstheme="minorHAnsi"/>
        <w:sz w:val="20"/>
        <w:szCs w:val="20"/>
      </w:rPr>
      <w:t>Water Market Reform Roadmap—December Advice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6437" w14:textId="77777777" w:rsidR="00F74601" w:rsidRDefault="00F74601" w:rsidP="00F74601">
    <w:pPr>
      <w:jc w:val="center"/>
    </w:pPr>
    <w:r>
      <w:t>MURRAY–DARLING BASIN WATER MARKET REFORM</w:t>
    </w:r>
  </w:p>
  <w:p w14:paraId="45F52FCF" w14:textId="77777777" w:rsidR="00E85743" w:rsidRDefault="00E85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3789" w14:textId="626EE591" w:rsidR="00865858" w:rsidRPr="009D55C9" w:rsidRDefault="009D55C9" w:rsidP="009D55C9">
    <w:pPr>
      <w:pStyle w:val="Header"/>
      <w:jc w:val="center"/>
      <w:rPr>
        <w:rFonts w:cstheme="minorHAnsi"/>
        <w:sz w:val="20"/>
        <w:szCs w:val="20"/>
      </w:rPr>
    </w:pPr>
    <w:r w:rsidRPr="00F15EFD">
      <w:rPr>
        <w:rFonts w:cstheme="minorHAnsi"/>
        <w:sz w:val="20"/>
        <w:szCs w:val="20"/>
      </w:rPr>
      <w:t>Water Market Reform Roadmap—December Advice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0368AC"/>
    <w:multiLevelType w:val="hybridMultilevel"/>
    <w:tmpl w:val="D5BC3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45223"/>
    <w:multiLevelType w:val="hybridMultilevel"/>
    <w:tmpl w:val="AD6EFAC8"/>
    <w:lvl w:ilvl="0" w:tplc="7FEAD512">
      <w:start w:val="1"/>
      <w:numFmt w:val="bullet"/>
      <w:lvlText w:val=""/>
      <w:lvlJc w:val="left"/>
      <w:pPr>
        <w:ind w:left="720" w:hanging="360"/>
      </w:pPr>
      <w:rPr>
        <w:rFonts w:ascii="Symbol" w:hAnsi="Symbol" w:hint="default"/>
      </w:rPr>
    </w:lvl>
    <w:lvl w:ilvl="1" w:tplc="B596EB00">
      <w:start w:val="1"/>
      <w:numFmt w:val="bullet"/>
      <w:lvlText w:val="o"/>
      <w:lvlJc w:val="left"/>
      <w:pPr>
        <w:ind w:left="1440" w:hanging="360"/>
      </w:pPr>
      <w:rPr>
        <w:rFonts w:ascii="Courier New" w:hAnsi="Courier New" w:hint="default"/>
      </w:rPr>
    </w:lvl>
    <w:lvl w:ilvl="2" w:tplc="02C249D6">
      <w:start w:val="1"/>
      <w:numFmt w:val="bullet"/>
      <w:lvlText w:val=""/>
      <w:lvlJc w:val="left"/>
      <w:pPr>
        <w:ind w:left="2160" w:hanging="360"/>
      </w:pPr>
      <w:rPr>
        <w:rFonts w:ascii="Wingdings" w:hAnsi="Wingdings" w:hint="default"/>
      </w:rPr>
    </w:lvl>
    <w:lvl w:ilvl="3" w:tplc="E4F8BBBC">
      <w:start w:val="1"/>
      <w:numFmt w:val="bullet"/>
      <w:lvlText w:val=""/>
      <w:lvlJc w:val="left"/>
      <w:pPr>
        <w:ind w:left="2880" w:hanging="360"/>
      </w:pPr>
      <w:rPr>
        <w:rFonts w:ascii="Symbol" w:hAnsi="Symbol" w:hint="default"/>
      </w:rPr>
    </w:lvl>
    <w:lvl w:ilvl="4" w:tplc="9362B7FE">
      <w:start w:val="1"/>
      <w:numFmt w:val="bullet"/>
      <w:lvlText w:val="o"/>
      <w:lvlJc w:val="left"/>
      <w:pPr>
        <w:ind w:left="3600" w:hanging="360"/>
      </w:pPr>
      <w:rPr>
        <w:rFonts w:ascii="Courier New" w:hAnsi="Courier New" w:hint="default"/>
      </w:rPr>
    </w:lvl>
    <w:lvl w:ilvl="5" w:tplc="433EFBE2">
      <w:start w:val="1"/>
      <w:numFmt w:val="bullet"/>
      <w:lvlText w:val=""/>
      <w:lvlJc w:val="left"/>
      <w:pPr>
        <w:ind w:left="4320" w:hanging="360"/>
      </w:pPr>
      <w:rPr>
        <w:rFonts w:ascii="Wingdings" w:hAnsi="Wingdings" w:hint="default"/>
      </w:rPr>
    </w:lvl>
    <w:lvl w:ilvl="6" w:tplc="BC2EC0BA">
      <w:start w:val="1"/>
      <w:numFmt w:val="bullet"/>
      <w:lvlText w:val=""/>
      <w:lvlJc w:val="left"/>
      <w:pPr>
        <w:ind w:left="5040" w:hanging="360"/>
      </w:pPr>
      <w:rPr>
        <w:rFonts w:ascii="Symbol" w:hAnsi="Symbol" w:hint="default"/>
      </w:rPr>
    </w:lvl>
    <w:lvl w:ilvl="7" w:tplc="39A03C3C">
      <w:start w:val="1"/>
      <w:numFmt w:val="bullet"/>
      <w:lvlText w:val="o"/>
      <w:lvlJc w:val="left"/>
      <w:pPr>
        <w:ind w:left="5760" w:hanging="360"/>
      </w:pPr>
      <w:rPr>
        <w:rFonts w:ascii="Courier New" w:hAnsi="Courier New" w:hint="default"/>
      </w:rPr>
    </w:lvl>
    <w:lvl w:ilvl="8" w:tplc="57D88D84">
      <w:start w:val="1"/>
      <w:numFmt w:val="bullet"/>
      <w:lvlText w:val=""/>
      <w:lvlJc w:val="left"/>
      <w:pPr>
        <w:ind w:left="6480" w:hanging="360"/>
      </w:pPr>
      <w:rPr>
        <w:rFonts w:ascii="Wingdings" w:hAnsi="Wingdings" w:hint="default"/>
      </w:rPr>
    </w:lvl>
  </w:abstractNum>
  <w:abstractNum w:abstractNumId="3" w15:restartNumberingAfterBreak="0">
    <w:nsid w:val="0E893FE3"/>
    <w:multiLevelType w:val="hybridMultilevel"/>
    <w:tmpl w:val="3E4E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4647F"/>
    <w:multiLevelType w:val="hybridMultilevel"/>
    <w:tmpl w:val="A984B376"/>
    <w:lvl w:ilvl="0" w:tplc="0D48D0F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DF789A"/>
    <w:multiLevelType w:val="hybridMultilevel"/>
    <w:tmpl w:val="1B365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0D51E2"/>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C2F462F"/>
    <w:multiLevelType w:val="hybridMultilevel"/>
    <w:tmpl w:val="53D216C0"/>
    <w:lvl w:ilvl="0" w:tplc="15C0B55E">
      <w:start w:val="6"/>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1B308C"/>
    <w:multiLevelType w:val="hybridMultilevel"/>
    <w:tmpl w:val="CFEACC8C"/>
    <w:lvl w:ilvl="0" w:tplc="3FFE467A">
      <w:start w:val="1"/>
      <w:numFmt w:val="lowerLetter"/>
      <w:lvlText w:val="(%1)"/>
      <w:lvlJc w:val="left"/>
      <w:pPr>
        <w:ind w:left="1440" w:hanging="360"/>
      </w:pPr>
      <w:rPr>
        <w:rFonts w:hint="default"/>
        <w:i w:val="0"/>
        <w:iCs w:val="0"/>
      </w:rPr>
    </w:lvl>
    <w:lvl w:ilvl="1" w:tplc="4344F3A0" w:tentative="1">
      <w:start w:val="1"/>
      <w:numFmt w:val="lowerLetter"/>
      <w:lvlText w:val="%2."/>
      <w:lvlJc w:val="left"/>
      <w:pPr>
        <w:ind w:left="2160" w:hanging="360"/>
      </w:pPr>
    </w:lvl>
    <w:lvl w:ilvl="2" w:tplc="FC90BE7C" w:tentative="1">
      <w:start w:val="1"/>
      <w:numFmt w:val="lowerRoman"/>
      <w:lvlText w:val="%3."/>
      <w:lvlJc w:val="right"/>
      <w:pPr>
        <w:ind w:left="2880" w:hanging="180"/>
      </w:pPr>
    </w:lvl>
    <w:lvl w:ilvl="3" w:tplc="1ACA24F2" w:tentative="1">
      <w:start w:val="1"/>
      <w:numFmt w:val="decimal"/>
      <w:lvlText w:val="%4."/>
      <w:lvlJc w:val="left"/>
      <w:pPr>
        <w:ind w:left="3600" w:hanging="360"/>
      </w:pPr>
    </w:lvl>
    <w:lvl w:ilvl="4" w:tplc="AB6CCFF0" w:tentative="1">
      <w:start w:val="1"/>
      <w:numFmt w:val="lowerLetter"/>
      <w:lvlText w:val="%5."/>
      <w:lvlJc w:val="left"/>
      <w:pPr>
        <w:ind w:left="4320" w:hanging="360"/>
      </w:pPr>
    </w:lvl>
    <w:lvl w:ilvl="5" w:tplc="C1627D36" w:tentative="1">
      <w:start w:val="1"/>
      <w:numFmt w:val="lowerRoman"/>
      <w:lvlText w:val="%6."/>
      <w:lvlJc w:val="right"/>
      <w:pPr>
        <w:ind w:left="5040" w:hanging="180"/>
      </w:pPr>
    </w:lvl>
    <w:lvl w:ilvl="6" w:tplc="FE9C2C68" w:tentative="1">
      <w:start w:val="1"/>
      <w:numFmt w:val="decimal"/>
      <w:lvlText w:val="%7."/>
      <w:lvlJc w:val="left"/>
      <w:pPr>
        <w:ind w:left="5760" w:hanging="360"/>
      </w:pPr>
    </w:lvl>
    <w:lvl w:ilvl="7" w:tplc="FE8A9898" w:tentative="1">
      <w:start w:val="1"/>
      <w:numFmt w:val="lowerLetter"/>
      <w:lvlText w:val="%8."/>
      <w:lvlJc w:val="left"/>
      <w:pPr>
        <w:ind w:left="6480" w:hanging="360"/>
      </w:pPr>
    </w:lvl>
    <w:lvl w:ilvl="8" w:tplc="872C24D4" w:tentative="1">
      <w:start w:val="1"/>
      <w:numFmt w:val="lowerRoman"/>
      <w:lvlText w:val="%9."/>
      <w:lvlJc w:val="right"/>
      <w:pPr>
        <w:ind w:left="7200" w:hanging="180"/>
      </w:pPr>
    </w:lvl>
  </w:abstractNum>
  <w:abstractNum w:abstractNumId="9" w15:restartNumberingAfterBreak="0">
    <w:nsid w:val="2D8F148B"/>
    <w:multiLevelType w:val="hybridMultilevel"/>
    <w:tmpl w:val="2C2AC3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D50ED"/>
    <w:multiLevelType w:val="hybridMultilevel"/>
    <w:tmpl w:val="CEE6F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CA10A1"/>
    <w:multiLevelType w:val="hybridMultilevel"/>
    <w:tmpl w:val="323A42E0"/>
    <w:lvl w:ilvl="0" w:tplc="0C090001">
      <w:start w:val="1"/>
      <w:numFmt w:val="bullet"/>
      <w:lvlText w:val=""/>
      <w:lvlJc w:val="left"/>
      <w:pPr>
        <w:ind w:left="1440" w:hanging="360"/>
      </w:pPr>
      <w:rPr>
        <w:rFonts w:ascii="Symbol" w:hAnsi="Symbol" w:hint="default"/>
        <w:i w:val="0"/>
        <w:iCs w:val="0"/>
      </w:rPr>
    </w:lvl>
    <w:lvl w:ilvl="1" w:tplc="4344F3A0" w:tentative="1">
      <w:start w:val="1"/>
      <w:numFmt w:val="lowerLetter"/>
      <w:lvlText w:val="%2."/>
      <w:lvlJc w:val="left"/>
      <w:pPr>
        <w:ind w:left="2160" w:hanging="360"/>
      </w:pPr>
    </w:lvl>
    <w:lvl w:ilvl="2" w:tplc="FC90BE7C" w:tentative="1">
      <w:start w:val="1"/>
      <w:numFmt w:val="lowerRoman"/>
      <w:lvlText w:val="%3."/>
      <w:lvlJc w:val="right"/>
      <w:pPr>
        <w:ind w:left="2880" w:hanging="180"/>
      </w:pPr>
    </w:lvl>
    <w:lvl w:ilvl="3" w:tplc="1ACA24F2" w:tentative="1">
      <w:start w:val="1"/>
      <w:numFmt w:val="decimal"/>
      <w:lvlText w:val="%4."/>
      <w:lvlJc w:val="left"/>
      <w:pPr>
        <w:ind w:left="3600" w:hanging="360"/>
      </w:pPr>
    </w:lvl>
    <w:lvl w:ilvl="4" w:tplc="AB6CCFF0" w:tentative="1">
      <w:start w:val="1"/>
      <w:numFmt w:val="lowerLetter"/>
      <w:lvlText w:val="%5."/>
      <w:lvlJc w:val="left"/>
      <w:pPr>
        <w:ind w:left="4320" w:hanging="360"/>
      </w:pPr>
    </w:lvl>
    <w:lvl w:ilvl="5" w:tplc="C1627D36" w:tentative="1">
      <w:start w:val="1"/>
      <w:numFmt w:val="lowerRoman"/>
      <w:lvlText w:val="%6."/>
      <w:lvlJc w:val="right"/>
      <w:pPr>
        <w:ind w:left="5040" w:hanging="180"/>
      </w:pPr>
    </w:lvl>
    <w:lvl w:ilvl="6" w:tplc="FE9C2C68" w:tentative="1">
      <w:start w:val="1"/>
      <w:numFmt w:val="decimal"/>
      <w:lvlText w:val="%7."/>
      <w:lvlJc w:val="left"/>
      <w:pPr>
        <w:ind w:left="5760" w:hanging="360"/>
      </w:pPr>
    </w:lvl>
    <w:lvl w:ilvl="7" w:tplc="FE8A9898" w:tentative="1">
      <w:start w:val="1"/>
      <w:numFmt w:val="lowerLetter"/>
      <w:lvlText w:val="%8."/>
      <w:lvlJc w:val="left"/>
      <w:pPr>
        <w:ind w:left="6480" w:hanging="360"/>
      </w:pPr>
    </w:lvl>
    <w:lvl w:ilvl="8" w:tplc="872C24D4" w:tentative="1">
      <w:start w:val="1"/>
      <w:numFmt w:val="lowerRoman"/>
      <w:lvlText w:val="%9."/>
      <w:lvlJc w:val="right"/>
      <w:pPr>
        <w:ind w:left="7200" w:hanging="180"/>
      </w:pPr>
    </w:lvl>
  </w:abstractNum>
  <w:abstractNum w:abstractNumId="12" w15:restartNumberingAfterBreak="0">
    <w:nsid w:val="3EF73F1B"/>
    <w:multiLevelType w:val="hybridMultilevel"/>
    <w:tmpl w:val="B7E6AB56"/>
    <w:lvl w:ilvl="0" w:tplc="6D327964">
      <w:start w:val="1"/>
      <w:numFmt w:val="bullet"/>
      <w:pStyle w:val="Style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6537E8"/>
    <w:multiLevelType w:val="hybridMultilevel"/>
    <w:tmpl w:val="2C2AC3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774FD1"/>
    <w:multiLevelType w:val="hybridMultilevel"/>
    <w:tmpl w:val="41329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8AC315A"/>
    <w:multiLevelType w:val="multilevel"/>
    <w:tmpl w:val="F43074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F40D9B"/>
    <w:multiLevelType w:val="hybridMultilevel"/>
    <w:tmpl w:val="58D2DE0A"/>
    <w:lvl w:ilvl="0" w:tplc="A87C416A">
      <w:start w:val="1"/>
      <w:numFmt w:val="decimal"/>
      <w:lvlText w:val="%1."/>
      <w:lvlJc w:val="left"/>
      <w:pPr>
        <w:ind w:left="720" w:hanging="360"/>
      </w:pPr>
      <w:rPr>
        <w:rFonts w:hint="default"/>
        <w:i w:val="0"/>
        <w:iCs w:val="0"/>
      </w:rPr>
    </w:lvl>
    <w:lvl w:ilvl="1" w:tplc="DA64D49E">
      <w:start w:val="1"/>
      <w:numFmt w:val="lowerLetter"/>
      <w:lvlText w:val="%2."/>
      <w:lvlJc w:val="left"/>
      <w:pPr>
        <w:ind w:left="1440" w:hanging="360"/>
      </w:pPr>
    </w:lvl>
    <w:lvl w:ilvl="2" w:tplc="627C993E" w:tentative="1">
      <w:start w:val="1"/>
      <w:numFmt w:val="lowerRoman"/>
      <w:lvlText w:val="%3."/>
      <w:lvlJc w:val="right"/>
      <w:pPr>
        <w:ind w:left="2160" w:hanging="180"/>
      </w:pPr>
    </w:lvl>
    <w:lvl w:ilvl="3" w:tplc="54BC2A04" w:tentative="1">
      <w:start w:val="1"/>
      <w:numFmt w:val="decimal"/>
      <w:lvlText w:val="%4."/>
      <w:lvlJc w:val="left"/>
      <w:pPr>
        <w:ind w:left="2880" w:hanging="360"/>
      </w:pPr>
    </w:lvl>
    <w:lvl w:ilvl="4" w:tplc="24DA46F0" w:tentative="1">
      <w:start w:val="1"/>
      <w:numFmt w:val="lowerLetter"/>
      <w:lvlText w:val="%5."/>
      <w:lvlJc w:val="left"/>
      <w:pPr>
        <w:ind w:left="3600" w:hanging="360"/>
      </w:pPr>
    </w:lvl>
    <w:lvl w:ilvl="5" w:tplc="ED34796E" w:tentative="1">
      <w:start w:val="1"/>
      <w:numFmt w:val="lowerRoman"/>
      <w:lvlText w:val="%6."/>
      <w:lvlJc w:val="right"/>
      <w:pPr>
        <w:ind w:left="4320" w:hanging="180"/>
      </w:pPr>
    </w:lvl>
    <w:lvl w:ilvl="6" w:tplc="D94E3616" w:tentative="1">
      <w:start w:val="1"/>
      <w:numFmt w:val="decimal"/>
      <w:lvlText w:val="%7."/>
      <w:lvlJc w:val="left"/>
      <w:pPr>
        <w:ind w:left="5040" w:hanging="360"/>
      </w:pPr>
    </w:lvl>
    <w:lvl w:ilvl="7" w:tplc="6B1C9F86" w:tentative="1">
      <w:start w:val="1"/>
      <w:numFmt w:val="lowerLetter"/>
      <w:lvlText w:val="%8."/>
      <w:lvlJc w:val="left"/>
      <w:pPr>
        <w:ind w:left="5760" w:hanging="360"/>
      </w:pPr>
    </w:lvl>
    <w:lvl w:ilvl="8" w:tplc="63BEEFD8" w:tentative="1">
      <w:start w:val="1"/>
      <w:numFmt w:val="lowerRoman"/>
      <w:lvlText w:val="%9."/>
      <w:lvlJc w:val="right"/>
      <w:pPr>
        <w:ind w:left="6480" w:hanging="180"/>
      </w:pPr>
    </w:lvl>
  </w:abstractNum>
  <w:abstractNum w:abstractNumId="17" w15:restartNumberingAfterBreak="0">
    <w:nsid w:val="4AC94EE0"/>
    <w:multiLevelType w:val="hybridMultilevel"/>
    <w:tmpl w:val="7186B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804D05"/>
    <w:multiLevelType w:val="hybridMultilevel"/>
    <w:tmpl w:val="005E6D22"/>
    <w:lvl w:ilvl="0" w:tplc="DFB82052">
      <w:start w:val="1"/>
      <w:numFmt w:val="bullet"/>
      <w:lvlText w:val=""/>
      <w:lvlJc w:val="left"/>
      <w:pPr>
        <w:ind w:left="675" w:hanging="360"/>
      </w:pPr>
      <w:rPr>
        <w:rFonts w:ascii="Symbol" w:hAnsi="Symbol" w:hint="default"/>
      </w:rPr>
    </w:lvl>
    <w:lvl w:ilvl="1" w:tplc="602261BC" w:tentative="1">
      <w:start w:val="1"/>
      <w:numFmt w:val="bullet"/>
      <w:lvlText w:val="o"/>
      <w:lvlJc w:val="left"/>
      <w:pPr>
        <w:ind w:left="1395" w:hanging="360"/>
      </w:pPr>
      <w:rPr>
        <w:rFonts w:ascii="Courier New" w:hAnsi="Courier New" w:cs="Courier New" w:hint="default"/>
      </w:rPr>
    </w:lvl>
    <w:lvl w:ilvl="2" w:tplc="06F2B94A" w:tentative="1">
      <w:start w:val="1"/>
      <w:numFmt w:val="bullet"/>
      <w:lvlText w:val=""/>
      <w:lvlJc w:val="left"/>
      <w:pPr>
        <w:ind w:left="2115" w:hanging="360"/>
      </w:pPr>
      <w:rPr>
        <w:rFonts w:ascii="Wingdings" w:hAnsi="Wingdings" w:hint="default"/>
      </w:rPr>
    </w:lvl>
    <w:lvl w:ilvl="3" w:tplc="EC06328E" w:tentative="1">
      <w:start w:val="1"/>
      <w:numFmt w:val="bullet"/>
      <w:lvlText w:val=""/>
      <w:lvlJc w:val="left"/>
      <w:pPr>
        <w:ind w:left="2835" w:hanging="360"/>
      </w:pPr>
      <w:rPr>
        <w:rFonts w:ascii="Symbol" w:hAnsi="Symbol" w:hint="default"/>
      </w:rPr>
    </w:lvl>
    <w:lvl w:ilvl="4" w:tplc="EC8C3E80" w:tentative="1">
      <w:start w:val="1"/>
      <w:numFmt w:val="bullet"/>
      <w:lvlText w:val="o"/>
      <w:lvlJc w:val="left"/>
      <w:pPr>
        <w:ind w:left="3555" w:hanging="360"/>
      </w:pPr>
      <w:rPr>
        <w:rFonts w:ascii="Courier New" w:hAnsi="Courier New" w:cs="Courier New" w:hint="default"/>
      </w:rPr>
    </w:lvl>
    <w:lvl w:ilvl="5" w:tplc="2C424024" w:tentative="1">
      <w:start w:val="1"/>
      <w:numFmt w:val="bullet"/>
      <w:lvlText w:val=""/>
      <w:lvlJc w:val="left"/>
      <w:pPr>
        <w:ind w:left="4275" w:hanging="360"/>
      </w:pPr>
      <w:rPr>
        <w:rFonts w:ascii="Wingdings" w:hAnsi="Wingdings" w:hint="default"/>
      </w:rPr>
    </w:lvl>
    <w:lvl w:ilvl="6" w:tplc="20605962" w:tentative="1">
      <w:start w:val="1"/>
      <w:numFmt w:val="bullet"/>
      <w:lvlText w:val=""/>
      <w:lvlJc w:val="left"/>
      <w:pPr>
        <w:ind w:left="4995" w:hanging="360"/>
      </w:pPr>
      <w:rPr>
        <w:rFonts w:ascii="Symbol" w:hAnsi="Symbol" w:hint="default"/>
      </w:rPr>
    </w:lvl>
    <w:lvl w:ilvl="7" w:tplc="86E6C2D8" w:tentative="1">
      <w:start w:val="1"/>
      <w:numFmt w:val="bullet"/>
      <w:lvlText w:val="o"/>
      <w:lvlJc w:val="left"/>
      <w:pPr>
        <w:ind w:left="5715" w:hanging="360"/>
      </w:pPr>
      <w:rPr>
        <w:rFonts w:ascii="Courier New" w:hAnsi="Courier New" w:cs="Courier New" w:hint="default"/>
      </w:rPr>
    </w:lvl>
    <w:lvl w:ilvl="8" w:tplc="8DDA87E0" w:tentative="1">
      <w:start w:val="1"/>
      <w:numFmt w:val="bullet"/>
      <w:lvlText w:val=""/>
      <w:lvlJc w:val="left"/>
      <w:pPr>
        <w:ind w:left="6435" w:hanging="360"/>
      </w:pPr>
      <w:rPr>
        <w:rFonts w:ascii="Wingdings" w:hAnsi="Wingdings" w:hint="default"/>
      </w:rPr>
    </w:lvl>
  </w:abstractNum>
  <w:abstractNum w:abstractNumId="19"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1" w15:restartNumberingAfterBreak="0">
    <w:nsid w:val="6C8C10A1"/>
    <w:multiLevelType w:val="multilevel"/>
    <w:tmpl w:val="BE78A4F8"/>
    <w:numStyleLink w:val="Numberlist"/>
  </w:abstractNum>
  <w:abstractNum w:abstractNumId="22" w15:restartNumberingAfterBreak="0">
    <w:nsid w:val="7133732F"/>
    <w:multiLevelType w:val="hybridMultilevel"/>
    <w:tmpl w:val="D76CD2A2"/>
    <w:lvl w:ilvl="0" w:tplc="E8C8D8D4">
      <w:start w:val="1"/>
      <w:numFmt w:val="bullet"/>
      <w:pStyle w:val="Singleindentbodytext"/>
      <w:lvlText w:val=""/>
      <w:lvlJc w:val="left"/>
      <w:pPr>
        <w:ind w:left="797" w:hanging="360"/>
      </w:pPr>
      <w:rPr>
        <w:rFonts w:ascii="Symbol" w:hAnsi="Symbol" w:hint="default"/>
      </w:rPr>
    </w:lvl>
    <w:lvl w:ilvl="1" w:tplc="0C090003" w:tentative="1">
      <w:start w:val="1"/>
      <w:numFmt w:val="bullet"/>
      <w:lvlText w:val="o"/>
      <w:lvlJc w:val="left"/>
      <w:pPr>
        <w:ind w:left="1517" w:hanging="360"/>
      </w:pPr>
      <w:rPr>
        <w:rFonts w:ascii="Courier New" w:hAnsi="Courier New" w:cs="Courier New" w:hint="default"/>
      </w:rPr>
    </w:lvl>
    <w:lvl w:ilvl="2" w:tplc="0C090005" w:tentative="1">
      <w:start w:val="1"/>
      <w:numFmt w:val="bullet"/>
      <w:lvlText w:val=""/>
      <w:lvlJc w:val="left"/>
      <w:pPr>
        <w:ind w:left="2237" w:hanging="360"/>
      </w:pPr>
      <w:rPr>
        <w:rFonts w:ascii="Wingdings" w:hAnsi="Wingdings" w:hint="default"/>
      </w:rPr>
    </w:lvl>
    <w:lvl w:ilvl="3" w:tplc="0C090001" w:tentative="1">
      <w:start w:val="1"/>
      <w:numFmt w:val="bullet"/>
      <w:lvlText w:val=""/>
      <w:lvlJc w:val="left"/>
      <w:pPr>
        <w:ind w:left="2957" w:hanging="360"/>
      </w:pPr>
      <w:rPr>
        <w:rFonts w:ascii="Symbol" w:hAnsi="Symbol" w:hint="default"/>
      </w:rPr>
    </w:lvl>
    <w:lvl w:ilvl="4" w:tplc="0C090003" w:tentative="1">
      <w:start w:val="1"/>
      <w:numFmt w:val="bullet"/>
      <w:lvlText w:val="o"/>
      <w:lvlJc w:val="left"/>
      <w:pPr>
        <w:ind w:left="3677" w:hanging="360"/>
      </w:pPr>
      <w:rPr>
        <w:rFonts w:ascii="Courier New" w:hAnsi="Courier New" w:cs="Courier New" w:hint="default"/>
      </w:rPr>
    </w:lvl>
    <w:lvl w:ilvl="5" w:tplc="0C090005" w:tentative="1">
      <w:start w:val="1"/>
      <w:numFmt w:val="bullet"/>
      <w:lvlText w:val=""/>
      <w:lvlJc w:val="left"/>
      <w:pPr>
        <w:ind w:left="4397" w:hanging="360"/>
      </w:pPr>
      <w:rPr>
        <w:rFonts w:ascii="Wingdings" w:hAnsi="Wingdings" w:hint="default"/>
      </w:rPr>
    </w:lvl>
    <w:lvl w:ilvl="6" w:tplc="0C090001" w:tentative="1">
      <w:start w:val="1"/>
      <w:numFmt w:val="bullet"/>
      <w:lvlText w:val=""/>
      <w:lvlJc w:val="left"/>
      <w:pPr>
        <w:ind w:left="5117" w:hanging="360"/>
      </w:pPr>
      <w:rPr>
        <w:rFonts w:ascii="Symbol" w:hAnsi="Symbol" w:hint="default"/>
      </w:rPr>
    </w:lvl>
    <w:lvl w:ilvl="7" w:tplc="0C090003" w:tentative="1">
      <w:start w:val="1"/>
      <w:numFmt w:val="bullet"/>
      <w:lvlText w:val="o"/>
      <w:lvlJc w:val="left"/>
      <w:pPr>
        <w:ind w:left="5837" w:hanging="360"/>
      </w:pPr>
      <w:rPr>
        <w:rFonts w:ascii="Courier New" w:hAnsi="Courier New" w:cs="Courier New" w:hint="default"/>
      </w:rPr>
    </w:lvl>
    <w:lvl w:ilvl="8" w:tplc="0C090005" w:tentative="1">
      <w:start w:val="1"/>
      <w:numFmt w:val="bullet"/>
      <w:lvlText w:val=""/>
      <w:lvlJc w:val="left"/>
      <w:pPr>
        <w:ind w:left="6557" w:hanging="360"/>
      </w:pPr>
      <w:rPr>
        <w:rFonts w:ascii="Wingdings" w:hAnsi="Wingdings" w:hint="default"/>
      </w:rPr>
    </w:lvl>
  </w:abstractNum>
  <w:abstractNum w:abstractNumId="23" w15:restartNumberingAfterBreak="0">
    <w:nsid w:val="733934B7"/>
    <w:multiLevelType w:val="multilevel"/>
    <w:tmpl w:val="23887CA2"/>
    <w:numStyleLink w:val="List1"/>
  </w:abstractNum>
  <w:abstractNum w:abstractNumId="24" w15:restartNumberingAfterBreak="0">
    <w:nsid w:val="793B2FB3"/>
    <w:multiLevelType w:val="hybridMultilevel"/>
    <w:tmpl w:val="4CCA7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17"/>
  </w:num>
  <w:num w:numId="4">
    <w:abstractNumId w:val="10"/>
  </w:num>
  <w:num w:numId="5">
    <w:abstractNumId w:val="2"/>
  </w:num>
  <w:num w:numId="6">
    <w:abstractNumId w:val="7"/>
  </w:num>
  <w:num w:numId="7">
    <w:abstractNumId w:val="15"/>
  </w:num>
  <w:num w:numId="8">
    <w:abstractNumId w:val="18"/>
  </w:num>
  <w:num w:numId="9">
    <w:abstractNumId w:val="16"/>
  </w:num>
  <w:num w:numId="10">
    <w:abstractNumId w:val="8"/>
  </w:num>
  <w:num w:numId="11">
    <w:abstractNumId w:val="8"/>
    <w:lvlOverride w:ilvl="0">
      <w:startOverride w:val="1"/>
    </w:lvlOverride>
  </w:num>
  <w:num w:numId="12">
    <w:abstractNumId w:val="24"/>
  </w:num>
  <w:num w:numId="13">
    <w:abstractNumId w:val="6"/>
  </w:num>
  <w:num w:numId="14">
    <w:abstractNumId w:val="22"/>
  </w:num>
  <w:num w:numId="15">
    <w:abstractNumId w:val="11"/>
  </w:num>
  <w:num w:numId="16">
    <w:abstractNumId w:val="12"/>
  </w:num>
  <w:num w:numId="17">
    <w:abstractNumId w:val="14"/>
  </w:num>
  <w:num w:numId="18">
    <w:abstractNumId w:val="3"/>
  </w:num>
  <w:num w:numId="19">
    <w:abstractNumId w:val="1"/>
  </w:num>
  <w:num w:numId="20">
    <w:abstractNumId w:val="19"/>
  </w:num>
  <w:num w:numId="21">
    <w:abstractNumId w:val="20"/>
  </w:num>
  <w:num w:numId="22">
    <w:abstractNumId w:val="0"/>
  </w:num>
  <w:num w:numId="23">
    <w:abstractNumId w:val="21"/>
  </w:num>
  <w:num w:numId="24">
    <w:abstractNumId w:val="23"/>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03"/>
    <w:rsid w:val="00000413"/>
    <w:rsid w:val="00000D82"/>
    <w:rsid w:val="00001059"/>
    <w:rsid w:val="0000239E"/>
    <w:rsid w:val="000032FE"/>
    <w:rsid w:val="000037E4"/>
    <w:rsid w:val="000038E6"/>
    <w:rsid w:val="000044DF"/>
    <w:rsid w:val="0000551C"/>
    <w:rsid w:val="0000593A"/>
    <w:rsid w:val="00005EFB"/>
    <w:rsid w:val="0000642E"/>
    <w:rsid w:val="00006BCC"/>
    <w:rsid w:val="00006F53"/>
    <w:rsid w:val="000072D0"/>
    <w:rsid w:val="00007A81"/>
    <w:rsid w:val="00010E4F"/>
    <w:rsid w:val="000115BC"/>
    <w:rsid w:val="000117B9"/>
    <w:rsid w:val="00012144"/>
    <w:rsid w:val="00012267"/>
    <w:rsid w:val="000122FF"/>
    <w:rsid w:val="0001277C"/>
    <w:rsid w:val="00012D6F"/>
    <w:rsid w:val="0001388D"/>
    <w:rsid w:val="000142C2"/>
    <w:rsid w:val="000159A1"/>
    <w:rsid w:val="0001710C"/>
    <w:rsid w:val="000179BC"/>
    <w:rsid w:val="00017C0E"/>
    <w:rsid w:val="00017D76"/>
    <w:rsid w:val="000225B1"/>
    <w:rsid w:val="00022B15"/>
    <w:rsid w:val="00023187"/>
    <w:rsid w:val="000232D1"/>
    <w:rsid w:val="0002353A"/>
    <w:rsid w:val="00023682"/>
    <w:rsid w:val="00024365"/>
    <w:rsid w:val="000255DC"/>
    <w:rsid w:val="0002583C"/>
    <w:rsid w:val="00026D8A"/>
    <w:rsid w:val="00026EA5"/>
    <w:rsid w:val="00032D11"/>
    <w:rsid w:val="0003300D"/>
    <w:rsid w:val="00033040"/>
    <w:rsid w:val="000338F6"/>
    <w:rsid w:val="00033922"/>
    <w:rsid w:val="00033D54"/>
    <w:rsid w:val="0003480A"/>
    <w:rsid w:val="000359C1"/>
    <w:rsid w:val="00035CB6"/>
    <w:rsid w:val="000361F0"/>
    <w:rsid w:val="000362BD"/>
    <w:rsid w:val="000369E4"/>
    <w:rsid w:val="00036C7D"/>
    <w:rsid w:val="00040D6B"/>
    <w:rsid w:val="000412CE"/>
    <w:rsid w:val="00041CF2"/>
    <w:rsid w:val="000423FD"/>
    <w:rsid w:val="00042FC7"/>
    <w:rsid w:val="000435D3"/>
    <w:rsid w:val="00043F4A"/>
    <w:rsid w:val="0004431A"/>
    <w:rsid w:val="000449EB"/>
    <w:rsid w:val="00046B29"/>
    <w:rsid w:val="00046D69"/>
    <w:rsid w:val="000475EB"/>
    <w:rsid w:val="00047E0B"/>
    <w:rsid w:val="00047FB4"/>
    <w:rsid w:val="00051679"/>
    <w:rsid w:val="00051B3F"/>
    <w:rsid w:val="000529F3"/>
    <w:rsid w:val="00052D14"/>
    <w:rsid w:val="00053B27"/>
    <w:rsid w:val="000554F5"/>
    <w:rsid w:val="00056842"/>
    <w:rsid w:val="000576B4"/>
    <w:rsid w:val="000577FC"/>
    <w:rsid w:val="00057977"/>
    <w:rsid w:val="0006044C"/>
    <w:rsid w:val="00060F28"/>
    <w:rsid w:val="00060FF2"/>
    <w:rsid w:val="00061CE2"/>
    <w:rsid w:val="00061D9E"/>
    <w:rsid w:val="000637B9"/>
    <w:rsid w:val="00063859"/>
    <w:rsid w:val="00063AD8"/>
    <w:rsid w:val="00063D84"/>
    <w:rsid w:val="00063FE4"/>
    <w:rsid w:val="00064615"/>
    <w:rsid w:val="000647D1"/>
    <w:rsid w:val="00064841"/>
    <w:rsid w:val="00065D95"/>
    <w:rsid w:val="00066E69"/>
    <w:rsid w:val="00067BF4"/>
    <w:rsid w:val="000710C9"/>
    <w:rsid w:val="000719A0"/>
    <w:rsid w:val="000721C1"/>
    <w:rsid w:val="00072856"/>
    <w:rsid w:val="000728E7"/>
    <w:rsid w:val="000738CD"/>
    <w:rsid w:val="00073C6C"/>
    <w:rsid w:val="00075412"/>
    <w:rsid w:val="00076283"/>
    <w:rsid w:val="00076BB9"/>
    <w:rsid w:val="00076EE8"/>
    <w:rsid w:val="00076F71"/>
    <w:rsid w:val="00077AAA"/>
    <w:rsid w:val="00077B5B"/>
    <w:rsid w:val="00077CA9"/>
    <w:rsid w:val="00077E6D"/>
    <w:rsid w:val="00081112"/>
    <w:rsid w:val="000811AC"/>
    <w:rsid w:val="0008244C"/>
    <w:rsid w:val="00082457"/>
    <w:rsid w:val="00082B26"/>
    <w:rsid w:val="000835C5"/>
    <w:rsid w:val="000836B5"/>
    <w:rsid w:val="000837B1"/>
    <w:rsid w:val="00083E70"/>
    <w:rsid w:val="0008544A"/>
    <w:rsid w:val="0008578F"/>
    <w:rsid w:val="000858D4"/>
    <w:rsid w:val="00085A2C"/>
    <w:rsid w:val="00086719"/>
    <w:rsid w:val="00086834"/>
    <w:rsid w:val="000902A3"/>
    <w:rsid w:val="000902DC"/>
    <w:rsid w:val="00090A66"/>
    <w:rsid w:val="00090C78"/>
    <w:rsid w:val="0009194C"/>
    <w:rsid w:val="00092805"/>
    <w:rsid w:val="00092C09"/>
    <w:rsid w:val="000934A7"/>
    <w:rsid w:val="0009430A"/>
    <w:rsid w:val="00094F71"/>
    <w:rsid w:val="000959A0"/>
    <w:rsid w:val="000965BF"/>
    <w:rsid w:val="00096A86"/>
    <w:rsid w:val="00096AD4"/>
    <w:rsid w:val="00097659"/>
    <w:rsid w:val="000A032D"/>
    <w:rsid w:val="000A039B"/>
    <w:rsid w:val="000A31D6"/>
    <w:rsid w:val="000A33E2"/>
    <w:rsid w:val="000A367C"/>
    <w:rsid w:val="000A3C10"/>
    <w:rsid w:val="000A4FFF"/>
    <w:rsid w:val="000A52F5"/>
    <w:rsid w:val="000A5C0B"/>
    <w:rsid w:val="000A5DD5"/>
    <w:rsid w:val="000A743A"/>
    <w:rsid w:val="000B05D2"/>
    <w:rsid w:val="000B0919"/>
    <w:rsid w:val="000B1390"/>
    <w:rsid w:val="000B1B2E"/>
    <w:rsid w:val="000B27A8"/>
    <w:rsid w:val="000B5E01"/>
    <w:rsid w:val="000B6F6B"/>
    <w:rsid w:val="000B784C"/>
    <w:rsid w:val="000B794C"/>
    <w:rsid w:val="000B7966"/>
    <w:rsid w:val="000B7CD5"/>
    <w:rsid w:val="000C00A9"/>
    <w:rsid w:val="000C13F9"/>
    <w:rsid w:val="000C2BD4"/>
    <w:rsid w:val="000C4272"/>
    <w:rsid w:val="000C478D"/>
    <w:rsid w:val="000C7825"/>
    <w:rsid w:val="000D0088"/>
    <w:rsid w:val="000D0C88"/>
    <w:rsid w:val="000D0DED"/>
    <w:rsid w:val="000D144D"/>
    <w:rsid w:val="000D255A"/>
    <w:rsid w:val="000D2BA0"/>
    <w:rsid w:val="000D30F5"/>
    <w:rsid w:val="000D35B1"/>
    <w:rsid w:val="000D3693"/>
    <w:rsid w:val="000D38A7"/>
    <w:rsid w:val="000D5290"/>
    <w:rsid w:val="000D6207"/>
    <w:rsid w:val="000D6EC4"/>
    <w:rsid w:val="000E1FD1"/>
    <w:rsid w:val="000E338A"/>
    <w:rsid w:val="000E3B4A"/>
    <w:rsid w:val="000E43EA"/>
    <w:rsid w:val="000E47CE"/>
    <w:rsid w:val="000E4D8E"/>
    <w:rsid w:val="000E5C56"/>
    <w:rsid w:val="000E5F55"/>
    <w:rsid w:val="000E6218"/>
    <w:rsid w:val="000E6DF9"/>
    <w:rsid w:val="000F04D4"/>
    <w:rsid w:val="000F09D4"/>
    <w:rsid w:val="000F0DCB"/>
    <w:rsid w:val="000F2576"/>
    <w:rsid w:val="000F2D12"/>
    <w:rsid w:val="000F2E1D"/>
    <w:rsid w:val="000F511D"/>
    <w:rsid w:val="000F58EF"/>
    <w:rsid w:val="000F5BD9"/>
    <w:rsid w:val="000F5E58"/>
    <w:rsid w:val="000F5FCE"/>
    <w:rsid w:val="000F6CC0"/>
    <w:rsid w:val="000F778C"/>
    <w:rsid w:val="000F7CDF"/>
    <w:rsid w:val="001008A1"/>
    <w:rsid w:val="00100A80"/>
    <w:rsid w:val="001014F8"/>
    <w:rsid w:val="0010198A"/>
    <w:rsid w:val="001027FF"/>
    <w:rsid w:val="0010349C"/>
    <w:rsid w:val="001038E0"/>
    <w:rsid w:val="00103B86"/>
    <w:rsid w:val="00103E5E"/>
    <w:rsid w:val="00104538"/>
    <w:rsid w:val="00104910"/>
    <w:rsid w:val="00104D48"/>
    <w:rsid w:val="00105ED2"/>
    <w:rsid w:val="00106F58"/>
    <w:rsid w:val="0010712C"/>
    <w:rsid w:val="001110C6"/>
    <w:rsid w:val="001118FA"/>
    <w:rsid w:val="0011202B"/>
    <w:rsid w:val="001121F8"/>
    <w:rsid w:val="0011271E"/>
    <w:rsid w:val="00112B1C"/>
    <w:rsid w:val="00112B60"/>
    <w:rsid w:val="00112FC3"/>
    <w:rsid w:val="0011330A"/>
    <w:rsid w:val="00114BBC"/>
    <w:rsid w:val="0011503A"/>
    <w:rsid w:val="001159A4"/>
    <w:rsid w:val="001166E5"/>
    <w:rsid w:val="001175C8"/>
    <w:rsid w:val="00117876"/>
    <w:rsid w:val="00121388"/>
    <w:rsid w:val="00121651"/>
    <w:rsid w:val="00121990"/>
    <w:rsid w:val="00121CC1"/>
    <w:rsid w:val="00121D34"/>
    <w:rsid w:val="00122E17"/>
    <w:rsid w:val="001232A4"/>
    <w:rsid w:val="0012441D"/>
    <w:rsid w:val="001244A9"/>
    <w:rsid w:val="0012573F"/>
    <w:rsid w:val="00125959"/>
    <w:rsid w:val="001319EF"/>
    <w:rsid w:val="00132D93"/>
    <w:rsid w:val="00133000"/>
    <w:rsid w:val="001331B9"/>
    <w:rsid w:val="001335B2"/>
    <w:rsid w:val="00133678"/>
    <w:rsid w:val="00134135"/>
    <w:rsid w:val="0013442D"/>
    <w:rsid w:val="001344D9"/>
    <w:rsid w:val="0013467F"/>
    <w:rsid w:val="001354E4"/>
    <w:rsid w:val="00137976"/>
    <w:rsid w:val="00137B6B"/>
    <w:rsid w:val="00137F5A"/>
    <w:rsid w:val="001424F0"/>
    <w:rsid w:val="00142735"/>
    <w:rsid w:val="001427E6"/>
    <w:rsid w:val="001444D0"/>
    <w:rsid w:val="00145989"/>
    <w:rsid w:val="00146399"/>
    <w:rsid w:val="00146943"/>
    <w:rsid w:val="00146DAE"/>
    <w:rsid w:val="0015032B"/>
    <w:rsid w:val="00150A5C"/>
    <w:rsid w:val="00150AD9"/>
    <w:rsid w:val="00150C3A"/>
    <w:rsid w:val="00150F78"/>
    <w:rsid w:val="001513F6"/>
    <w:rsid w:val="00151C26"/>
    <w:rsid w:val="00152773"/>
    <w:rsid w:val="001528A0"/>
    <w:rsid w:val="0015311D"/>
    <w:rsid w:val="00153AF3"/>
    <w:rsid w:val="001545D7"/>
    <w:rsid w:val="001551BE"/>
    <w:rsid w:val="0015581C"/>
    <w:rsid w:val="00155E04"/>
    <w:rsid w:val="00156CB2"/>
    <w:rsid w:val="00157084"/>
    <w:rsid w:val="00157C7F"/>
    <w:rsid w:val="00160977"/>
    <w:rsid w:val="00160D53"/>
    <w:rsid w:val="00161A82"/>
    <w:rsid w:val="00161D74"/>
    <w:rsid w:val="0016387B"/>
    <w:rsid w:val="001639F1"/>
    <w:rsid w:val="00165069"/>
    <w:rsid w:val="00165BA2"/>
    <w:rsid w:val="00165BD5"/>
    <w:rsid w:val="00165F92"/>
    <w:rsid w:val="00166B4F"/>
    <w:rsid w:val="0016713B"/>
    <w:rsid w:val="00167540"/>
    <w:rsid w:val="00171428"/>
    <w:rsid w:val="001718F0"/>
    <w:rsid w:val="00171AEB"/>
    <w:rsid w:val="00171C2D"/>
    <w:rsid w:val="00172B16"/>
    <w:rsid w:val="00174C34"/>
    <w:rsid w:val="00174E4E"/>
    <w:rsid w:val="0017531B"/>
    <w:rsid w:val="001758EA"/>
    <w:rsid w:val="00175B3E"/>
    <w:rsid w:val="00176E5E"/>
    <w:rsid w:val="00176ED5"/>
    <w:rsid w:val="001813D0"/>
    <w:rsid w:val="0018524C"/>
    <w:rsid w:val="001852BB"/>
    <w:rsid w:val="00187F7F"/>
    <w:rsid w:val="00187FD3"/>
    <w:rsid w:val="0019031D"/>
    <w:rsid w:val="0019072A"/>
    <w:rsid w:val="00190773"/>
    <w:rsid w:val="00190BA6"/>
    <w:rsid w:val="0019247D"/>
    <w:rsid w:val="00192721"/>
    <w:rsid w:val="00192FE4"/>
    <w:rsid w:val="001943B2"/>
    <w:rsid w:val="001951D6"/>
    <w:rsid w:val="00196F14"/>
    <w:rsid w:val="00197D32"/>
    <w:rsid w:val="001A0252"/>
    <w:rsid w:val="001A133E"/>
    <w:rsid w:val="001A194D"/>
    <w:rsid w:val="001A1A32"/>
    <w:rsid w:val="001A1A70"/>
    <w:rsid w:val="001A2C9A"/>
    <w:rsid w:val="001A3C88"/>
    <w:rsid w:val="001A3E70"/>
    <w:rsid w:val="001A4260"/>
    <w:rsid w:val="001A5669"/>
    <w:rsid w:val="001A61A1"/>
    <w:rsid w:val="001B0FA9"/>
    <w:rsid w:val="001B1BCA"/>
    <w:rsid w:val="001B1BDB"/>
    <w:rsid w:val="001B2DB5"/>
    <w:rsid w:val="001B2F17"/>
    <w:rsid w:val="001B3690"/>
    <w:rsid w:val="001B37C3"/>
    <w:rsid w:val="001B49F6"/>
    <w:rsid w:val="001B59C3"/>
    <w:rsid w:val="001B62F2"/>
    <w:rsid w:val="001B6A93"/>
    <w:rsid w:val="001B7C74"/>
    <w:rsid w:val="001B7DED"/>
    <w:rsid w:val="001C1760"/>
    <w:rsid w:val="001C4606"/>
    <w:rsid w:val="001C4C1D"/>
    <w:rsid w:val="001C4C82"/>
    <w:rsid w:val="001C6141"/>
    <w:rsid w:val="001C65F4"/>
    <w:rsid w:val="001C71D6"/>
    <w:rsid w:val="001C7E42"/>
    <w:rsid w:val="001D0A38"/>
    <w:rsid w:val="001D138A"/>
    <w:rsid w:val="001D18D2"/>
    <w:rsid w:val="001D1A75"/>
    <w:rsid w:val="001D2048"/>
    <w:rsid w:val="001D2152"/>
    <w:rsid w:val="001D4AE0"/>
    <w:rsid w:val="001D4EDF"/>
    <w:rsid w:val="001D5139"/>
    <w:rsid w:val="001D58F3"/>
    <w:rsid w:val="001D7A0B"/>
    <w:rsid w:val="001E0378"/>
    <w:rsid w:val="001E09CC"/>
    <w:rsid w:val="001E163F"/>
    <w:rsid w:val="001E3C5A"/>
    <w:rsid w:val="001E443F"/>
    <w:rsid w:val="001E7030"/>
    <w:rsid w:val="001E7255"/>
    <w:rsid w:val="001F06DE"/>
    <w:rsid w:val="001F236D"/>
    <w:rsid w:val="001F2875"/>
    <w:rsid w:val="001F2C3E"/>
    <w:rsid w:val="001F324D"/>
    <w:rsid w:val="001F390E"/>
    <w:rsid w:val="001F3C00"/>
    <w:rsid w:val="001F408C"/>
    <w:rsid w:val="001F505F"/>
    <w:rsid w:val="001F5A5E"/>
    <w:rsid w:val="001F7B1C"/>
    <w:rsid w:val="00201488"/>
    <w:rsid w:val="002023A7"/>
    <w:rsid w:val="002023EA"/>
    <w:rsid w:val="00202BDD"/>
    <w:rsid w:val="00203341"/>
    <w:rsid w:val="0020349D"/>
    <w:rsid w:val="0020395A"/>
    <w:rsid w:val="00203ABA"/>
    <w:rsid w:val="00203AD4"/>
    <w:rsid w:val="00203F95"/>
    <w:rsid w:val="002040D5"/>
    <w:rsid w:val="00204BFB"/>
    <w:rsid w:val="0020535B"/>
    <w:rsid w:val="00205C53"/>
    <w:rsid w:val="00205CEF"/>
    <w:rsid w:val="00206191"/>
    <w:rsid w:val="002065B7"/>
    <w:rsid w:val="002067F2"/>
    <w:rsid w:val="002077A1"/>
    <w:rsid w:val="00210536"/>
    <w:rsid w:val="00210959"/>
    <w:rsid w:val="00211069"/>
    <w:rsid w:val="00211A5B"/>
    <w:rsid w:val="00213C83"/>
    <w:rsid w:val="002142F0"/>
    <w:rsid w:val="00215117"/>
    <w:rsid w:val="0021596C"/>
    <w:rsid w:val="00216FF8"/>
    <w:rsid w:val="0022036A"/>
    <w:rsid w:val="00220453"/>
    <w:rsid w:val="00220E02"/>
    <w:rsid w:val="002210A2"/>
    <w:rsid w:val="0022149F"/>
    <w:rsid w:val="00221787"/>
    <w:rsid w:val="00221CF8"/>
    <w:rsid w:val="00221F63"/>
    <w:rsid w:val="002225B7"/>
    <w:rsid w:val="002232D5"/>
    <w:rsid w:val="00223AE9"/>
    <w:rsid w:val="00224650"/>
    <w:rsid w:val="0022479C"/>
    <w:rsid w:val="00225E7E"/>
    <w:rsid w:val="00227938"/>
    <w:rsid w:val="002302F0"/>
    <w:rsid w:val="002314D8"/>
    <w:rsid w:val="00231868"/>
    <w:rsid w:val="00231DC7"/>
    <w:rsid w:val="002329BB"/>
    <w:rsid w:val="0023598D"/>
    <w:rsid w:val="00236AA5"/>
    <w:rsid w:val="002370C6"/>
    <w:rsid w:val="002377F0"/>
    <w:rsid w:val="00237B2D"/>
    <w:rsid w:val="00240B98"/>
    <w:rsid w:val="0024135E"/>
    <w:rsid w:val="00242F5E"/>
    <w:rsid w:val="00243201"/>
    <w:rsid w:val="002464D6"/>
    <w:rsid w:val="00246548"/>
    <w:rsid w:val="00247388"/>
    <w:rsid w:val="0025071D"/>
    <w:rsid w:val="002507DE"/>
    <w:rsid w:val="00250D07"/>
    <w:rsid w:val="00251FBA"/>
    <w:rsid w:val="00252411"/>
    <w:rsid w:val="00252B54"/>
    <w:rsid w:val="00252DEA"/>
    <w:rsid w:val="00253880"/>
    <w:rsid w:val="0025429D"/>
    <w:rsid w:val="002545D5"/>
    <w:rsid w:val="002557F1"/>
    <w:rsid w:val="00255B0D"/>
    <w:rsid w:val="00255C90"/>
    <w:rsid w:val="00256FF3"/>
    <w:rsid w:val="00257835"/>
    <w:rsid w:val="00257B74"/>
    <w:rsid w:val="00261930"/>
    <w:rsid w:val="00262A4A"/>
    <w:rsid w:val="00262BFE"/>
    <w:rsid w:val="0026348E"/>
    <w:rsid w:val="0026393A"/>
    <w:rsid w:val="00263D13"/>
    <w:rsid w:val="00263EB0"/>
    <w:rsid w:val="002655A2"/>
    <w:rsid w:val="00265DB6"/>
    <w:rsid w:val="00266020"/>
    <w:rsid w:val="002660CF"/>
    <w:rsid w:val="002665A8"/>
    <w:rsid w:val="0027053E"/>
    <w:rsid w:val="00271118"/>
    <w:rsid w:val="00271884"/>
    <w:rsid w:val="00272ED2"/>
    <w:rsid w:val="00274625"/>
    <w:rsid w:val="00274973"/>
    <w:rsid w:val="00275535"/>
    <w:rsid w:val="00277549"/>
    <w:rsid w:val="00280E24"/>
    <w:rsid w:val="00281488"/>
    <w:rsid w:val="00281820"/>
    <w:rsid w:val="00282F42"/>
    <w:rsid w:val="00283CA8"/>
    <w:rsid w:val="00284ACC"/>
    <w:rsid w:val="00284F64"/>
    <w:rsid w:val="00287C0C"/>
    <w:rsid w:val="00290C13"/>
    <w:rsid w:val="00291089"/>
    <w:rsid w:val="00292093"/>
    <w:rsid w:val="002929FF"/>
    <w:rsid w:val="002938D1"/>
    <w:rsid w:val="00294303"/>
    <w:rsid w:val="0029439E"/>
    <w:rsid w:val="00294CD8"/>
    <w:rsid w:val="00295E40"/>
    <w:rsid w:val="00296C59"/>
    <w:rsid w:val="00297377"/>
    <w:rsid w:val="00297E57"/>
    <w:rsid w:val="002A1691"/>
    <w:rsid w:val="002A228F"/>
    <w:rsid w:val="002A280B"/>
    <w:rsid w:val="002A31EA"/>
    <w:rsid w:val="002A3A00"/>
    <w:rsid w:val="002A3A28"/>
    <w:rsid w:val="002A4260"/>
    <w:rsid w:val="002A50F1"/>
    <w:rsid w:val="002A5758"/>
    <w:rsid w:val="002A5C93"/>
    <w:rsid w:val="002A6E04"/>
    <w:rsid w:val="002A700F"/>
    <w:rsid w:val="002B0590"/>
    <w:rsid w:val="002B07DB"/>
    <w:rsid w:val="002B0A73"/>
    <w:rsid w:val="002B14E2"/>
    <w:rsid w:val="002B1A1C"/>
    <w:rsid w:val="002B25E1"/>
    <w:rsid w:val="002B2D82"/>
    <w:rsid w:val="002B3138"/>
    <w:rsid w:val="002B31E9"/>
    <w:rsid w:val="002B5724"/>
    <w:rsid w:val="002B5805"/>
    <w:rsid w:val="002B5C50"/>
    <w:rsid w:val="002B5D64"/>
    <w:rsid w:val="002B6183"/>
    <w:rsid w:val="002B643D"/>
    <w:rsid w:val="002B79C4"/>
    <w:rsid w:val="002B7E4C"/>
    <w:rsid w:val="002C0225"/>
    <w:rsid w:val="002C14C6"/>
    <w:rsid w:val="002C15A8"/>
    <w:rsid w:val="002C1EA0"/>
    <w:rsid w:val="002C24DA"/>
    <w:rsid w:val="002C2B85"/>
    <w:rsid w:val="002C364B"/>
    <w:rsid w:val="002C3BD1"/>
    <w:rsid w:val="002C589F"/>
    <w:rsid w:val="002C6A71"/>
    <w:rsid w:val="002C72FC"/>
    <w:rsid w:val="002D0794"/>
    <w:rsid w:val="002D07F4"/>
    <w:rsid w:val="002D1A94"/>
    <w:rsid w:val="002D23A8"/>
    <w:rsid w:val="002D24BF"/>
    <w:rsid w:val="002D4728"/>
    <w:rsid w:val="002D5E9A"/>
    <w:rsid w:val="002D6EB4"/>
    <w:rsid w:val="002D7268"/>
    <w:rsid w:val="002D73A3"/>
    <w:rsid w:val="002D7625"/>
    <w:rsid w:val="002E0887"/>
    <w:rsid w:val="002E0F2C"/>
    <w:rsid w:val="002E12F0"/>
    <w:rsid w:val="002E2A0F"/>
    <w:rsid w:val="002E30EA"/>
    <w:rsid w:val="002E3B06"/>
    <w:rsid w:val="002E3CD3"/>
    <w:rsid w:val="002E3D8A"/>
    <w:rsid w:val="002E61DC"/>
    <w:rsid w:val="002E64A1"/>
    <w:rsid w:val="002E7CF4"/>
    <w:rsid w:val="002F0107"/>
    <w:rsid w:val="002F0C4D"/>
    <w:rsid w:val="002F19E8"/>
    <w:rsid w:val="002F1C3C"/>
    <w:rsid w:val="002F307E"/>
    <w:rsid w:val="002F435A"/>
    <w:rsid w:val="002F442D"/>
    <w:rsid w:val="002F49B4"/>
    <w:rsid w:val="002F536F"/>
    <w:rsid w:val="002F548C"/>
    <w:rsid w:val="002F6259"/>
    <w:rsid w:val="002F66F9"/>
    <w:rsid w:val="002F6AE5"/>
    <w:rsid w:val="002F6C93"/>
    <w:rsid w:val="002F7178"/>
    <w:rsid w:val="002F77C2"/>
    <w:rsid w:val="00300353"/>
    <w:rsid w:val="0030094C"/>
    <w:rsid w:val="00300BB9"/>
    <w:rsid w:val="0030125E"/>
    <w:rsid w:val="003013ED"/>
    <w:rsid w:val="003018D3"/>
    <w:rsid w:val="0030254D"/>
    <w:rsid w:val="00302749"/>
    <w:rsid w:val="00302E58"/>
    <w:rsid w:val="003030FD"/>
    <w:rsid w:val="0030330F"/>
    <w:rsid w:val="0030426D"/>
    <w:rsid w:val="00304460"/>
    <w:rsid w:val="00306159"/>
    <w:rsid w:val="00306E97"/>
    <w:rsid w:val="00307414"/>
    <w:rsid w:val="003077CB"/>
    <w:rsid w:val="0030782E"/>
    <w:rsid w:val="00307CCB"/>
    <w:rsid w:val="00307F72"/>
    <w:rsid w:val="003105F0"/>
    <w:rsid w:val="0031080E"/>
    <w:rsid w:val="003109CF"/>
    <w:rsid w:val="00311A1D"/>
    <w:rsid w:val="003122A2"/>
    <w:rsid w:val="00312A9A"/>
    <w:rsid w:val="00312EF4"/>
    <w:rsid w:val="003130BF"/>
    <w:rsid w:val="003130C8"/>
    <w:rsid w:val="003131B2"/>
    <w:rsid w:val="00314204"/>
    <w:rsid w:val="003149D2"/>
    <w:rsid w:val="0031548C"/>
    <w:rsid w:val="00315B20"/>
    <w:rsid w:val="00316008"/>
    <w:rsid w:val="00316711"/>
    <w:rsid w:val="00316DDF"/>
    <w:rsid w:val="00316F4A"/>
    <w:rsid w:val="003176E7"/>
    <w:rsid w:val="00320260"/>
    <w:rsid w:val="003206D2"/>
    <w:rsid w:val="00321B1E"/>
    <w:rsid w:val="003228CF"/>
    <w:rsid w:val="00322AB9"/>
    <w:rsid w:val="003250F5"/>
    <w:rsid w:val="00325627"/>
    <w:rsid w:val="00326B60"/>
    <w:rsid w:val="003277A2"/>
    <w:rsid w:val="00331790"/>
    <w:rsid w:val="00331826"/>
    <w:rsid w:val="003318B5"/>
    <w:rsid w:val="003319C0"/>
    <w:rsid w:val="0033331F"/>
    <w:rsid w:val="00333321"/>
    <w:rsid w:val="003345B6"/>
    <w:rsid w:val="00334738"/>
    <w:rsid w:val="0033493E"/>
    <w:rsid w:val="00334CED"/>
    <w:rsid w:val="003378C1"/>
    <w:rsid w:val="00340BA5"/>
    <w:rsid w:val="00340E43"/>
    <w:rsid w:val="0034120D"/>
    <w:rsid w:val="00341D44"/>
    <w:rsid w:val="003420E4"/>
    <w:rsid w:val="00342AE3"/>
    <w:rsid w:val="00342EEA"/>
    <w:rsid w:val="00343C92"/>
    <w:rsid w:val="003443AB"/>
    <w:rsid w:val="00344C7D"/>
    <w:rsid w:val="00345C3E"/>
    <w:rsid w:val="00345C9A"/>
    <w:rsid w:val="003464C6"/>
    <w:rsid w:val="00347592"/>
    <w:rsid w:val="00350374"/>
    <w:rsid w:val="0035046E"/>
    <w:rsid w:val="0035084C"/>
    <w:rsid w:val="00350F7C"/>
    <w:rsid w:val="0035142D"/>
    <w:rsid w:val="00351B74"/>
    <w:rsid w:val="00351E91"/>
    <w:rsid w:val="0035201C"/>
    <w:rsid w:val="003544A1"/>
    <w:rsid w:val="00354A53"/>
    <w:rsid w:val="00355F03"/>
    <w:rsid w:val="00356212"/>
    <w:rsid w:val="003569DE"/>
    <w:rsid w:val="00356D01"/>
    <w:rsid w:val="00356F15"/>
    <w:rsid w:val="0035706A"/>
    <w:rsid w:val="003604E2"/>
    <w:rsid w:val="00361190"/>
    <w:rsid w:val="00361693"/>
    <w:rsid w:val="0036177E"/>
    <w:rsid w:val="003623DA"/>
    <w:rsid w:val="0036248D"/>
    <w:rsid w:val="0036321F"/>
    <w:rsid w:val="0036438E"/>
    <w:rsid w:val="003643FE"/>
    <w:rsid w:val="0036544B"/>
    <w:rsid w:val="00365644"/>
    <w:rsid w:val="003656A3"/>
    <w:rsid w:val="00365727"/>
    <w:rsid w:val="003657EC"/>
    <w:rsid w:val="00366727"/>
    <w:rsid w:val="00366B01"/>
    <w:rsid w:val="003703D7"/>
    <w:rsid w:val="00370B6C"/>
    <w:rsid w:val="00371253"/>
    <w:rsid w:val="00371994"/>
    <w:rsid w:val="003732E7"/>
    <w:rsid w:val="003741E3"/>
    <w:rsid w:val="003745FD"/>
    <w:rsid w:val="0037579C"/>
    <w:rsid w:val="00380928"/>
    <w:rsid w:val="003809BA"/>
    <w:rsid w:val="00380C28"/>
    <w:rsid w:val="00381297"/>
    <w:rsid w:val="00382145"/>
    <w:rsid w:val="00382366"/>
    <w:rsid w:val="00383AE9"/>
    <w:rsid w:val="00383B68"/>
    <w:rsid w:val="00384C47"/>
    <w:rsid w:val="00385B17"/>
    <w:rsid w:val="00385CE3"/>
    <w:rsid w:val="00386D84"/>
    <w:rsid w:val="00386F48"/>
    <w:rsid w:val="003871DC"/>
    <w:rsid w:val="003877E1"/>
    <w:rsid w:val="00390BCF"/>
    <w:rsid w:val="003917D7"/>
    <w:rsid w:val="003918D5"/>
    <w:rsid w:val="00391AFE"/>
    <w:rsid w:val="00392091"/>
    <w:rsid w:val="00392A89"/>
    <w:rsid w:val="003945BA"/>
    <w:rsid w:val="0039476F"/>
    <w:rsid w:val="00395678"/>
    <w:rsid w:val="00395B77"/>
    <w:rsid w:val="00396044"/>
    <w:rsid w:val="003970D4"/>
    <w:rsid w:val="00397AA9"/>
    <w:rsid w:val="003A089D"/>
    <w:rsid w:val="003A2B62"/>
    <w:rsid w:val="003A3846"/>
    <w:rsid w:val="003A4B2E"/>
    <w:rsid w:val="003A5D7C"/>
    <w:rsid w:val="003A6434"/>
    <w:rsid w:val="003A7BED"/>
    <w:rsid w:val="003B0856"/>
    <w:rsid w:val="003B09C2"/>
    <w:rsid w:val="003B0B07"/>
    <w:rsid w:val="003B125A"/>
    <w:rsid w:val="003B2544"/>
    <w:rsid w:val="003B294E"/>
    <w:rsid w:val="003B2C07"/>
    <w:rsid w:val="003B31CF"/>
    <w:rsid w:val="003B3BBB"/>
    <w:rsid w:val="003B4BA0"/>
    <w:rsid w:val="003B539F"/>
    <w:rsid w:val="003B6223"/>
    <w:rsid w:val="003B6A1F"/>
    <w:rsid w:val="003B6B65"/>
    <w:rsid w:val="003B6FAD"/>
    <w:rsid w:val="003B749D"/>
    <w:rsid w:val="003C19A2"/>
    <w:rsid w:val="003C1A67"/>
    <w:rsid w:val="003C285F"/>
    <w:rsid w:val="003C28D5"/>
    <w:rsid w:val="003C35DC"/>
    <w:rsid w:val="003C3A60"/>
    <w:rsid w:val="003C3C10"/>
    <w:rsid w:val="003C3C1D"/>
    <w:rsid w:val="003C4B77"/>
    <w:rsid w:val="003C6718"/>
    <w:rsid w:val="003C6B79"/>
    <w:rsid w:val="003C72DC"/>
    <w:rsid w:val="003C7AC6"/>
    <w:rsid w:val="003C7C36"/>
    <w:rsid w:val="003D14CF"/>
    <w:rsid w:val="003D15E2"/>
    <w:rsid w:val="003D1F47"/>
    <w:rsid w:val="003D26F5"/>
    <w:rsid w:val="003D273E"/>
    <w:rsid w:val="003D2F60"/>
    <w:rsid w:val="003D337E"/>
    <w:rsid w:val="003D4DD6"/>
    <w:rsid w:val="003D584A"/>
    <w:rsid w:val="003D5CD3"/>
    <w:rsid w:val="003D6226"/>
    <w:rsid w:val="003D64EE"/>
    <w:rsid w:val="003D7FCC"/>
    <w:rsid w:val="003E016A"/>
    <w:rsid w:val="003E14C4"/>
    <w:rsid w:val="003E2784"/>
    <w:rsid w:val="003E38CC"/>
    <w:rsid w:val="003E7096"/>
    <w:rsid w:val="003F04FA"/>
    <w:rsid w:val="003F10BB"/>
    <w:rsid w:val="003F145A"/>
    <w:rsid w:val="003F322D"/>
    <w:rsid w:val="003F3351"/>
    <w:rsid w:val="003F384F"/>
    <w:rsid w:val="003F3EA5"/>
    <w:rsid w:val="003F4003"/>
    <w:rsid w:val="003F40A7"/>
    <w:rsid w:val="003F482A"/>
    <w:rsid w:val="003F5B7D"/>
    <w:rsid w:val="003F5DAF"/>
    <w:rsid w:val="003F61FC"/>
    <w:rsid w:val="003F7098"/>
    <w:rsid w:val="003F749E"/>
    <w:rsid w:val="003F7713"/>
    <w:rsid w:val="00402E9D"/>
    <w:rsid w:val="00403693"/>
    <w:rsid w:val="00403895"/>
    <w:rsid w:val="00403A28"/>
    <w:rsid w:val="00403EFE"/>
    <w:rsid w:val="00405A63"/>
    <w:rsid w:val="00405F2D"/>
    <w:rsid w:val="0040650E"/>
    <w:rsid w:val="00406F94"/>
    <w:rsid w:val="004079B5"/>
    <w:rsid w:val="004102C5"/>
    <w:rsid w:val="00410984"/>
    <w:rsid w:val="00410F2D"/>
    <w:rsid w:val="0041250A"/>
    <w:rsid w:val="00414684"/>
    <w:rsid w:val="00416437"/>
    <w:rsid w:val="00416A6E"/>
    <w:rsid w:val="00416D51"/>
    <w:rsid w:val="0041757A"/>
    <w:rsid w:val="00417996"/>
    <w:rsid w:val="00421860"/>
    <w:rsid w:val="00421ABF"/>
    <w:rsid w:val="00421BA0"/>
    <w:rsid w:val="004234D9"/>
    <w:rsid w:val="00423AF0"/>
    <w:rsid w:val="00423ED0"/>
    <w:rsid w:val="0042456C"/>
    <w:rsid w:val="00426342"/>
    <w:rsid w:val="00426378"/>
    <w:rsid w:val="00426E7A"/>
    <w:rsid w:val="00427C0D"/>
    <w:rsid w:val="00430275"/>
    <w:rsid w:val="00430299"/>
    <w:rsid w:val="004307DE"/>
    <w:rsid w:val="004308F2"/>
    <w:rsid w:val="0043126C"/>
    <w:rsid w:val="00431FF7"/>
    <w:rsid w:val="0043489B"/>
    <w:rsid w:val="004348BF"/>
    <w:rsid w:val="0043604D"/>
    <w:rsid w:val="004363D6"/>
    <w:rsid w:val="0043668F"/>
    <w:rsid w:val="00440205"/>
    <w:rsid w:val="004417B4"/>
    <w:rsid w:val="004422C9"/>
    <w:rsid w:val="004426AA"/>
    <w:rsid w:val="00442858"/>
    <w:rsid w:val="00442E2F"/>
    <w:rsid w:val="00442F15"/>
    <w:rsid w:val="00443B10"/>
    <w:rsid w:val="00443BAD"/>
    <w:rsid w:val="00443D77"/>
    <w:rsid w:val="00444013"/>
    <w:rsid w:val="0044529F"/>
    <w:rsid w:val="00445D87"/>
    <w:rsid w:val="00446116"/>
    <w:rsid w:val="004467B0"/>
    <w:rsid w:val="004468B4"/>
    <w:rsid w:val="00446C78"/>
    <w:rsid w:val="00450168"/>
    <w:rsid w:val="00450A5C"/>
    <w:rsid w:val="00452734"/>
    <w:rsid w:val="004528A4"/>
    <w:rsid w:val="00452ABE"/>
    <w:rsid w:val="00453CFE"/>
    <w:rsid w:val="004554E0"/>
    <w:rsid w:val="00455716"/>
    <w:rsid w:val="00455923"/>
    <w:rsid w:val="0045602C"/>
    <w:rsid w:val="004569C2"/>
    <w:rsid w:val="00457355"/>
    <w:rsid w:val="00460E7C"/>
    <w:rsid w:val="00462640"/>
    <w:rsid w:val="00463494"/>
    <w:rsid w:val="004637C6"/>
    <w:rsid w:val="00463F6D"/>
    <w:rsid w:val="00464E66"/>
    <w:rsid w:val="00465979"/>
    <w:rsid w:val="0046623C"/>
    <w:rsid w:val="00466A17"/>
    <w:rsid w:val="00466B66"/>
    <w:rsid w:val="0046706C"/>
    <w:rsid w:val="0046767D"/>
    <w:rsid w:val="00470A49"/>
    <w:rsid w:val="00470B52"/>
    <w:rsid w:val="0047101E"/>
    <w:rsid w:val="00471588"/>
    <w:rsid w:val="0047202C"/>
    <w:rsid w:val="0047462B"/>
    <w:rsid w:val="00476061"/>
    <w:rsid w:val="004760A2"/>
    <w:rsid w:val="004760A3"/>
    <w:rsid w:val="00476648"/>
    <w:rsid w:val="0047689B"/>
    <w:rsid w:val="004768B9"/>
    <w:rsid w:val="00477458"/>
    <w:rsid w:val="00477952"/>
    <w:rsid w:val="00477BDA"/>
    <w:rsid w:val="004801AA"/>
    <w:rsid w:val="00480278"/>
    <w:rsid w:val="00480B67"/>
    <w:rsid w:val="00480B81"/>
    <w:rsid w:val="0048101E"/>
    <w:rsid w:val="0048217F"/>
    <w:rsid w:val="004835A2"/>
    <w:rsid w:val="0048407A"/>
    <w:rsid w:val="00485168"/>
    <w:rsid w:val="004852BC"/>
    <w:rsid w:val="00485DDA"/>
    <w:rsid w:val="004863E4"/>
    <w:rsid w:val="00487DEF"/>
    <w:rsid w:val="004903AC"/>
    <w:rsid w:val="004910A8"/>
    <w:rsid w:val="00491C68"/>
    <w:rsid w:val="00492690"/>
    <w:rsid w:val="004931E3"/>
    <w:rsid w:val="00493332"/>
    <w:rsid w:val="0049381C"/>
    <w:rsid w:val="00493B11"/>
    <w:rsid w:val="0049464E"/>
    <w:rsid w:val="00494AC5"/>
    <w:rsid w:val="00494FC9"/>
    <w:rsid w:val="00496F63"/>
    <w:rsid w:val="00497979"/>
    <w:rsid w:val="00497D6F"/>
    <w:rsid w:val="00497E52"/>
    <w:rsid w:val="004A10EB"/>
    <w:rsid w:val="004A1117"/>
    <w:rsid w:val="004A194C"/>
    <w:rsid w:val="004A28CC"/>
    <w:rsid w:val="004A338C"/>
    <w:rsid w:val="004A3588"/>
    <w:rsid w:val="004A57DD"/>
    <w:rsid w:val="004A69BD"/>
    <w:rsid w:val="004A6DCA"/>
    <w:rsid w:val="004A6FCE"/>
    <w:rsid w:val="004A706E"/>
    <w:rsid w:val="004B2CAB"/>
    <w:rsid w:val="004B4EFB"/>
    <w:rsid w:val="004B51C9"/>
    <w:rsid w:val="004B5284"/>
    <w:rsid w:val="004B5E17"/>
    <w:rsid w:val="004B7128"/>
    <w:rsid w:val="004B77CC"/>
    <w:rsid w:val="004C03B8"/>
    <w:rsid w:val="004C091C"/>
    <w:rsid w:val="004C0F3A"/>
    <w:rsid w:val="004C18A4"/>
    <w:rsid w:val="004C287F"/>
    <w:rsid w:val="004C3D04"/>
    <w:rsid w:val="004C4258"/>
    <w:rsid w:val="004C452C"/>
    <w:rsid w:val="004C47A3"/>
    <w:rsid w:val="004C4946"/>
    <w:rsid w:val="004C5F8B"/>
    <w:rsid w:val="004C788B"/>
    <w:rsid w:val="004D0159"/>
    <w:rsid w:val="004D0F66"/>
    <w:rsid w:val="004D143A"/>
    <w:rsid w:val="004D245C"/>
    <w:rsid w:val="004D29C1"/>
    <w:rsid w:val="004D2C16"/>
    <w:rsid w:val="004D2C19"/>
    <w:rsid w:val="004D31B7"/>
    <w:rsid w:val="004D4542"/>
    <w:rsid w:val="004D4E07"/>
    <w:rsid w:val="004D5527"/>
    <w:rsid w:val="004D5EEB"/>
    <w:rsid w:val="004D61D6"/>
    <w:rsid w:val="004D6745"/>
    <w:rsid w:val="004D7007"/>
    <w:rsid w:val="004D775D"/>
    <w:rsid w:val="004D7B1F"/>
    <w:rsid w:val="004E0A8E"/>
    <w:rsid w:val="004E1A14"/>
    <w:rsid w:val="004E1B77"/>
    <w:rsid w:val="004E1E71"/>
    <w:rsid w:val="004E2890"/>
    <w:rsid w:val="004E296A"/>
    <w:rsid w:val="004E2AFB"/>
    <w:rsid w:val="004E2DD6"/>
    <w:rsid w:val="004E2F8F"/>
    <w:rsid w:val="004E3E12"/>
    <w:rsid w:val="004E56A1"/>
    <w:rsid w:val="004E5D0B"/>
    <w:rsid w:val="004E6479"/>
    <w:rsid w:val="004E7318"/>
    <w:rsid w:val="004E7EAF"/>
    <w:rsid w:val="004F1C48"/>
    <w:rsid w:val="004F4299"/>
    <w:rsid w:val="004F497E"/>
    <w:rsid w:val="004F5669"/>
    <w:rsid w:val="004F576A"/>
    <w:rsid w:val="004F6E02"/>
    <w:rsid w:val="004F71F7"/>
    <w:rsid w:val="004F752F"/>
    <w:rsid w:val="004F77E2"/>
    <w:rsid w:val="004F796B"/>
    <w:rsid w:val="004F7EB9"/>
    <w:rsid w:val="00500239"/>
    <w:rsid w:val="00500504"/>
    <w:rsid w:val="00500729"/>
    <w:rsid w:val="00500A86"/>
    <w:rsid w:val="00501567"/>
    <w:rsid w:val="005016B4"/>
    <w:rsid w:val="00501B19"/>
    <w:rsid w:val="00501B75"/>
    <w:rsid w:val="0050313F"/>
    <w:rsid w:val="0050472C"/>
    <w:rsid w:val="00504C46"/>
    <w:rsid w:val="00504E2C"/>
    <w:rsid w:val="00504E41"/>
    <w:rsid w:val="00506A60"/>
    <w:rsid w:val="00506AB9"/>
    <w:rsid w:val="00506F87"/>
    <w:rsid w:val="005076ED"/>
    <w:rsid w:val="0051074F"/>
    <w:rsid w:val="00510C7E"/>
    <w:rsid w:val="00510E42"/>
    <w:rsid w:val="00512439"/>
    <w:rsid w:val="00512BE2"/>
    <w:rsid w:val="00513155"/>
    <w:rsid w:val="00513693"/>
    <w:rsid w:val="00513CF9"/>
    <w:rsid w:val="00514332"/>
    <w:rsid w:val="005148CC"/>
    <w:rsid w:val="00515012"/>
    <w:rsid w:val="0051513B"/>
    <w:rsid w:val="005175CC"/>
    <w:rsid w:val="00517C78"/>
    <w:rsid w:val="00517EA1"/>
    <w:rsid w:val="0052005B"/>
    <w:rsid w:val="00520707"/>
    <w:rsid w:val="00520B3D"/>
    <w:rsid w:val="00520ED1"/>
    <w:rsid w:val="00521181"/>
    <w:rsid w:val="0052187C"/>
    <w:rsid w:val="00521A43"/>
    <w:rsid w:val="00521FEF"/>
    <w:rsid w:val="005225DD"/>
    <w:rsid w:val="00522FDD"/>
    <w:rsid w:val="0052327E"/>
    <w:rsid w:val="0052343E"/>
    <w:rsid w:val="005238AF"/>
    <w:rsid w:val="00523941"/>
    <w:rsid w:val="00524D69"/>
    <w:rsid w:val="00524DCA"/>
    <w:rsid w:val="005268C9"/>
    <w:rsid w:val="00526921"/>
    <w:rsid w:val="0052765F"/>
    <w:rsid w:val="005276E5"/>
    <w:rsid w:val="0053013C"/>
    <w:rsid w:val="0053068E"/>
    <w:rsid w:val="00531ACE"/>
    <w:rsid w:val="00531B69"/>
    <w:rsid w:val="00532036"/>
    <w:rsid w:val="0053270B"/>
    <w:rsid w:val="00534E97"/>
    <w:rsid w:val="00535534"/>
    <w:rsid w:val="005356B8"/>
    <w:rsid w:val="00536A95"/>
    <w:rsid w:val="00536C00"/>
    <w:rsid w:val="00536E2C"/>
    <w:rsid w:val="0053765B"/>
    <w:rsid w:val="00540226"/>
    <w:rsid w:val="005406B9"/>
    <w:rsid w:val="00541021"/>
    <w:rsid w:val="00542659"/>
    <w:rsid w:val="00543515"/>
    <w:rsid w:val="00543ACA"/>
    <w:rsid w:val="00543E5C"/>
    <w:rsid w:val="00545118"/>
    <w:rsid w:val="00545200"/>
    <w:rsid w:val="0054557A"/>
    <w:rsid w:val="0054640D"/>
    <w:rsid w:val="00547321"/>
    <w:rsid w:val="005478DC"/>
    <w:rsid w:val="00547DE3"/>
    <w:rsid w:val="00550C22"/>
    <w:rsid w:val="0055114B"/>
    <w:rsid w:val="005520BB"/>
    <w:rsid w:val="0055395A"/>
    <w:rsid w:val="00553E51"/>
    <w:rsid w:val="00554007"/>
    <w:rsid w:val="00554278"/>
    <w:rsid w:val="005549D4"/>
    <w:rsid w:val="00555389"/>
    <w:rsid w:val="00555EEC"/>
    <w:rsid w:val="00556BB5"/>
    <w:rsid w:val="00556E20"/>
    <w:rsid w:val="0055731D"/>
    <w:rsid w:val="005608DF"/>
    <w:rsid w:val="00560AAC"/>
    <w:rsid w:val="00560C11"/>
    <w:rsid w:val="00560D8C"/>
    <w:rsid w:val="005618E0"/>
    <w:rsid w:val="00561D93"/>
    <w:rsid w:val="00561F11"/>
    <w:rsid w:val="005628E4"/>
    <w:rsid w:val="00562E56"/>
    <w:rsid w:val="005630C6"/>
    <w:rsid w:val="0056330C"/>
    <w:rsid w:val="005633AF"/>
    <w:rsid w:val="00564385"/>
    <w:rsid w:val="00564822"/>
    <w:rsid w:val="00565950"/>
    <w:rsid w:val="005660B0"/>
    <w:rsid w:val="00566814"/>
    <w:rsid w:val="00566B25"/>
    <w:rsid w:val="00566D7B"/>
    <w:rsid w:val="00567648"/>
    <w:rsid w:val="00567A0B"/>
    <w:rsid w:val="00567BC3"/>
    <w:rsid w:val="005703A9"/>
    <w:rsid w:val="0057052B"/>
    <w:rsid w:val="00570675"/>
    <w:rsid w:val="00570885"/>
    <w:rsid w:val="00571704"/>
    <w:rsid w:val="00571B9A"/>
    <w:rsid w:val="00572A23"/>
    <w:rsid w:val="00573906"/>
    <w:rsid w:val="00574535"/>
    <w:rsid w:val="005745B0"/>
    <w:rsid w:val="005750F5"/>
    <w:rsid w:val="005756EC"/>
    <w:rsid w:val="005757D2"/>
    <w:rsid w:val="005759D6"/>
    <w:rsid w:val="00576419"/>
    <w:rsid w:val="0057669C"/>
    <w:rsid w:val="005771BE"/>
    <w:rsid w:val="0057773A"/>
    <w:rsid w:val="005804AA"/>
    <w:rsid w:val="0058307B"/>
    <w:rsid w:val="005834A8"/>
    <w:rsid w:val="00583FCD"/>
    <w:rsid w:val="0058421F"/>
    <w:rsid w:val="00584BF8"/>
    <w:rsid w:val="00590334"/>
    <w:rsid w:val="005915AE"/>
    <w:rsid w:val="0059291D"/>
    <w:rsid w:val="00593051"/>
    <w:rsid w:val="005934FD"/>
    <w:rsid w:val="00593C89"/>
    <w:rsid w:val="00594C9E"/>
    <w:rsid w:val="00595459"/>
    <w:rsid w:val="00596231"/>
    <w:rsid w:val="0059683C"/>
    <w:rsid w:val="00596D37"/>
    <w:rsid w:val="00597134"/>
    <w:rsid w:val="00597C25"/>
    <w:rsid w:val="00597EE1"/>
    <w:rsid w:val="005A0B63"/>
    <w:rsid w:val="005A19A3"/>
    <w:rsid w:val="005A21C8"/>
    <w:rsid w:val="005A2491"/>
    <w:rsid w:val="005A30EB"/>
    <w:rsid w:val="005A40E3"/>
    <w:rsid w:val="005A4493"/>
    <w:rsid w:val="005A466F"/>
    <w:rsid w:val="005A4BE6"/>
    <w:rsid w:val="005A500F"/>
    <w:rsid w:val="005A64D6"/>
    <w:rsid w:val="005A65F6"/>
    <w:rsid w:val="005A66BD"/>
    <w:rsid w:val="005A6782"/>
    <w:rsid w:val="005A7F6B"/>
    <w:rsid w:val="005B0032"/>
    <w:rsid w:val="005B0505"/>
    <w:rsid w:val="005B14B7"/>
    <w:rsid w:val="005B1A14"/>
    <w:rsid w:val="005B24C8"/>
    <w:rsid w:val="005B53C5"/>
    <w:rsid w:val="005B5479"/>
    <w:rsid w:val="005B6109"/>
    <w:rsid w:val="005B6928"/>
    <w:rsid w:val="005B6C69"/>
    <w:rsid w:val="005C1A13"/>
    <w:rsid w:val="005C25D8"/>
    <w:rsid w:val="005C29BC"/>
    <w:rsid w:val="005C3F73"/>
    <w:rsid w:val="005C4885"/>
    <w:rsid w:val="005C5483"/>
    <w:rsid w:val="005C567E"/>
    <w:rsid w:val="005C5B50"/>
    <w:rsid w:val="005C6F9B"/>
    <w:rsid w:val="005D04DA"/>
    <w:rsid w:val="005D169F"/>
    <w:rsid w:val="005D3129"/>
    <w:rsid w:val="005D3CFA"/>
    <w:rsid w:val="005D3E40"/>
    <w:rsid w:val="005D40ED"/>
    <w:rsid w:val="005D481D"/>
    <w:rsid w:val="005D4943"/>
    <w:rsid w:val="005D4DF4"/>
    <w:rsid w:val="005D5100"/>
    <w:rsid w:val="005D517C"/>
    <w:rsid w:val="005D5D38"/>
    <w:rsid w:val="005D5D63"/>
    <w:rsid w:val="005D7665"/>
    <w:rsid w:val="005D7A0E"/>
    <w:rsid w:val="005E0F6A"/>
    <w:rsid w:val="005E164F"/>
    <w:rsid w:val="005E17DF"/>
    <w:rsid w:val="005E2716"/>
    <w:rsid w:val="005E2AF5"/>
    <w:rsid w:val="005E3202"/>
    <w:rsid w:val="005E59FF"/>
    <w:rsid w:val="005E69E2"/>
    <w:rsid w:val="005E7174"/>
    <w:rsid w:val="005E72E9"/>
    <w:rsid w:val="005F050C"/>
    <w:rsid w:val="005F0619"/>
    <w:rsid w:val="005F13BF"/>
    <w:rsid w:val="005F159E"/>
    <w:rsid w:val="005F18F5"/>
    <w:rsid w:val="005F1D11"/>
    <w:rsid w:val="005F201B"/>
    <w:rsid w:val="005F2DE4"/>
    <w:rsid w:val="005F354F"/>
    <w:rsid w:val="005F4632"/>
    <w:rsid w:val="005F469E"/>
    <w:rsid w:val="005F5784"/>
    <w:rsid w:val="005F5F19"/>
    <w:rsid w:val="005F6674"/>
    <w:rsid w:val="005F685B"/>
    <w:rsid w:val="006000A4"/>
    <w:rsid w:val="00600FF7"/>
    <w:rsid w:val="00603185"/>
    <w:rsid w:val="00603ED3"/>
    <w:rsid w:val="0060461F"/>
    <w:rsid w:val="00604AAB"/>
    <w:rsid w:val="00604C42"/>
    <w:rsid w:val="00604CD6"/>
    <w:rsid w:val="00605189"/>
    <w:rsid w:val="00605429"/>
    <w:rsid w:val="00605DE9"/>
    <w:rsid w:val="00606624"/>
    <w:rsid w:val="0060666D"/>
    <w:rsid w:val="00607F7C"/>
    <w:rsid w:val="00610927"/>
    <w:rsid w:val="00610AEC"/>
    <w:rsid w:val="006112D6"/>
    <w:rsid w:val="00611631"/>
    <w:rsid w:val="00611F06"/>
    <w:rsid w:val="00611FA9"/>
    <w:rsid w:val="00613113"/>
    <w:rsid w:val="0061590D"/>
    <w:rsid w:val="006203B3"/>
    <w:rsid w:val="006205C6"/>
    <w:rsid w:val="006211F8"/>
    <w:rsid w:val="006228B4"/>
    <w:rsid w:val="00622A7A"/>
    <w:rsid w:val="00622D28"/>
    <w:rsid w:val="006235A1"/>
    <w:rsid w:val="00624688"/>
    <w:rsid w:val="00624CE2"/>
    <w:rsid w:val="00625032"/>
    <w:rsid w:val="00625B89"/>
    <w:rsid w:val="00627DEF"/>
    <w:rsid w:val="00630080"/>
    <w:rsid w:val="00630600"/>
    <w:rsid w:val="00630FA0"/>
    <w:rsid w:val="00632568"/>
    <w:rsid w:val="00632A8F"/>
    <w:rsid w:val="00633257"/>
    <w:rsid w:val="00633E23"/>
    <w:rsid w:val="00634B34"/>
    <w:rsid w:val="006372AC"/>
    <w:rsid w:val="00637B44"/>
    <w:rsid w:val="00637EBF"/>
    <w:rsid w:val="00643461"/>
    <w:rsid w:val="0064453C"/>
    <w:rsid w:val="0064456B"/>
    <w:rsid w:val="006445B2"/>
    <w:rsid w:val="006450A2"/>
    <w:rsid w:val="00647FB7"/>
    <w:rsid w:val="006515F0"/>
    <w:rsid w:val="00651B17"/>
    <w:rsid w:val="00651E5F"/>
    <w:rsid w:val="006521B6"/>
    <w:rsid w:val="0065231D"/>
    <w:rsid w:val="00652D73"/>
    <w:rsid w:val="00652F77"/>
    <w:rsid w:val="00653E12"/>
    <w:rsid w:val="00655241"/>
    <w:rsid w:val="00656A1F"/>
    <w:rsid w:val="00660001"/>
    <w:rsid w:val="006600E9"/>
    <w:rsid w:val="006606C8"/>
    <w:rsid w:val="00661272"/>
    <w:rsid w:val="00662E6D"/>
    <w:rsid w:val="0066323D"/>
    <w:rsid w:val="00663912"/>
    <w:rsid w:val="00665CE4"/>
    <w:rsid w:val="0066607D"/>
    <w:rsid w:val="006663FE"/>
    <w:rsid w:val="00666F3F"/>
    <w:rsid w:val="00670B8E"/>
    <w:rsid w:val="00670C31"/>
    <w:rsid w:val="0067104A"/>
    <w:rsid w:val="0067262F"/>
    <w:rsid w:val="0067352D"/>
    <w:rsid w:val="00673C19"/>
    <w:rsid w:val="006741D1"/>
    <w:rsid w:val="0067683F"/>
    <w:rsid w:val="00676BF2"/>
    <w:rsid w:val="006774EC"/>
    <w:rsid w:val="00680595"/>
    <w:rsid w:val="00680CF6"/>
    <w:rsid w:val="0068130E"/>
    <w:rsid w:val="006821F8"/>
    <w:rsid w:val="00683A71"/>
    <w:rsid w:val="00683DCB"/>
    <w:rsid w:val="00684357"/>
    <w:rsid w:val="00685653"/>
    <w:rsid w:val="0068583C"/>
    <w:rsid w:val="006860FD"/>
    <w:rsid w:val="00686367"/>
    <w:rsid w:val="00686D97"/>
    <w:rsid w:val="00687D35"/>
    <w:rsid w:val="006902C8"/>
    <w:rsid w:val="0069094A"/>
    <w:rsid w:val="00690B9E"/>
    <w:rsid w:val="006920CD"/>
    <w:rsid w:val="0069239F"/>
    <w:rsid w:val="00692589"/>
    <w:rsid w:val="00692E84"/>
    <w:rsid w:val="0069302B"/>
    <w:rsid w:val="00693620"/>
    <w:rsid w:val="006938DD"/>
    <w:rsid w:val="00693A85"/>
    <w:rsid w:val="00693EBD"/>
    <w:rsid w:val="006944E9"/>
    <w:rsid w:val="00694BA3"/>
    <w:rsid w:val="00694F48"/>
    <w:rsid w:val="006956E7"/>
    <w:rsid w:val="00695B6D"/>
    <w:rsid w:val="00696309"/>
    <w:rsid w:val="00697196"/>
    <w:rsid w:val="006973CC"/>
    <w:rsid w:val="006A087A"/>
    <w:rsid w:val="006A2646"/>
    <w:rsid w:val="006A4569"/>
    <w:rsid w:val="006A4807"/>
    <w:rsid w:val="006A4D6B"/>
    <w:rsid w:val="006A55FB"/>
    <w:rsid w:val="006A647E"/>
    <w:rsid w:val="006B1A74"/>
    <w:rsid w:val="006B2D46"/>
    <w:rsid w:val="006B35B7"/>
    <w:rsid w:val="006B4C4E"/>
    <w:rsid w:val="006B5350"/>
    <w:rsid w:val="006B5ABF"/>
    <w:rsid w:val="006B5CA3"/>
    <w:rsid w:val="006B6EFB"/>
    <w:rsid w:val="006C0D13"/>
    <w:rsid w:val="006C0D4D"/>
    <w:rsid w:val="006C11F0"/>
    <w:rsid w:val="006C2CD0"/>
    <w:rsid w:val="006C3929"/>
    <w:rsid w:val="006C514C"/>
    <w:rsid w:val="006C5BFC"/>
    <w:rsid w:val="006C6180"/>
    <w:rsid w:val="006C75E1"/>
    <w:rsid w:val="006C7EC7"/>
    <w:rsid w:val="006C7F26"/>
    <w:rsid w:val="006D0479"/>
    <w:rsid w:val="006D0EB9"/>
    <w:rsid w:val="006D2DB4"/>
    <w:rsid w:val="006D3306"/>
    <w:rsid w:val="006D4B14"/>
    <w:rsid w:val="006D56BA"/>
    <w:rsid w:val="006D5788"/>
    <w:rsid w:val="006D676F"/>
    <w:rsid w:val="006D7AB3"/>
    <w:rsid w:val="006E0F4E"/>
    <w:rsid w:val="006E197A"/>
    <w:rsid w:val="006E1EAC"/>
    <w:rsid w:val="006E28D5"/>
    <w:rsid w:val="006E335A"/>
    <w:rsid w:val="006E4F07"/>
    <w:rsid w:val="006E5043"/>
    <w:rsid w:val="006E525C"/>
    <w:rsid w:val="006E5DB2"/>
    <w:rsid w:val="006E5E70"/>
    <w:rsid w:val="006E5F56"/>
    <w:rsid w:val="006E60D5"/>
    <w:rsid w:val="006E72CE"/>
    <w:rsid w:val="006E7431"/>
    <w:rsid w:val="006E7BD6"/>
    <w:rsid w:val="006E7D6A"/>
    <w:rsid w:val="006E7FC5"/>
    <w:rsid w:val="006F0349"/>
    <w:rsid w:val="006F03D4"/>
    <w:rsid w:val="006F0573"/>
    <w:rsid w:val="006F0BE5"/>
    <w:rsid w:val="006F38E4"/>
    <w:rsid w:val="006F4804"/>
    <w:rsid w:val="006F5035"/>
    <w:rsid w:val="006F56E2"/>
    <w:rsid w:val="006F5A3D"/>
    <w:rsid w:val="006F5D04"/>
    <w:rsid w:val="006F6BDF"/>
    <w:rsid w:val="00700B77"/>
    <w:rsid w:val="00700D60"/>
    <w:rsid w:val="00701C5F"/>
    <w:rsid w:val="00702833"/>
    <w:rsid w:val="007029F9"/>
    <w:rsid w:val="00704D86"/>
    <w:rsid w:val="007063CD"/>
    <w:rsid w:val="00706BD8"/>
    <w:rsid w:val="007071CF"/>
    <w:rsid w:val="007076AB"/>
    <w:rsid w:val="00710930"/>
    <w:rsid w:val="00710BA0"/>
    <w:rsid w:val="00710D18"/>
    <w:rsid w:val="00710F1B"/>
    <w:rsid w:val="007123F1"/>
    <w:rsid w:val="00712EA2"/>
    <w:rsid w:val="00713102"/>
    <w:rsid w:val="007131CA"/>
    <w:rsid w:val="0071366D"/>
    <w:rsid w:val="00713C4C"/>
    <w:rsid w:val="00713DB2"/>
    <w:rsid w:val="00713ED3"/>
    <w:rsid w:val="00714072"/>
    <w:rsid w:val="00714632"/>
    <w:rsid w:val="00714931"/>
    <w:rsid w:val="00714994"/>
    <w:rsid w:val="007149D1"/>
    <w:rsid w:val="00714C36"/>
    <w:rsid w:val="00714D09"/>
    <w:rsid w:val="0071534C"/>
    <w:rsid w:val="00715965"/>
    <w:rsid w:val="00715EEB"/>
    <w:rsid w:val="007169FF"/>
    <w:rsid w:val="0071741F"/>
    <w:rsid w:val="00717681"/>
    <w:rsid w:val="00717A06"/>
    <w:rsid w:val="007203E9"/>
    <w:rsid w:val="007204CC"/>
    <w:rsid w:val="00720CBC"/>
    <w:rsid w:val="007215EF"/>
    <w:rsid w:val="00721655"/>
    <w:rsid w:val="007218D3"/>
    <w:rsid w:val="00721EAB"/>
    <w:rsid w:val="00722182"/>
    <w:rsid w:val="00722693"/>
    <w:rsid w:val="00722714"/>
    <w:rsid w:val="00724451"/>
    <w:rsid w:val="00725985"/>
    <w:rsid w:val="0072606C"/>
    <w:rsid w:val="00726FB7"/>
    <w:rsid w:val="0072781A"/>
    <w:rsid w:val="00730904"/>
    <w:rsid w:val="00731431"/>
    <w:rsid w:val="00731668"/>
    <w:rsid w:val="00731759"/>
    <w:rsid w:val="00731817"/>
    <w:rsid w:val="00731BF5"/>
    <w:rsid w:val="00732206"/>
    <w:rsid w:val="00732AE5"/>
    <w:rsid w:val="00732F34"/>
    <w:rsid w:val="00733C51"/>
    <w:rsid w:val="00733D44"/>
    <w:rsid w:val="00734135"/>
    <w:rsid w:val="00734E88"/>
    <w:rsid w:val="00735FF5"/>
    <w:rsid w:val="007374F8"/>
    <w:rsid w:val="00737F46"/>
    <w:rsid w:val="00740DA7"/>
    <w:rsid w:val="00741290"/>
    <w:rsid w:val="00741F6E"/>
    <w:rsid w:val="007422A1"/>
    <w:rsid w:val="0074275C"/>
    <w:rsid w:val="0074379D"/>
    <w:rsid w:val="007441EA"/>
    <w:rsid w:val="007457E0"/>
    <w:rsid w:val="00746677"/>
    <w:rsid w:val="00747E52"/>
    <w:rsid w:val="00750421"/>
    <w:rsid w:val="00750B1F"/>
    <w:rsid w:val="00750D5C"/>
    <w:rsid w:val="00751807"/>
    <w:rsid w:val="00752041"/>
    <w:rsid w:val="00752A69"/>
    <w:rsid w:val="007551E3"/>
    <w:rsid w:val="0075542F"/>
    <w:rsid w:val="00760A5C"/>
    <w:rsid w:val="00760D6A"/>
    <w:rsid w:val="00761A6B"/>
    <w:rsid w:val="00762659"/>
    <w:rsid w:val="00763CA2"/>
    <w:rsid w:val="00763DA6"/>
    <w:rsid w:val="00764224"/>
    <w:rsid w:val="00764C4E"/>
    <w:rsid w:val="00764F29"/>
    <w:rsid w:val="0076582B"/>
    <w:rsid w:val="007658A1"/>
    <w:rsid w:val="007661F2"/>
    <w:rsid w:val="0076646D"/>
    <w:rsid w:val="007666E0"/>
    <w:rsid w:val="0077087E"/>
    <w:rsid w:val="00770EB4"/>
    <w:rsid w:val="00771405"/>
    <w:rsid w:val="00773375"/>
    <w:rsid w:val="007734D4"/>
    <w:rsid w:val="00773587"/>
    <w:rsid w:val="00773CCA"/>
    <w:rsid w:val="00773F00"/>
    <w:rsid w:val="007742B1"/>
    <w:rsid w:val="007750F1"/>
    <w:rsid w:val="007757D6"/>
    <w:rsid w:val="00776422"/>
    <w:rsid w:val="007769B5"/>
    <w:rsid w:val="00776C8E"/>
    <w:rsid w:val="00776FA8"/>
    <w:rsid w:val="0077744B"/>
    <w:rsid w:val="00777D3F"/>
    <w:rsid w:val="00777E19"/>
    <w:rsid w:val="00780942"/>
    <w:rsid w:val="00780AE9"/>
    <w:rsid w:val="0078114D"/>
    <w:rsid w:val="00783CCA"/>
    <w:rsid w:val="0078446C"/>
    <w:rsid w:val="007846F6"/>
    <w:rsid w:val="00784A75"/>
    <w:rsid w:val="00785CF6"/>
    <w:rsid w:val="007862BA"/>
    <w:rsid w:val="00787562"/>
    <w:rsid w:val="007909FA"/>
    <w:rsid w:val="00790FB5"/>
    <w:rsid w:val="0079143E"/>
    <w:rsid w:val="00791F3A"/>
    <w:rsid w:val="00792253"/>
    <w:rsid w:val="00795F4A"/>
    <w:rsid w:val="0079764F"/>
    <w:rsid w:val="00797EAB"/>
    <w:rsid w:val="007A0941"/>
    <w:rsid w:val="007A0B23"/>
    <w:rsid w:val="007A0DCD"/>
    <w:rsid w:val="007A1B19"/>
    <w:rsid w:val="007A2100"/>
    <w:rsid w:val="007A296C"/>
    <w:rsid w:val="007A2E4F"/>
    <w:rsid w:val="007A3BCA"/>
    <w:rsid w:val="007A3DDC"/>
    <w:rsid w:val="007A42B4"/>
    <w:rsid w:val="007A72E9"/>
    <w:rsid w:val="007B1402"/>
    <w:rsid w:val="007B1732"/>
    <w:rsid w:val="007B2CF1"/>
    <w:rsid w:val="007B2E6F"/>
    <w:rsid w:val="007B4B04"/>
    <w:rsid w:val="007B544A"/>
    <w:rsid w:val="007B5483"/>
    <w:rsid w:val="007B54D7"/>
    <w:rsid w:val="007B5B22"/>
    <w:rsid w:val="007B5CBA"/>
    <w:rsid w:val="007B5EF0"/>
    <w:rsid w:val="007B6AEF"/>
    <w:rsid w:val="007B759C"/>
    <w:rsid w:val="007B7932"/>
    <w:rsid w:val="007B7CCC"/>
    <w:rsid w:val="007C0A49"/>
    <w:rsid w:val="007C122D"/>
    <w:rsid w:val="007C1BF1"/>
    <w:rsid w:val="007C2117"/>
    <w:rsid w:val="007C21C3"/>
    <w:rsid w:val="007C2215"/>
    <w:rsid w:val="007C2A0C"/>
    <w:rsid w:val="007C3B27"/>
    <w:rsid w:val="007C445D"/>
    <w:rsid w:val="007C4472"/>
    <w:rsid w:val="007C4E58"/>
    <w:rsid w:val="007C51B3"/>
    <w:rsid w:val="007C5968"/>
    <w:rsid w:val="007C7C37"/>
    <w:rsid w:val="007D01CC"/>
    <w:rsid w:val="007D0C47"/>
    <w:rsid w:val="007D1456"/>
    <w:rsid w:val="007D170C"/>
    <w:rsid w:val="007D1CC3"/>
    <w:rsid w:val="007D302E"/>
    <w:rsid w:val="007D3CBE"/>
    <w:rsid w:val="007D4BC4"/>
    <w:rsid w:val="007D572B"/>
    <w:rsid w:val="007D65BD"/>
    <w:rsid w:val="007D79B5"/>
    <w:rsid w:val="007D7F89"/>
    <w:rsid w:val="007E02EC"/>
    <w:rsid w:val="007E05C4"/>
    <w:rsid w:val="007E0D6B"/>
    <w:rsid w:val="007E1405"/>
    <w:rsid w:val="007E179C"/>
    <w:rsid w:val="007E251E"/>
    <w:rsid w:val="007E2B05"/>
    <w:rsid w:val="007E2CFC"/>
    <w:rsid w:val="007E482A"/>
    <w:rsid w:val="007E5279"/>
    <w:rsid w:val="007E6D25"/>
    <w:rsid w:val="007E6DD9"/>
    <w:rsid w:val="007E718B"/>
    <w:rsid w:val="007E7467"/>
    <w:rsid w:val="007F0C7B"/>
    <w:rsid w:val="007F1467"/>
    <w:rsid w:val="007F1AFD"/>
    <w:rsid w:val="007F2230"/>
    <w:rsid w:val="007F24CB"/>
    <w:rsid w:val="007F2517"/>
    <w:rsid w:val="007F269F"/>
    <w:rsid w:val="007F2C59"/>
    <w:rsid w:val="007F2D0D"/>
    <w:rsid w:val="007F3979"/>
    <w:rsid w:val="007F3C4D"/>
    <w:rsid w:val="007F4F3A"/>
    <w:rsid w:val="007F5251"/>
    <w:rsid w:val="007F70EB"/>
    <w:rsid w:val="007F7212"/>
    <w:rsid w:val="007F74C6"/>
    <w:rsid w:val="007F7E36"/>
    <w:rsid w:val="00800A1F"/>
    <w:rsid w:val="00803FDF"/>
    <w:rsid w:val="008043E3"/>
    <w:rsid w:val="00805683"/>
    <w:rsid w:val="00806566"/>
    <w:rsid w:val="008066AC"/>
    <w:rsid w:val="008066D6"/>
    <w:rsid w:val="00806759"/>
    <w:rsid w:val="00806882"/>
    <w:rsid w:val="00807175"/>
    <w:rsid w:val="00807354"/>
    <w:rsid w:val="0080786C"/>
    <w:rsid w:val="00811B84"/>
    <w:rsid w:val="00812647"/>
    <w:rsid w:val="0081289A"/>
    <w:rsid w:val="00813235"/>
    <w:rsid w:val="00813B50"/>
    <w:rsid w:val="00815038"/>
    <w:rsid w:val="0081516D"/>
    <w:rsid w:val="00815C19"/>
    <w:rsid w:val="00816132"/>
    <w:rsid w:val="00820B6C"/>
    <w:rsid w:val="00821357"/>
    <w:rsid w:val="00821E18"/>
    <w:rsid w:val="008220F1"/>
    <w:rsid w:val="0082223E"/>
    <w:rsid w:val="0082267C"/>
    <w:rsid w:val="00822D7A"/>
    <w:rsid w:val="00822DC5"/>
    <w:rsid w:val="00824EBA"/>
    <w:rsid w:val="00825C63"/>
    <w:rsid w:val="00825C7A"/>
    <w:rsid w:val="00825D29"/>
    <w:rsid w:val="008261DF"/>
    <w:rsid w:val="00826696"/>
    <w:rsid w:val="00827544"/>
    <w:rsid w:val="008276A3"/>
    <w:rsid w:val="008276B1"/>
    <w:rsid w:val="00827846"/>
    <w:rsid w:val="00831830"/>
    <w:rsid w:val="00832133"/>
    <w:rsid w:val="00832381"/>
    <w:rsid w:val="00833B0E"/>
    <w:rsid w:val="00835503"/>
    <w:rsid w:val="00835D03"/>
    <w:rsid w:val="008360FC"/>
    <w:rsid w:val="008365A2"/>
    <w:rsid w:val="00836EBC"/>
    <w:rsid w:val="00837BA3"/>
    <w:rsid w:val="00837E3F"/>
    <w:rsid w:val="00840585"/>
    <w:rsid w:val="008407A4"/>
    <w:rsid w:val="008408E0"/>
    <w:rsid w:val="00840FBD"/>
    <w:rsid w:val="00841315"/>
    <w:rsid w:val="0084150E"/>
    <w:rsid w:val="00844093"/>
    <w:rsid w:val="008444E1"/>
    <w:rsid w:val="0084563C"/>
    <w:rsid w:val="00847588"/>
    <w:rsid w:val="00850220"/>
    <w:rsid w:val="00850DA8"/>
    <w:rsid w:val="0085371F"/>
    <w:rsid w:val="00855056"/>
    <w:rsid w:val="008556BF"/>
    <w:rsid w:val="00855FF5"/>
    <w:rsid w:val="00856602"/>
    <w:rsid w:val="008569A3"/>
    <w:rsid w:val="00857B97"/>
    <w:rsid w:val="00860541"/>
    <w:rsid w:val="00860620"/>
    <w:rsid w:val="00860C1B"/>
    <w:rsid w:val="00861D42"/>
    <w:rsid w:val="0086238C"/>
    <w:rsid w:val="008626AB"/>
    <w:rsid w:val="008627CC"/>
    <w:rsid w:val="0086303C"/>
    <w:rsid w:val="00864316"/>
    <w:rsid w:val="00864333"/>
    <w:rsid w:val="00865773"/>
    <w:rsid w:val="00865858"/>
    <w:rsid w:val="008659D0"/>
    <w:rsid w:val="008673CA"/>
    <w:rsid w:val="008674BE"/>
    <w:rsid w:val="0086771A"/>
    <w:rsid w:val="00867795"/>
    <w:rsid w:val="0087079C"/>
    <w:rsid w:val="008709B2"/>
    <w:rsid w:val="00870D73"/>
    <w:rsid w:val="00871B9F"/>
    <w:rsid w:val="0087301D"/>
    <w:rsid w:val="0087360A"/>
    <w:rsid w:val="0087432B"/>
    <w:rsid w:val="008750B2"/>
    <w:rsid w:val="0087587B"/>
    <w:rsid w:val="00875DA1"/>
    <w:rsid w:val="00875DF8"/>
    <w:rsid w:val="008775B5"/>
    <w:rsid w:val="00880512"/>
    <w:rsid w:val="008814AF"/>
    <w:rsid w:val="0088155C"/>
    <w:rsid w:val="00881A51"/>
    <w:rsid w:val="00881EEF"/>
    <w:rsid w:val="00882991"/>
    <w:rsid w:val="00882E31"/>
    <w:rsid w:val="0088417F"/>
    <w:rsid w:val="00884B6D"/>
    <w:rsid w:val="00885454"/>
    <w:rsid w:val="008854B5"/>
    <w:rsid w:val="00885DC9"/>
    <w:rsid w:val="00885EA4"/>
    <w:rsid w:val="00886414"/>
    <w:rsid w:val="00886725"/>
    <w:rsid w:val="00886ACC"/>
    <w:rsid w:val="00886AF1"/>
    <w:rsid w:val="00887217"/>
    <w:rsid w:val="00887C02"/>
    <w:rsid w:val="00887FAC"/>
    <w:rsid w:val="0089040E"/>
    <w:rsid w:val="00890AA7"/>
    <w:rsid w:val="00890C89"/>
    <w:rsid w:val="008912DA"/>
    <w:rsid w:val="00893657"/>
    <w:rsid w:val="00893A42"/>
    <w:rsid w:val="00894545"/>
    <w:rsid w:val="008946DD"/>
    <w:rsid w:val="008952C6"/>
    <w:rsid w:val="0089611B"/>
    <w:rsid w:val="00896E70"/>
    <w:rsid w:val="008A0DA7"/>
    <w:rsid w:val="008A1425"/>
    <w:rsid w:val="008A1E48"/>
    <w:rsid w:val="008A1F91"/>
    <w:rsid w:val="008A293E"/>
    <w:rsid w:val="008A2CDC"/>
    <w:rsid w:val="008A3802"/>
    <w:rsid w:val="008A3D57"/>
    <w:rsid w:val="008A4789"/>
    <w:rsid w:val="008A5B2C"/>
    <w:rsid w:val="008A62DB"/>
    <w:rsid w:val="008A6935"/>
    <w:rsid w:val="008A6E47"/>
    <w:rsid w:val="008A7EFB"/>
    <w:rsid w:val="008B05BA"/>
    <w:rsid w:val="008B097A"/>
    <w:rsid w:val="008B1210"/>
    <w:rsid w:val="008B2558"/>
    <w:rsid w:val="008B2BA8"/>
    <w:rsid w:val="008B3237"/>
    <w:rsid w:val="008B32D3"/>
    <w:rsid w:val="008B4124"/>
    <w:rsid w:val="008B449D"/>
    <w:rsid w:val="008B5308"/>
    <w:rsid w:val="008B538B"/>
    <w:rsid w:val="008B596D"/>
    <w:rsid w:val="008B5ACB"/>
    <w:rsid w:val="008B75A7"/>
    <w:rsid w:val="008B7F80"/>
    <w:rsid w:val="008C027C"/>
    <w:rsid w:val="008C0D3C"/>
    <w:rsid w:val="008C1313"/>
    <w:rsid w:val="008C13DB"/>
    <w:rsid w:val="008C17EB"/>
    <w:rsid w:val="008C1CC5"/>
    <w:rsid w:val="008C284D"/>
    <w:rsid w:val="008C3BE6"/>
    <w:rsid w:val="008C4A81"/>
    <w:rsid w:val="008C4C77"/>
    <w:rsid w:val="008C4D3B"/>
    <w:rsid w:val="008C4F32"/>
    <w:rsid w:val="008C5BC6"/>
    <w:rsid w:val="008C6086"/>
    <w:rsid w:val="008C6552"/>
    <w:rsid w:val="008C6849"/>
    <w:rsid w:val="008C7111"/>
    <w:rsid w:val="008C7155"/>
    <w:rsid w:val="008D0A47"/>
    <w:rsid w:val="008D1FEF"/>
    <w:rsid w:val="008D2B73"/>
    <w:rsid w:val="008D301A"/>
    <w:rsid w:val="008D5B13"/>
    <w:rsid w:val="008D5DBB"/>
    <w:rsid w:val="008D6159"/>
    <w:rsid w:val="008D7086"/>
    <w:rsid w:val="008D7BCD"/>
    <w:rsid w:val="008E03CC"/>
    <w:rsid w:val="008E046C"/>
    <w:rsid w:val="008E0E12"/>
    <w:rsid w:val="008E1D33"/>
    <w:rsid w:val="008E1E81"/>
    <w:rsid w:val="008E4036"/>
    <w:rsid w:val="008E4734"/>
    <w:rsid w:val="008E483A"/>
    <w:rsid w:val="008E4E49"/>
    <w:rsid w:val="008E5658"/>
    <w:rsid w:val="008E6681"/>
    <w:rsid w:val="008E6B78"/>
    <w:rsid w:val="008E6E49"/>
    <w:rsid w:val="008F0122"/>
    <w:rsid w:val="008F0339"/>
    <w:rsid w:val="008F1515"/>
    <w:rsid w:val="008F1F51"/>
    <w:rsid w:val="008F20F7"/>
    <w:rsid w:val="008F257A"/>
    <w:rsid w:val="008F41E4"/>
    <w:rsid w:val="008F5CC4"/>
    <w:rsid w:val="008F6183"/>
    <w:rsid w:val="008F64CD"/>
    <w:rsid w:val="008F7615"/>
    <w:rsid w:val="008F7695"/>
    <w:rsid w:val="008F7DC6"/>
    <w:rsid w:val="00900D38"/>
    <w:rsid w:val="009019AF"/>
    <w:rsid w:val="00902403"/>
    <w:rsid w:val="009044AD"/>
    <w:rsid w:val="009065D2"/>
    <w:rsid w:val="00907433"/>
    <w:rsid w:val="00907D16"/>
    <w:rsid w:val="009108C9"/>
    <w:rsid w:val="00910C9E"/>
    <w:rsid w:val="00911130"/>
    <w:rsid w:val="00911432"/>
    <w:rsid w:val="00911ECD"/>
    <w:rsid w:val="00912C22"/>
    <w:rsid w:val="00912E61"/>
    <w:rsid w:val="00913527"/>
    <w:rsid w:val="00914225"/>
    <w:rsid w:val="00914986"/>
    <w:rsid w:val="009156A7"/>
    <w:rsid w:val="00915806"/>
    <w:rsid w:val="009159F5"/>
    <w:rsid w:val="00915E7A"/>
    <w:rsid w:val="00916B55"/>
    <w:rsid w:val="00920027"/>
    <w:rsid w:val="00920189"/>
    <w:rsid w:val="00920954"/>
    <w:rsid w:val="00920F19"/>
    <w:rsid w:val="00922547"/>
    <w:rsid w:val="00922C8F"/>
    <w:rsid w:val="00922D8D"/>
    <w:rsid w:val="00922D98"/>
    <w:rsid w:val="009234E0"/>
    <w:rsid w:val="00924614"/>
    <w:rsid w:val="00924827"/>
    <w:rsid w:val="00924A84"/>
    <w:rsid w:val="00925880"/>
    <w:rsid w:val="00926D94"/>
    <w:rsid w:val="00927D7B"/>
    <w:rsid w:val="0093104F"/>
    <w:rsid w:val="00932855"/>
    <w:rsid w:val="00934162"/>
    <w:rsid w:val="00935C09"/>
    <w:rsid w:val="0093619E"/>
    <w:rsid w:val="00936284"/>
    <w:rsid w:val="0093786A"/>
    <w:rsid w:val="009378DA"/>
    <w:rsid w:val="009413A0"/>
    <w:rsid w:val="00941FBB"/>
    <w:rsid w:val="00942054"/>
    <w:rsid w:val="009425B7"/>
    <w:rsid w:val="009426B6"/>
    <w:rsid w:val="00942712"/>
    <w:rsid w:val="009429A3"/>
    <w:rsid w:val="00942C8D"/>
    <w:rsid w:val="00943984"/>
    <w:rsid w:val="00944EB0"/>
    <w:rsid w:val="009457FC"/>
    <w:rsid w:val="00946A89"/>
    <w:rsid w:val="00946BDF"/>
    <w:rsid w:val="0094741C"/>
    <w:rsid w:val="009475C2"/>
    <w:rsid w:val="00947EC8"/>
    <w:rsid w:val="00947F21"/>
    <w:rsid w:val="009508ED"/>
    <w:rsid w:val="00952017"/>
    <w:rsid w:val="0095207F"/>
    <w:rsid w:val="00952350"/>
    <w:rsid w:val="00953170"/>
    <w:rsid w:val="0095458F"/>
    <w:rsid w:val="00955040"/>
    <w:rsid w:val="00955492"/>
    <w:rsid w:val="00955CE9"/>
    <w:rsid w:val="00955D2D"/>
    <w:rsid w:val="009565FE"/>
    <w:rsid w:val="00956AA7"/>
    <w:rsid w:val="00960DC2"/>
    <w:rsid w:val="009612B4"/>
    <w:rsid w:val="009614EF"/>
    <w:rsid w:val="00962421"/>
    <w:rsid w:val="00963F54"/>
    <w:rsid w:val="00964058"/>
    <w:rsid w:val="00964838"/>
    <w:rsid w:val="009649A1"/>
    <w:rsid w:val="0096586B"/>
    <w:rsid w:val="00965A03"/>
    <w:rsid w:val="009664D9"/>
    <w:rsid w:val="009668DB"/>
    <w:rsid w:val="00966B45"/>
    <w:rsid w:val="00967A65"/>
    <w:rsid w:val="00967C6B"/>
    <w:rsid w:val="009703B4"/>
    <w:rsid w:val="009712B4"/>
    <w:rsid w:val="00972BAC"/>
    <w:rsid w:val="00973205"/>
    <w:rsid w:val="00973508"/>
    <w:rsid w:val="00973A88"/>
    <w:rsid w:val="009742A1"/>
    <w:rsid w:val="009744A5"/>
    <w:rsid w:val="0097560B"/>
    <w:rsid w:val="0097596D"/>
    <w:rsid w:val="009762CE"/>
    <w:rsid w:val="00976EDB"/>
    <w:rsid w:val="00976F82"/>
    <w:rsid w:val="00977700"/>
    <w:rsid w:val="009779BA"/>
    <w:rsid w:val="00977BC9"/>
    <w:rsid w:val="00977DDB"/>
    <w:rsid w:val="0098029D"/>
    <w:rsid w:val="00980A7C"/>
    <w:rsid w:val="0098131C"/>
    <w:rsid w:val="009814FC"/>
    <w:rsid w:val="009818F8"/>
    <w:rsid w:val="00982F54"/>
    <w:rsid w:val="00982F8E"/>
    <w:rsid w:val="009830CA"/>
    <w:rsid w:val="00983B51"/>
    <w:rsid w:val="009846A3"/>
    <w:rsid w:val="00984A07"/>
    <w:rsid w:val="00984A32"/>
    <w:rsid w:val="00984C90"/>
    <w:rsid w:val="0098500A"/>
    <w:rsid w:val="009865CD"/>
    <w:rsid w:val="009906E7"/>
    <w:rsid w:val="00990CF3"/>
    <w:rsid w:val="009917D2"/>
    <w:rsid w:val="009918AA"/>
    <w:rsid w:val="00991930"/>
    <w:rsid w:val="00992564"/>
    <w:rsid w:val="009927B6"/>
    <w:rsid w:val="009932DB"/>
    <w:rsid w:val="009946E0"/>
    <w:rsid w:val="00994A35"/>
    <w:rsid w:val="00994CAA"/>
    <w:rsid w:val="0099515D"/>
    <w:rsid w:val="00995FAA"/>
    <w:rsid w:val="00996200"/>
    <w:rsid w:val="00997DF6"/>
    <w:rsid w:val="009A22CC"/>
    <w:rsid w:val="009A2B44"/>
    <w:rsid w:val="009A347C"/>
    <w:rsid w:val="009A3D1E"/>
    <w:rsid w:val="009A5005"/>
    <w:rsid w:val="009A6A0D"/>
    <w:rsid w:val="009A6C6D"/>
    <w:rsid w:val="009A763D"/>
    <w:rsid w:val="009B0608"/>
    <w:rsid w:val="009B1B1C"/>
    <w:rsid w:val="009B1CE1"/>
    <w:rsid w:val="009B1D17"/>
    <w:rsid w:val="009B1F89"/>
    <w:rsid w:val="009B3985"/>
    <w:rsid w:val="009B3A88"/>
    <w:rsid w:val="009B46ED"/>
    <w:rsid w:val="009B4769"/>
    <w:rsid w:val="009B4A7B"/>
    <w:rsid w:val="009B4FF0"/>
    <w:rsid w:val="009B5434"/>
    <w:rsid w:val="009B5587"/>
    <w:rsid w:val="009B5A23"/>
    <w:rsid w:val="009B5B46"/>
    <w:rsid w:val="009B6DAB"/>
    <w:rsid w:val="009C0A49"/>
    <w:rsid w:val="009C0E1D"/>
    <w:rsid w:val="009C18B3"/>
    <w:rsid w:val="009C1E88"/>
    <w:rsid w:val="009C308F"/>
    <w:rsid w:val="009C37F4"/>
    <w:rsid w:val="009C45B0"/>
    <w:rsid w:val="009C5272"/>
    <w:rsid w:val="009C6B1B"/>
    <w:rsid w:val="009C781C"/>
    <w:rsid w:val="009C7A11"/>
    <w:rsid w:val="009C7C0F"/>
    <w:rsid w:val="009D04C0"/>
    <w:rsid w:val="009D074E"/>
    <w:rsid w:val="009D0AB6"/>
    <w:rsid w:val="009D1C3D"/>
    <w:rsid w:val="009D2226"/>
    <w:rsid w:val="009D55C9"/>
    <w:rsid w:val="009D732E"/>
    <w:rsid w:val="009D75FF"/>
    <w:rsid w:val="009E0231"/>
    <w:rsid w:val="009E1416"/>
    <w:rsid w:val="009E1A30"/>
    <w:rsid w:val="009E1AA6"/>
    <w:rsid w:val="009E1B2F"/>
    <w:rsid w:val="009E1B53"/>
    <w:rsid w:val="009E1B96"/>
    <w:rsid w:val="009E25C2"/>
    <w:rsid w:val="009E303E"/>
    <w:rsid w:val="009E30A9"/>
    <w:rsid w:val="009E3C06"/>
    <w:rsid w:val="009E475B"/>
    <w:rsid w:val="009E555D"/>
    <w:rsid w:val="009E5E6D"/>
    <w:rsid w:val="009E60A8"/>
    <w:rsid w:val="009E6569"/>
    <w:rsid w:val="009E6654"/>
    <w:rsid w:val="009E6683"/>
    <w:rsid w:val="009E6A99"/>
    <w:rsid w:val="009E6FD7"/>
    <w:rsid w:val="009E7714"/>
    <w:rsid w:val="009F04B9"/>
    <w:rsid w:val="009F0AB2"/>
    <w:rsid w:val="009F1BE1"/>
    <w:rsid w:val="009F2B4B"/>
    <w:rsid w:val="009F455C"/>
    <w:rsid w:val="009F500A"/>
    <w:rsid w:val="009F6216"/>
    <w:rsid w:val="009F6651"/>
    <w:rsid w:val="009F79A2"/>
    <w:rsid w:val="009F7ACD"/>
    <w:rsid w:val="009FFC4F"/>
    <w:rsid w:val="00A00730"/>
    <w:rsid w:val="00A00B25"/>
    <w:rsid w:val="00A01B24"/>
    <w:rsid w:val="00A02C1C"/>
    <w:rsid w:val="00A03D8A"/>
    <w:rsid w:val="00A040D1"/>
    <w:rsid w:val="00A04BDC"/>
    <w:rsid w:val="00A0740A"/>
    <w:rsid w:val="00A07E74"/>
    <w:rsid w:val="00A07F39"/>
    <w:rsid w:val="00A10103"/>
    <w:rsid w:val="00A1020B"/>
    <w:rsid w:val="00A104B6"/>
    <w:rsid w:val="00A10F07"/>
    <w:rsid w:val="00A10F7E"/>
    <w:rsid w:val="00A1133E"/>
    <w:rsid w:val="00A12700"/>
    <w:rsid w:val="00A12C7E"/>
    <w:rsid w:val="00A12FAC"/>
    <w:rsid w:val="00A13024"/>
    <w:rsid w:val="00A134F5"/>
    <w:rsid w:val="00A14D86"/>
    <w:rsid w:val="00A175FE"/>
    <w:rsid w:val="00A17966"/>
    <w:rsid w:val="00A17BD0"/>
    <w:rsid w:val="00A20802"/>
    <w:rsid w:val="00A2094E"/>
    <w:rsid w:val="00A21248"/>
    <w:rsid w:val="00A21414"/>
    <w:rsid w:val="00A21E21"/>
    <w:rsid w:val="00A229F8"/>
    <w:rsid w:val="00A22BBF"/>
    <w:rsid w:val="00A240B9"/>
    <w:rsid w:val="00A24E8B"/>
    <w:rsid w:val="00A26183"/>
    <w:rsid w:val="00A261C7"/>
    <w:rsid w:val="00A2654D"/>
    <w:rsid w:val="00A30348"/>
    <w:rsid w:val="00A30614"/>
    <w:rsid w:val="00A306B6"/>
    <w:rsid w:val="00A30FDA"/>
    <w:rsid w:val="00A31BE7"/>
    <w:rsid w:val="00A320E9"/>
    <w:rsid w:val="00A3226D"/>
    <w:rsid w:val="00A33BEE"/>
    <w:rsid w:val="00A36A26"/>
    <w:rsid w:val="00A370AC"/>
    <w:rsid w:val="00A37416"/>
    <w:rsid w:val="00A413EA"/>
    <w:rsid w:val="00A41FDE"/>
    <w:rsid w:val="00A424F7"/>
    <w:rsid w:val="00A43126"/>
    <w:rsid w:val="00A43DF9"/>
    <w:rsid w:val="00A43EF6"/>
    <w:rsid w:val="00A443E1"/>
    <w:rsid w:val="00A44617"/>
    <w:rsid w:val="00A46282"/>
    <w:rsid w:val="00A46F5A"/>
    <w:rsid w:val="00A47755"/>
    <w:rsid w:val="00A500AD"/>
    <w:rsid w:val="00A50D61"/>
    <w:rsid w:val="00A50DA5"/>
    <w:rsid w:val="00A514DB"/>
    <w:rsid w:val="00A5384E"/>
    <w:rsid w:val="00A53FCF"/>
    <w:rsid w:val="00A55450"/>
    <w:rsid w:val="00A55FC0"/>
    <w:rsid w:val="00A56E77"/>
    <w:rsid w:val="00A56E7E"/>
    <w:rsid w:val="00A607BC"/>
    <w:rsid w:val="00A60B07"/>
    <w:rsid w:val="00A60C16"/>
    <w:rsid w:val="00A6106E"/>
    <w:rsid w:val="00A61A02"/>
    <w:rsid w:val="00A61FE6"/>
    <w:rsid w:val="00A62942"/>
    <w:rsid w:val="00A62ADC"/>
    <w:rsid w:val="00A6335D"/>
    <w:rsid w:val="00A63C93"/>
    <w:rsid w:val="00A63E83"/>
    <w:rsid w:val="00A6400F"/>
    <w:rsid w:val="00A64D82"/>
    <w:rsid w:val="00A66792"/>
    <w:rsid w:val="00A66C57"/>
    <w:rsid w:val="00A66EF4"/>
    <w:rsid w:val="00A672A3"/>
    <w:rsid w:val="00A705ED"/>
    <w:rsid w:val="00A70AD6"/>
    <w:rsid w:val="00A713A8"/>
    <w:rsid w:val="00A727CD"/>
    <w:rsid w:val="00A72B65"/>
    <w:rsid w:val="00A73548"/>
    <w:rsid w:val="00A740AB"/>
    <w:rsid w:val="00A74CFB"/>
    <w:rsid w:val="00A7577D"/>
    <w:rsid w:val="00A75FC2"/>
    <w:rsid w:val="00A76F8F"/>
    <w:rsid w:val="00A76FC6"/>
    <w:rsid w:val="00A8083C"/>
    <w:rsid w:val="00A80F63"/>
    <w:rsid w:val="00A81FD3"/>
    <w:rsid w:val="00A82000"/>
    <w:rsid w:val="00A8225F"/>
    <w:rsid w:val="00A832DB"/>
    <w:rsid w:val="00A83D6A"/>
    <w:rsid w:val="00A83E43"/>
    <w:rsid w:val="00A84253"/>
    <w:rsid w:val="00A902E1"/>
    <w:rsid w:val="00A907DA"/>
    <w:rsid w:val="00A9128D"/>
    <w:rsid w:val="00A913AA"/>
    <w:rsid w:val="00A91580"/>
    <w:rsid w:val="00A9164E"/>
    <w:rsid w:val="00A92476"/>
    <w:rsid w:val="00A939A2"/>
    <w:rsid w:val="00A93B45"/>
    <w:rsid w:val="00A93E8E"/>
    <w:rsid w:val="00A94027"/>
    <w:rsid w:val="00A95B16"/>
    <w:rsid w:val="00A96081"/>
    <w:rsid w:val="00A964CB"/>
    <w:rsid w:val="00A974FA"/>
    <w:rsid w:val="00AA0C03"/>
    <w:rsid w:val="00AA20EB"/>
    <w:rsid w:val="00AA405B"/>
    <w:rsid w:val="00AA59D2"/>
    <w:rsid w:val="00AA61F6"/>
    <w:rsid w:val="00AA6C5B"/>
    <w:rsid w:val="00AA75E3"/>
    <w:rsid w:val="00AB06B3"/>
    <w:rsid w:val="00AB08FC"/>
    <w:rsid w:val="00AB1A16"/>
    <w:rsid w:val="00AB206E"/>
    <w:rsid w:val="00AB262A"/>
    <w:rsid w:val="00AB2EBB"/>
    <w:rsid w:val="00AB452F"/>
    <w:rsid w:val="00AB484A"/>
    <w:rsid w:val="00AB4D2A"/>
    <w:rsid w:val="00AB52F4"/>
    <w:rsid w:val="00AB55CC"/>
    <w:rsid w:val="00AB5799"/>
    <w:rsid w:val="00AB594C"/>
    <w:rsid w:val="00AB5C49"/>
    <w:rsid w:val="00AB5CF9"/>
    <w:rsid w:val="00AB6D69"/>
    <w:rsid w:val="00AB7810"/>
    <w:rsid w:val="00AB7EB6"/>
    <w:rsid w:val="00AC00CF"/>
    <w:rsid w:val="00AC0B64"/>
    <w:rsid w:val="00AC144C"/>
    <w:rsid w:val="00AC2597"/>
    <w:rsid w:val="00AC4558"/>
    <w:rsid w:val="00AC47C0"/>
    <w:rsid w:val="00AC610D"/>
    <w:rsid w:val="00AC6500"/>
    <w:rsid w:val="00AC782F"/>
    <w:rsid w:val="00AD1B18"/>
    <w:rsid w:val="00AD3A06"/>
    <w:rsid w:val="00AD3C0E"/>
    <w:rsid w:val="00AD4ABD"/>
    <w:rsid w:val="00AD6015"/>
    <w:rsid w:val="00AD6531"/>
    <w:rsid w:val="00AD66B2"/>
    <w:rsid w:val="00AD6B4D"/>
    <w:rsid w:val="00AD7F25"/>
    <w:rsid w:val="00AE06F0"/>
    <w:rsid w:val="00AE2B69"/>
    <w:rsid w:val="00AE3541"/>
    <w:rsid w:val="00AE3821"/>
    <w:rsid w:val="00AE3DB5"/>
    <w:rsid w:val="00AE3E68"/>
    <w:rsid w:val="00AE4106"/>
    <w:rsid w:val="00AE49B1"/>
    <w:rsid w:val="00AE5DBB"/>
    <w:rsid w:val="00AE60FA"/>
    <w:rsid w:val="00AE6443"/>
    <w:rsid w:val="00AE6649"/>
    <w:rsid w:val="00AE79A2"/>
    <w:rsid w:val="00AE7E11"/>
    <w:rsid w:val="00AE7E37"/>
    <w:rsid w:val="00AF01F6"/>
    <w:rsid w:val="00AF0854"/>
    <w:rsid w:val="00AF1DEA"/>
    <w:rsid w:val="00AF20AA"/>
    <w:rsid w:val="00AF35AA"/>
    <w:rsid w:val="00AF363C"/>
    <w:rsid w:val="00AF37D8"/>
    <w:rsid w:val="00AF3AB0"/>
    <w:rsid w:val="00AF3E2C"/>
    <w:rsid w:val="00AF4376"/>
    <w:rsid w:val="00AF5798"/>
    <w:rsid w:val="00AF601E"/>
    <w:rsid w:val="00AF611F"/>
    <w:rsid w:val="00AF7234"/>
    <w:rsid w:val="00B0100E"/>
    <w:rsid w:val="00B01C59"/>
    <w:rsid w:val="00B01DCA"/>
    <w:rsid w:val="00B01F58"/>
    <w:rsid w:val="00B03B2C"/>
    <w:rsid w:val="00B03BAF"/>
    <w:rsid w:val="00B0445F"/>
    <w:rsid w:val="00B04F98"/>
    <w:rsid w:val="00B060D6"/>
    <w:rsid w:val="00B06103"/>
    <w:rsid w:val="00B065B8"/>
    <w:rsid w:val="00B066BE"/>
    <w:rsid w:val="00B06DC5"/>
    <w:rsid w:val="00B07A2B"/>
    <w:rsid w:val="00B07BAA"/>
    <w:rsid w:val="00B10FDB"/>
    <w:rsid w:val="00B1103A"/>
    <w:rsid w:val="00B110C1"/>
    <w:rsid w:val="00B11CA4"/>
    <w:rsid w:val="00B1217B"/>
    <w:rsid w:val="00B123EE"/>
    <w:rsid w:val="00B12A5F"/>
    <w:rsid w:val="00B12BBC"/>
    <w:rsid w:val="00B12D52"/>
    <w:rsid w:val="00B132EA"/>
    <w:rsid w:val="00B13AFD"/>
    <w:rsid w:val="00B14503"/>
    <w:rsid w:val="00B15D11"/>
    <w:rsid w:val="00B16434"/>
    <w:rsid w:val="00B17AAE"/>
    <w:rsid w:val="00B2039D"/>
    <w:rsid w:val="00B20777"/>
    <w:rsid w:val="00B22C1F"/>
    <w:rsid w:val="00B2506A"/>
    <w:rsid w:val="00B25574"/>
    <w:rsid w:val="00B2627C"/>
    <w:rsid w:val="00B26338"/>
    <w:rsid w:val="00B26886"/>
    <w:rsid w:val="00B2751B"/>
    <w:rsid w:val="00B27774"/>
    <w:rsid w:val="00B301B0"/>
    <w:rsid w:val="00B30364"/>
    <w:rsid w:val="00B3100E"/>
    <w:rsid w:val="00B31718"/>
    <w:rsid w:val="00B31CB7"/>
    <w:rsid w:val="00B3214D"/>
    <w:rsid w:val="00B3352D"/>
    <w:rsid w:val="00B3393C"/>
    <w:rsid w:val="00B340C2"/>
    <w:rsid w:val="00B34BA0"/>
    <w:rsid w:val="00B35078"/>
    <w:rsid w:val="00B355D0"/>
    <w:rsid w:val="00B35D60"/>
    <w:rsid w:val="00B364AD"/>
    <w:rsid w:val="00B37398"/>
    <w:rsid w:val="00B37E5D"/>
    <w:rsid w:val="00B40733"/>
    <w:rsid w:val="00B40B0A"/>
    <w:rsid w:val="00B40EAF"/>
    <w:rsid w:val="00B43580"/>
    <w:rsid w:val="00B4471C"/>
    <w:rsid w:val="00B4548F"/>
    <w:rsid w:val="00B468FC"/>
    <w:rsid w:val="00B469F4"/>
    <w:rsid w:val="00B47F54"/>
    <w:rsid w:val="00B51536"/>
    <w:rsid w:val="00B52ED8"/>
    <w:rsid w:val="00B532DB"/>
    <w:rsid w:val="00B533B6"/>
    <w:rsid w:val="00B537C3"/>
    <w:rsid w:val="00B54F1C"/>
    <w:rsid w:val="00B558BB"/>
    <w:rsid w:val="00B6066B"/>
    <w:rsid w:val="00B606D4"/>
    <w:rsid w:val="00B60728"/>
    <w:rsid w:val="00B61EB2"/>
    <w:rsid w:val="00B62C20"/>
    <w:rsid w:val="00B62CEC"/>
    <w:rsid w:val="00B64042"/>
    <w:rsid w:val="00B645FF"/>
    <w:rsid w:val="00B64771"/>
    <w:rsid w:val="00B64E37"/>
    <w:rsid w:val="00B65256"/>
    <w:rsid w:val="00B668FD"/>
    <w:rsid w:val="00B66BED"/>
    <w:rsid w:val="00B66D33"/>
    <w:rsid w:val="00B66E5D"/>
    <w:rsid w:val="00B670AD"/>
    <w:rsid w:val="00B672A3"/>
    <w:rsid w:val="00B67C59"/>
    <w:rsid w:val="00B67DE0"/>
    <w:rsid w:val="00B7008A"/>
    <w:rsid w:val="00B70217"/>
    <w:rsid w:val="00B70568"/>
    <w:rsid w:val="00B7077F"/>
    <w:rsid w:val="00B713E3"/>
    <w:rsid w:val="00B714A8"/>
    <w:rsid w:val="00B71979"/>
    <w:rsid w:val="00B71CF0"/>
    <w:rsid w:val="00B72583"/>
    <w:rsid w:val="00B72903"/>
    <w:rsid w:val="00B735B8"/>
    <w:rsid w:val="00B7375D"/>
    <w:rsid w:val="00B73B2C"/>
    <w:rsid w:val="00B73E31"/>
    <w:rsid w:val="00B74A42"/>
    <w:rsid w:val="00B753A9"/>
    <w:rsid w:val="00B753B7"/>
    <w:rsid w:val="00B76044"/>
    <w:rsid w:val="00B76281"/>
    <w:rsid w:val="00B76600"/>
    <w:rsid w:val="00B7674E"/>
    <w:rsid w:val="00B77855"/>
    <w:rsid w:val="00B80300"/>
    <w:rsid w:val="00B808F1"/>
    <w:rsid w:val="00B809F0"/>
    <w:rsid w:val="00B82383"/>
    <w:rsid w:val="00B83062"/>
    <w:rsid w:val="00B83565"/>
    <w:rsid w:val="00B83876"/>
    <w:rsid w:val="00B853F6"/>
    <w:rsid w:val="00B8602E"/>
    <w:rsid w:val="00B86CDF"/>
    <w:rsid w:val="00B86D46"/>
    <w:rsid w:val="00B8704F"/>
    <w:rsid w:val="00B8714D"/>
    <w:rsid w:val="00B902B8"/>
    <w:rsid w:val="00B933B5"/>
    <w:rsid w:val="00B93438"/>
    <w:rsid w:val="00B93819"/>
    <w:rsid w:val="00B93A9B"/>
    <w:rsid w:val="00B93C00"/>
    <w:rsid w:val="00B93CF0"/>
    <w:rsid w:val="00B9637A"/>
    <w:rsid w:val="00B96730"/>
    <w:rsid w:val="00B977FE"/>
    <w:rsid w:val="00B97A21"/>
    <w:rsid w:val="00BA00DF"/>
    <w:rsid w:val="00BA09F8"/>
    <w:rsid w:val="00BA1394"/>
    <w:rsid w:val="00BA1F8A"/>
    <w:rsid w:val="00BA32AE"/>
    <w:rsid w:val="00BA37A4"/>
    <w:rsid w:val="00BA397E"/>
    <w:rsid w:val="00BA57E4"/>
    <w:rsid w:val="00BA6FF1"/>
    <w:rsid w:val="00BA713E"/>
    <w:rsid w:val="00BB0678"/>
    <w:rsid w:val="00BB0E4D"/>
    <w:rsid w:val="00BB2285"/>
    <w:rsid w:val="00BB3ECF"/>
    <w:rsid w:val="00BB40C0"/>
    <w:rsid w:val="00BB4858"/>
    <w:rsid w:val="00BB6B63"/>
    <w:rsid w:val="00BB766C"/>
    <w:rsid w:val="00BC0193"/>
    <w:rsid w:val="00BC0C81"/>
    <w:rsid w:val="00BC5095"/>
    <w:rsid w:val="00BC51FA"/>
    <w:rsid w:val="00BC6FE8"/>
    <w:rsid w:val="00BC7B09"/>
    <w:rsid w:val="00BC7EA3"/>
    <w:rsid w:val="00BC7F0F"/>
    <w:rsid w:val="00BD0B13"/>
    <w:rsid w:val="00BD150F"/>
    <w:rsid w:val="00BD2AD7"/>
    <w:rsid w:val="00BD308A"/>
    <w:rsid w:val="00BD33B7"/>
    <w:rsid w:val="00BD443D"/>
    <w:rsid w:val="00BD4AE7"/>
    <w:rsid w:val="00BD5665"/>
    <w:rsid w:val="00BD5804"/>
    <w:rsid w:val="00BD59AE"/>
    <w:rsid w:val="00BD5C40"/>
    <w:rsid w:val="00BD60D9"/>
    <w:rsid w:val="00BD68B1"/>
    <w:rsid w:val="00BD7851"/>
    <w:rsid w:val="00BE009C"/>
    <w:rsid w:val="00BE1751"/>
    <w:rsid w:val="00BE3B8E"/>
    <w:rsid w:val="00BE3EB3"/>
    <w:rsid w:val="00BE466B"/>
    <w:rsid w:val="00BE46EC"/>
    <w:rsid w:val="00BE6151"/>
    <w:rsid w:val="00BE639A"/>
    <w:rsid w:val="00BE6725"/>
    <w:rsid w:val="00BE7973"/>
    <w:rsid w:val="00BE7AC5"/>
    <w:rsid w:val="00BE7F17"/>
    <w:rsid w:val="00BF0483"/>
    <w:rsid w:val="00BF0903"/>
    <w:rsid w:val="00BF178A"/>
    <w:rsid w:val="00BF1BCD"/>
    <w:rsid w:val="00BF22C9"/>
    <w:rsid w:val="00BF2F97"/>
    <w:rsid w:val="00BF32DC"/>
    <w:rsid w:val="00BF3B1D"/>
    <w:rsid w:val="00BF47AC"/>
    <w:rsid w:val="00BF501E"/>
    <w:rsid w:val="00BF5C11"/>
    <w:rsid w:val="00BF5DE7"/>
    <w:rsid w:val="00BF6142"/>
    <w:rsid w:val="00BF7698"/>
    <w:rsid w:val="00C00A67"/>
    <w:rsid w:val="00C014E3"/>
    <w:rsid w:val="00C01731"/>
    <w:rsid w:val="00C0396F"/>
    <w:rsid w:val="00C053D0"/>
    <w:rsid w:val="00C05994"/>
    <w:rsid w:val="00C06F2E"/>
    <w:rsid w:val="00C07058"/>
    <w:rsid w:val="00C0756F"/>
    <w:rsid w:val="00C108FA"/>
    <w:rsid w:val="00C112BB"/>
    <w:rsid w:val="00C11697"/>
    <w:rsid w:val="00C11709"/>
    <w:rsid w:val="00C12036"/>
    <w:rsid w:val="00C128E5"/>
    <w:rsid w:val="00C13576"/>
    <w:rsid w:val="00C1362A"/>
    <w:rsid w:val="00C154F7"/>
    <w:rsid w:val="00C157E7"/>
    <w:rsid w:val="00C15EA3"/>
    <w:rsid w:val="00C15F3A"/>
    <w:rsid w:val="00C16735"/>
    <w:rsid w:val="00C172A3"/>
    <w:rsid w:val="00C17617"/>
    <w:rsid w:val="00C201A5"/>
    <w:rsid w:val="00C20845"/>
    <w:rsid w:val="00C20877"/>
    <w:rsid w:val="00C20DCC"/>
    <w:rsid w:val="00C20DDF"/>
    <w:rsid w:val="00C20DFA"/>
    <w:rsid w:val="00C21269"/>
    <w:rsid w:val="00C2277B"/>
    <w:rsid w:val="00C22995"/>
    <w:rsid w:val="00C22C79"/>
    <w:rsid w:val="00C23277"/>
    <w:rsid w:val="00C23577"/>
    <w:rsid w:val="00C244C9"/>
    <w:rsid w:val="00C25392"/>
    <w:rsid w:val="00C25CBD"/>
    <w:rsid w:val="00C27A75"/>
    <w:rsid w:val="00C31681"/>
    <w:rsid w:val="00C331A9"/>
    <w:rsid w:val="00C331B0"/>
    <w:rsid w:val="00C337A6"/>
    <w:rsid w:val="00C34F46"/>
    <w:rsid w:val="00C35085"/>
    <w:rsid w:val="00C35757"/>
    <w:rsid w:val="00C35D7C"/>
    <w:rsid w:val="00C3685F"/>
    <w:rsid w:val="00C40791"/>
    <w:rsid w:val="00C40A0B"/>
    <w:rsid w:val="00C40DE7"/>
    <w:rsid w:val="00C40E74"/>
    <w:rsid w:val="00C430F5"/>
    <w:rsid w:val="00C43350"/>
    <w:rsid w:val="00C43A6D"/>
    <w:rsid w:val="00C43CD9"/>
    <w:rsid w:val="00C443C0"/>
    <w:rsid w:val="00C461C2"/>
    <w:rsid w:val="00C4697B"/>
    <w:rsid w:val="00C47B66"/>
    <w:rsid w:val="00C500FE"/>
    <w:rsid w:val="00C50A9E"/>
    <w:rsid w:val="00C5235F"/>
    <w:rsid w:val="00C52C87"/>
    <w:rsid w:val="00C53020"/>
    <w:rsid w:val="00C53713"/>
    <w:rsid w:val="00C537FA"/>
    <w:rsid w:val="00C53F16"/>
    <w:rsid w:val="00C5643A"/>
    <w:rsid w:val="00C56506"/>
    <w:rsid w:val="00C600C4"/>
    <w:rsid w:val="00C60942"/>
    <w:rsid w:val="00C60EE6"/>
    <w:rsid w:val="00C61DFB"/>
    <w:rsid w:val="00C6227B"/>
    <w:rsid w:val="00C6298A"/>
    <w:rsid w:val="00C630E4"/>
    <w:rsid w:val="00C6377C"/>
    <w:rsid w:val="00C6457E"/>
    <w:rsid w:val="00C6526F"/>
    <w:rsid w:val="00C6541E"/>
    <w:rsid w:val="00C65D4C"/>
    <w:rsid w:val="00C666A8"/>
    <w:rsid w:val="00C66A3B"/>
    <w:rsid w:val="00C66F0F"/>
    <w:rsid w:val="00C717D3"/>
    <w:rsid w:val="00C71E6B"/>
    <w:rsid w:val="00C72412"/>
    <w:rsid w:val="00C752B1"/>
    <w:rsid w:val="00C75672"/>
    <w:rsid w:val="00C75C31"/>
    <w:rsid w:val="00C7674D"/>
    <w:rsid w:val="00C76C05"/>
    <w:rsid w:val="00C76F9F"/>
    <w:rsid w:val="00C770C7"/>
    <w:rsid w:val="00C7715E"/>
    <w:rsid w:val="00C7793E"/>
    <w:rsid w:val="00C779FB"/>
    <w:rsid w:val="00C81C20"/>
    <w:rsid w:val="00C81D34"/>
    <w:rsid w:val="00C825B9"/>
    <w:rsid w:val="00C8268E"/>
    <w:rsid w:val="00C82F97"/>
    <w:rsid w:val="00C8307B"/>
    <w:rsid w:val="00C832AD"/>
    <w:rsid w:val="00C83375"/>
    <w:rsid w:val="00C838A0"/>
    <w:rsid w:val="00C859E6"/>
    <w:rsid w:val="00C85E95"/>
    <w:rsid w:val="00C87152"/>
    <w:rsid w:val="00C90F2D"/>
    <w:rsid w:val="00C91DEC"/>
    <w:rsid w:val="00C92D30"/>
    <w:rsid w:val="00C94200"/>
    <w:rsid w:val="00C9478E"/>
    <w:rsid w:val="00C94E43"/>
    <w:rsid w:val="00C94EBE"/>
    <w:rsid w:val="00C950B2"/>
    <w:rsid w:val="00C95803"/>
    <w:rsid w:val="00C96A82"/>
    <w:rsid w:val="00C978F5"/>
    <w:rsid w:val="00C979A1"/>
    <w:rsid w:val="00CA0740"/>
    <w:rsid w:val="00CA0A70"/>
    <w:rsid w:val="00CA10D0"/>
    <w:rsid w:val="00CA11D2"/>
    <w:rsid w:val="00CA1DCC"/>
    <w:rsid w:val="00CA2522"/>
    <w:rsid w:val="00CA361B"/>
    <w:rsid w:val="00CA3970"/>
    <w:rsid w:val="00CA4773"/>
    <w:rsid w:val="00CA4D54"/>
    <w:rsid w:val="00CA5DD6"/>
    <w:rsid w:val="00CA64CB"/>
    <w:rsid w:val="00CA700E"/>
    <w:rsid w:val="00CA7245"/>
    <w:rsid w:val="00CA75BC"/>
    <w:rsid w:val="00CA7C08"/>
    <w:rsid w:val="00CB124D"/>
    <w:rsid w:val="00CB1639"/>
    <w:rsid w:val="00CB1F29"/>
    <w:rsid w:val="00CB2478"/>
    <w:rsid w:val="00CB3677"/>
    <w:rsid w:val="00CB44A5"/>
    <w:rsid w:val="00CB4771"/>
    <w:rsid w:val="00CB4B5A"/>
    <w:rsid w:val="00CB5E9F"/>
    <w:rsid w:val="00CB6040"/>
    <w:rsid w:val="00CB6C5F"/>
    <w:rsid w:val="00CB6CA5"/>
    <w:rsid w:val="00CB74E9"/>
    <w:rsid w:val="00CB796C"/>
    <w:rsid w:val="00CC0412"/>
    <w:rsid w:val="00CC0BFF"/>
    <w:rsid w:val="00CC1823"/>
    <w:rsid w:val="00CC20FA"/>
    <w:rsid w:val="00CC3F52"/>
    <w:rsid w:val="00CC4492"/>
    <w:rsid w:val="00CC4E22"/>
    <w:rsid w:val="00CC5038"/>
    <w:rsid w:val="00CC5A0C"/>
    <w:rsid w:val="00CC5D49"/>
    <w:rsid w:val="00CC6693"/>
    <w:rsid w:val="00CC6B48"/>
    <w:rsid w:val="00CC6D13"/>
    <w:rsid w:val="00CC7C61"/>
    <w:rsid w:val="00CD0C93"/>
    <w:rsid w:val="00CD0FDD"/>
    <w:rsid w:val="00CD1423"/>
    <w:rsid w:val="00CD1C5F"/>
    <w:rsid w:val="00CD24CC"/>
    <w:rsid w:val="00CD265B"/>
    <w:rsid w:val="00CD278F"/>
    <w:rsid w:val="00CD566E"/>
    <w:rsid w:val="00CD5C7D"/>
    <w:rsid w:val="00CD5D43"/>
    <w:rsid w:val="00CD5D68"/>
    <w:rsid w:val="00CD6A18"/>
    <w:rsid w:val="00CE045D"/>
    <w:rsid w:val="00CE0DB6"/>
    <w:rsid w:val="00CE1D86"/>
    <w:rsid w:val="00CE37C4"/>
    <w:rsid w:val="00CE5086"/>
    <w:rsid w:val="00CE78F2"/>
    <w:rsid w:val="00CF034E"/>
    <w:rsid w:val="00CF037F"/>
    <w:rsid w:val="00CF152A"/>
    <w:rsid w:val="00CF30F0"/>
    <w:rsid w:val="00CF36F6"/>
    <w:rsid w:val="00CF3E2B"/>
    <w:rsid w:val="00CF4F83"/>
    <w:rsid w:val="00CF5017"/>
    <w:rsid w:val="00CF5734"/>
    <w:rsid w:val="00CF5BE4"/>
    <w:rsid w:val="00CF6301"/>
    <w:rsid w:val="00CF6D68"/>
    <w:rsid w:val="00D0002D"/>
    <w:rsid w:val="00D001DE"/>
    <w:rsid w:val="00D005B3"/>
    <w:rsid w:val="00D00964"/>
    <w:rsid w:val="00D01341"/>
    <w:rsid w:val="00D0142C"/>
    <w:rsid w:val="00D01883"/>
    <w:rsid w:val="00D018C2"/>
    <w:rsid w:val="00D01E98"/>
    <w:rsid w:val="00D0210C"/>
    <w:rsid w:val="00D02927"/>
    <w:rsid w:val="00D036DE"/>
    <w:rsid w:val="00D037B5"/>
    <w:rsid w:val="00D0456B"/>
    <w:rsid w:val="00D04D03"/>
    <w:rsid w:val="00D07634"/>
    <w:rsid w:val="00D07F8B"/>
    <w:rsid w:val="00D100CF"/>
    <w:rsid w:val="00D11230"/>
    <w:rsid w:val="00D11A41"/>
    <w:rsid w:val="00D126B7"/>
    <w:rsid w:val="00D12A16"/>
    <w:rsid w:val="00D134A8"/>
    <w:rsid w:val="00D13A18"/>
    <w:rsid w:val="00D13A8F"/>
    <w:rsid w:val="00D13B60"/>
    <w:rsid w:val="00D13E0B"/>
    <w:rsid w:val="00D153C9"/>
    <w:rsid w:val="00D1540E"/>
    <w:rsid w:val="00D17732"/>
    <w:rsid w:val="00D17788"/>
    <w:rsid w:val="00D2016E"/>
    <w:rsid w:val="00D205C5"/>
    <w:rsid w:val="00D2094A"/>
    <w:rsid w:val="00D211F2"/>
    <w:rsid w:val="00D22158"/>
    <w:rsid w:val="00D222D6"/>
    <w:rsid w:val="00D22A36"/>
    <w:rsid w:val="00D23962"/>
    <w:rsid w:val="00D24232"/>
    <w:rsid w:val="00D24960"/>
    <w:rsid w:val="00D24B8A"/>
    <w:rsid w:val="00D24CD4"/>
    <w:rsid w:val="00D24FD7"/>
    <w:rsid w:val="00D25095"/>
    <w:rsid w:val="00D25423"/>
    <w:rsid w:val="00D2542A"/>
    <w:rsid w:val="00D25D64"/>
    <w:rsid w:val="00D2683C"/>
    <w:rsid w:val="00D27432"/>
    <w:rsid w:val="00D276A6"/>
    <w:rsid w:val="00D317F2"/>
    <w:rsid w:val="00D31876"/>
    <w:rsid w:val="00D32BA4"/>
    <w:rsid w:val="00D33BBE"/>
    <w:rsid w:val="00D348B0"/>
    <w:rsid w:val="00D350B6"/>
    <w:rsid w:val="00D36F97"/>
    <w:rsid w:val="00D377DF"/>
    <w:rsid w:val="00D37BCF"/>
    <w:rsid w:val="00D42A9B"/>
    <w:rsid w:val="00D42B5E"/>
    <w:rsid w:val="00D42E65"/>
    <w:rsid w:val="00D441B6"/>
    <w:rsid w:val="00D4436E"/>
    <w:rsid w:val="00D445DF"/>
    <w:rsid w:val="00D44A2B"/>
    <w:rsid w:val="00D4512E"/>
    <w:rsid w:val="00D4536C"/>
    <w:rsid w:val="00D45BAE"/>
    <w:rsid w:val="00D45D57"/>
    <w:rsid w:val="00D45F02"/>
    <w:rsid w:val="00D460E0"/>
    <w:rsid w:val="00D461A8"/>
    <w:rsid w:val="00D473E2"/>
    <w:rsid w:val="00D47C08"/>
    <w:rsid w:val="00D501B1"/>
    <w:rsid w:val="00D50587"/>
    <w:rsid w:val="00D50D59"/>
    <w:rsid w:val="00D5155C"/>
    <w:rsid w:val="00D51F91"/>
    <w:rsid w:val="00D52BD7"/>
    <w:rsid w:val="00D52C4E"/>
    <w:rsid w:val="00D53603"/>
    <w:rsid w:val="00D53D11"/>
    <w:rsid w:val="00D545CE"/>
    <w:rsid w:val="00D54A2C"/>
    <w:rsid w:val="00D551D4"/>
    <w:rsid w:val="00D556FA"/>
    <w:rsid w:val="00D55C12"/>
    <w:rsid w:val="00D567EF"/>
    <w:rsid w:val="00D56E3B"/>
    <w:rsid w:val="00D6151D"/>
    <w:rsid w:val="00D632F8"/>
    <w:rsid w:val="00D636D5"/>
    <w:rsid w:val="00D640B8"/>
    <w:rsid w:val="00D6594F"/>
    <w:rsid w:val="00D65CF0"/>
    <w:rsid w:val="00D65EF0"/>
    <w:rsid w:val="00D66D51"/>
    <w:rsid w:val="00D67134"/>
    <w:rsid w:val="00D6727E"/>
    <w:rsid w:val="00D67A6A"/>
    <w:rsid w:val="00D67BAC"/>
    <w:rsid w:val="00D70601"/>
    <w:rsid w:val="00D708A5"/>
    <w:rsid w:val="00D70B84"/>
    <w:rsid w:val="00D71B59"/>
    <w:rsid w:val="00D71F19"/>
    <w:rsid w:val="00D72429"/>
    <w:rsid w:val="00D725B5"/>
    <w:rsid w:val="00D725F2"/>
    <w:rsid w:val="00D73733"/>
    <w:rsid w:val="00D744B2"/>
    <w:rsid w:val="00D74EB9"/>
    <w:rsid w:val="00D755C2"/>
    <w:rsid w:val="00D76B53"/>
    <w:rsid w:val="00D76CD5"/>
    <w:rsid w:val="00D778BB"/>
    <w:rsid w:val="00D77999"/>
    <w:rsid w:val="00D77D2F"/>
    <w:rsid w:val="00D77E8C"/>
    <w:rsid w:val="00D80944"/>
    <w:rsid w:val="00D8191B"/>
    <w:rsid w:val="00D81B0F"/>
    <w:rsid w:val="00D81E5E"/>
    <w:rsid w:val="00D82193"/>
    <w:rsid w:val="00D85B20"/>
    <w:rsid w:val="00D85B70"/>
    <w:rsid w:val="00D85E57"/>
    <w:rsid w:val="00D9135E"/>
    <w:rsid w:val="00D91A41"/>
    <w:rsid w:val="00D92BC4"/>
    <w:rsid w:val="00D94EDA"/>
    <w:rsid w:val="00D9509A"/>
    <w:rsid w:val="00D955EF"/>
    <w:rsid w:val="00D966E8"/>
    <w:rsid w:val="00D97913"/>
    <w:rsid w:val="00D97A9C"/>
    <w:rsid w:val="00D97B2F"/>
    <w:rsid w:val="00DA0623"/>
    <w:rsid w:val="00DA078B"/>
    <w:rsid w:val="00DA1E5C"/>
    <w:rsid w:val="00DA1E8C"/>
    <w:rsid w:val="00DA216E"/>
    <w:rsid w:val="00DA2C83"/>
    <w:rsid w:val="00DA3260"/>
    <w:rsid w:val="00DA34F0"/>
    <w:rsid w:val="00DA3D7D"/>
    <w:rsid w:val="00DA405A"/>
    <w:rsid w:val="00DA5235"/>
    <w:rsid w:val="00DA6121"/>
    <w:rsid w:val="00DA629A"/>
    <w:rsid w:val="00DA62A0"/>
    <w:rsid w:val="00DA677B"/>
    <w:rsid w:val="00DA6CA2"/>
    <w:rsid w:val="00DA6CB1"/>
    <w:rsid w:val="00DA6EBD"/>
    <w:rsid w:val="00DA7DC9"/>
    <w:rsid w:val="00DA9050"/>
    <w:rsid w:val="00DB0F9B"/>
    <w:rsid w:val="00DB1134"/>
    <w:rsid w:val="00DB19F2"/>
    <w:rsid w:val="00DB22BA"/>
    <w:rsid w:val="00DB2403"/>
    <w:rsid w:val="00DB2F35"/>
    <w:rsid w:val="00DB32DE"/>
    <w:rsid w:val="00DB3AF2"/>
    <w:rsid w:val="00DB3E36"/>
    <w:rsid w:val="00DB5B85"/>
    <w:rsid w:val="00DB6903"/>
    <w:rsid w:val="00DB7D45"/>
    <w:rsid w:val="00DB7EA5"/>
    <w:rsid w:val="00DC0365"/>
    <w:rsid w:val="00DC0AB8"/>
    <w:rsid w:val="00DC0F91"/>
    <w:rsid w:val="00DC181C"/>
    <w:rsid w:val="00DC1F39"/>
    <w:rsid w:val="00DC27F3"/>
    <w:rsid w:val="00DC29BF"/>
    <w:rsid w:val="00DC2E6A"/>
    <w:rsid w:val="00DC31E1"/>
    <w:rsid w:val="00DC4262"/>
    <w:rsid w:val="00DC4364"/>
    <w:rsid w:val="00DC479E"/>
    <w:rsid w:val="00DC4DE1"/>
    <w:rsid w:val="00DC4F95"/>
    <w:rsid w:val="00DC57E3"/>
    <w:rsid w:val="00DC59E1"/>
    <w:rsid w:val="00DD03BA"/>
    <w:rsid w:val="00DD0B8C"/>
    <w:rsid w:val="00DD1653"/>
    <w:rsid w:val="00DD1765"/>
    <w:rsid w:val="00DD262C"/>
    <w:rsid w:val="00DD2DF2"/>
    <w:rsid w:val="00DD2E02"/>
    <w:rsid w:val="00DD4E07"/>
    <w:rsid w:val="00DD5887"/>
    <w:rsid w:val="00DD5DA9"/>
    <w:rsid w:val="00DD68FD"/>
    <w:rsid w:val="00DE0587"/>
    <w:rsid w:val="00DE0DBF"/>
    <w:rsid w:val="00DE1B0F"/>
    <w:rsid w:val="00DE1BE2"/>
    <w:rsid w:val="00DE34D4"/>
    <w:rsid w:val="00DE3B63"/>
    <w:rsid w:val="00DE3D6D"/>
    <w:rsid w:val="00DE3E0F"/>
    <w:rsid w:val="00DE3F3B"/>
    <w:rsid w:val="00DE5008"/>
    <w:rsid w:val="00DE520B"/>
    <w:rsid w:val="00DE59B7"/>
    <w:rsid w:val="00DE6007"/>
    <w:rsid w:val="00DE6215"/>
    <w:rsid w:val="00DE6CA8"/>
    <w:rsid w:val="00DE750C"/>
    <w:rsid w:val="00DE7856"/>
    <w:rsid w:val="00DE7C22"/>
    <w:rsid w:val="00DE7E7F"/>
    <w:rsid w:val="00DE7EB7"/>
    <w:rsid w:val="00DF0FE2"/>
    <w:rsid w:val="00DF1590"/>
    <w:rsid w:val="00DF1CD7"/>
    <w:rsid w:val="00DF245C"/>
    <w:rsid w:val="00DF33B0"/>
    <w:rsid w:val="00DF3B03"/>
    <w:rsid w:val="00DF531F"/>
    <w:rsid w:val="00DF59E4"/>
    <w:rsid w:val="00DF653D"/>
    <w:rsid w:val="00DF6709"/>
    <w:rsid w:val="00E004EC"/>
    <w:rsid w:val="00E02379"/>
    <w:rsid w:val="00E02A08"/>
    <w:rsid w:val="00E0371C"/>
    <w:rsid w:val="00E04611"/>
    <w:rsid w:val="00E06259"/>
    <w:rsid w:val="00E0630D"/>
    <w:rsid w:val="00E06689"/>
    <w:rsid w:val="00E07A9B"/>
    <w:rsid w:val="00E102F6"/>
    <w:rsid w:val="00E10B0E"/>
    <w:rsid w:val="00E113DD"/>
    <w:rsid w:val="00E1191F"/>
    <w:rsid w:val="00E129CB"/>
    <w:rsid w:val="00E138B2"/>
    <w:rsid w:val="00E13DD8"/>
    <w:rsid w:val="00E15196"/>
    <w:rsid w:val="00E15347"/>
    <w:rsid w:val="00E157CF"/>
    <w:rsid w:val="00E15AA4"/>
    <w:rsid w:val="00E16523"/>
    <w:rsid w:val="00E16600"/>
    <w:rsid w:val="00E166CA"/>
    <w:rsid w:val="00E168D8"/>
    <w:rsid w:val="00E16A0C"/>
    <w:rsid w:val="00E170C1"/>
    <w:rsid w:val="00E17310"/>
    <w:rsid w:val="00E17DBC"/>
    <w:rsid w:val="00E218E6"/>
    <w:rsid w:val="00E234D3"/>
    <w:rsid w:val="00E24757"/>
    <w:rsid w:val="00E24FF2"/>
    <w:rsid w:val="00E25076"/>
    <w:rsid w:val="00E25C8C"/>
    <w:rsid w:val="00E25F19"/>
    <w:rsid w:val="00E25FAA"/>
    <w:rsid w:val="00E26019"/>
    <w:rsid w:val="00E26C3C"/>
    <w:rsid w:val="00E2719A"/>
    <w:rsid w:val="00E277B7"/>
    <w:rsid w:val="00E27D7D"/>
    <w:rsid w:val="00E3077B"/>
    <w:rsid w:val="00E30ACE"/>
    <w:rsid w:val="00E30E4E"/>
    <w:rsid w:val="00E31A41"/>
    <w:rsid w:val="00E32847"/>
    <w:rsid w:val="00E32B7F"/>
    <w:rsid w:val="00E33F6A"/>
    <w:rsid w:val="00E342BE"/>
    <w:rsid w:val="00E356A9"/>
    <w:rsid w:val="00E35987"/>
    <w:rsid w:val="00E36CBD"/>
    <w:rsid w:val="00E3742D"/>
    <w:rsid w:val="00E37EC5"/>
    <w:rsid w:val="00E37F84"/>
    <w:rsid w:val="00E40D9B"/>
    <w:rsid w:val="00E417E1"/>
    <w:rsid w:val="00E41DB2"/>
    <w:rsid w:val="00E41EEB"/>
    <w:rsid w:val="00E43B1A"/>
    <w:rsid w:val="00E44BD5"/>
    <w:rsid w:val="00E4555C"/>
    <w:rsid w:val="00E45713"/>
    <w:rsid w:val="00E45A54"/>
    <w:rsid w:val="00E460E7"/>
    <w:rsid w:val="00E5019D"/>
    <w:rsid w:val="00E50317"/>
    <w:rsid w:val="00E508DF"/>
    <w:rsid w:val="00E509B1"/>
    <w:rsid w:val="00E51A69"/>
    <w:rsid w:val="00E51A6B"/>
    <w:rsid w:val="00E51DB6"/>
    <w:rsid w:val="00E52807"/>
    <w:rsid w:val="00E52D6B"/>
    <w:rsid w:val="00E53F6B"/>
    <w:rsid w:val="00E5520F"/>
    <w:rsid w:val="00E55715"/>
    <w:rsid w:val="00E55D7E"/>
    <w:rsid w:val="00E56349"/>
    <w:rsid w:val="00E56C88"/>
    <w:rsid w:val="00E57CDB"/>
    <w:rsid w:val="00E60447"/>
    <w:rsid w:val="00E62367"/>
    <w:rsid w:val="00E62A42"/>
    <w:rsid w:val="00E630C7"/>
    <w:rsid w:val="00E646BF"/>
    <w:rsid w:val="00E648C9"/>
    <w:rsid w:val="00E64F9A"/>
    <w:rsid w:val="00E66199"/>
    <w:rsid w:val="00E66573"/>
    <w:rsid w:val="00E66763"/>
    <w:rsid w:val="00E6737D"/>
    <w:rsid w:val="00E67BA3"/>
    <w:rsid w:val="00E67FAA"/>
    <w:rsid w:val="00E70882"/>
    <w:rsid w:val="00E70DC2"/>
    <w:rsid w:val="00E71276"/>
    <w:rsid w:val="00E71F0C"/>
    <w:rsid w:val="00E72ADF"/>
    <w:rsid w:val="00E73351"/>
    <w:rsid w:val="00E74283"/>
    <w:rsid w:val="00E74B19"/>
    <w:rsid w:val="00E74B57"/>
    <w:rsid w:val="00E750F5"/>
    <w:rsid w:val="00E76366"/>
    <w:rsid w:val="00E766D9"/>
    <w:rsid w:val="00E7729D"/>
    <w:rsid w:val="00E77639"/>
    <w:rsid w:val="00E776D7"/>
    <w:rsid w:val="00E80266"/>
    <w:rsid w:val="00E80E92"/>
    <w:rsid w:val="00E813CE"/>
    <w:rsid w:val="00E82ACF"/>
    <w:rsid w:val="00E82CB4"/>
    <w:rsid w:val="00E834AA"/>
    <w:rsid w:val="00E83FDB"/>
    <w:rsid w:val="00E84C99"/>
    <w:rsid w:val="00E85686"/>
    <w:rsid w:val="00E85743"/>
    <w:rsid w:val="00E861DB"/>
    <w:rsid w:val="00E86A0B"/>
    <w:rsid w:val="00E873A4"/>
    <w:rsid w:val="00E87A85"/>
    <w:rsid w:val="00E87B70"/>
    <w:rsid w:val="00E87C6C"/>
    <w:rsid w:val="00E90B57"/>
    <w:rsid w:val="00E90E74"/>
    <w:rsid w:val="00E91187"/>
    <w:rsid w:val="00E922AF"/>
    <w:rsid w:val="00E936C6"/>
    <w:rsid w:val="00E93927"/>
    <w:rsid w:val="00E94E49"/>
    <w:rsid w:val="00E97447"/>
    <w:rsid w:val="00E97F35"/>
    <w:rsid w:val="00EA00CE"/>
    <w:rsid w:val="00EA02EA"/>
    <w:rsid w:val="00EA0FC4"/>
    <w:rsid w:val="00EA146D"/>
    <w:rsid w:val="00EA253E"/>
    <w:rsid w:val="00EA2857"/>
    <w:rsid w:val="00EA3179"/>
    <w:rsid w:val="00EA45A1"/>
    <w:rsid w:val="00EA4EE6"/>
    <w:rsid w:val="00EA54CD"/>
    <w:rsid w:val="00EA59CD"/>
    <w:rsid w:val="00EA5CE5"/>
    <w:rsid w:val="00EA5E11"/>
    <w:rsid w:val="00EA65F4"/>
    <w:rsid w:val="00EA7E8B"/>
    <w:rsid w:val="00EB0E3C"/>
    <w:rsid w:val="00EB1E5B"/>
    <w:rsid w:val="00EB21A1"/>
    <w:rsid w:val="00EB22E3"/>
    <w:rsid w:val="00EB247A"/>
    <w:rsid w:val="00EB248A"/>
    <w:rsid w:val="00EB2592"/>
    <w:rsid w:val="00EB2DFD"/>
    <w:rsid w:val="00EB6011"/>
    <w:rsid w:val="00EB6548"/>
    <w:rsid w:val="00EB7479"/>
    <w:rsid w:val="00EB781E"/>
    <w:rsid w:val="00EB7CDA"/>
    <w:rsid w:val="00EC0E5E"/>
    <w:rsid w:val="00EC14D4"/>
    <w:rsid w:val="00EC18E0"/>
    <w:rsid w:val="00EC1D8E"/>
    <w:rsid w:val="00EC264D"/>
    <w:rsid w:val="00EC3890"/>
    <w:rsid w:val="00EC43E2"/>
    <w:rsid w:val="00EC483E"/>
    <w:rsid w:val="00EC56D4"/>
    <w:rsid w:val="00EC5AB4"/>
    <w:rsid w:val="00EC6630"/>
    <w:rsid w:val="00EC6D40"/>
    <w:rsid w:val="00EC6E08"/>
    <w:rsid w:val="00EC754F"/>
    <w:rsid w:val="00EC774B"/>
    <w:rsid w:val="00EC7BA5"/>
    <w:rsid w:val="00ED255D"/>
    <w:rsid w:val="00ED2B76"/>
    <w:rsid w:val="00ED30B7"/>
    <w:rsid w:val="00ED385E"/>
    <w:rsid w:val="00ED3E51"/>
    <w:rsid w:val="00ED40B7"/>
    <w:rsid w:val="00ED423D"/>
    <w:rsid w:val="00ED45ED"/>
    <w:rsid w:val="00ED5334"/>
    <w:rsid w:val="00ED6B9E"/>
    <w:rsid w:val="00ED6C5B"/>
    <w:rsid w:val="00ED7473"/>
    <w:rsid w:val="00ED7B2E"/>
    <w:rsid w:val="00EE0620"/>
    <w:rsid w:val="00EE0928"/>
    <w:rsid w:val="00EE11BF"/>
    <w:rsid w:val="00EE24C7"/>
    <w:rsid w:val="00EE382B"/>
    <w:rsid w:val="00EE39D1"/>
    <w:rsid w:val="00EE3CBE"/>
    <w:rsid w:val="00EE3D30"/>
    <w:rsid w:val="00EE3D4A"/>
    <w:rsid w:val="00EE3E51"/>
    <w:rsid w:val="00EE464F"/>
    <w:rsid w:val="00EE4709"/>
    <w:rsid w:val="00EE6124"/>
    <w:rsid w:val="00EE6A1C"/>
    <w:rsid w:val="00EE72B2"/>
    <w:rsid w:val="00EE72CC"/>
    <w:rsid w:val="00EE7639"/>
    <w:rsid w:val="00EF0177"/>
    <w:rsid w:val="00EF0579"/>
    <w:rsid w:val="00EF16E3"/>
    <w:rsid w:val="00EF2350"/>
    <w:rsid w:val="00EF4A07"/>
    <w:rsid w:val="00EF5A21"/>
    <w:rsid w:val="00EF5AFC"/>
    <w:rsid w:val="00EF5B0E"/>
    <w:rsid w:val="00EF6BAE"/>
    <w:rsid w:val="00EF6C6E"/>
    <w:rsid w:val="00EF7181"/>
    <w:rsid w:val="00EF7563"/>
    <w:rsid w:val="00EF771F"/>
    <w:rsid w:val="00EF7E5D"/>
    <w:rsid w:val="00F004A2"/>
    <w:rsid w:val="00F01885"/>
    <w:rsid w:val="00F01D49"/>
    <w:rsid w:val="00F03115"/>
    <w:rsid w:val="00F038BF"/>
    <w:rsid w:val="00F05528"/>
    <w:rsid w:val="00F05CBA"/>
    <w:rsid w:val="00F076B6"/>
    <w:rsid w:val="00F07A03"/>
    <w:rsid w:val="00F10387"/>
    <w:rsid w:val="00F106D4"/>
    <w:rsid w:val="00F10819"/>
    <w:rsid w:val="00F11B62"/>
    <w:rsid w:val="00F12A66"/>
    <w:rsid w:val="00F130DB"/>
    <w:rsid w:val="00F1460A"/>
    <w:rsid w:val="00F146BB"/>
    <w:rsid w:val="00F1517B"/>
    <w:rsid w:val="00F1549D"/>
    <w:rsid w:val="00F15538"/>
    <w:rsid w:val="00F15DEE"/>
    <w:rsid w:val="00F15EFD"/>
    <w:rsid w:val="00F16A9E"/>
    <w:rsid w:val="00F16BB7"/>
    <w:rsid w:val="00F177B4"/>
    <w:rsid w:val="00F2127D"/>
    <w:rsid w:val="00F2176E"/>
    <w:rsid w:val="00F21893"/>
    <w:rsid w:val="00F21BB4"/>
    <w:rsid w:val="00F22F5C"/>
    <w:rsid w:val="00F22FD2"/>
    <w:rsid w:val="00F24395"/>
    <w:rsid w:val="00F2478B"/>
    <w:rsid w:val="00F2587C"/>
    <w:rsid w:val="00F259A6"/>
    <w:rsid w:val="00F25B65"/>
    <w:rsid w:val="00F2624E"/>
    <w:rsid w:val="00F26864"/>
    <w:rsid w:val="00F27183"/>
    <w:rsid w:val="00F30059"/>
    <w:rsid w:val="00F311B5"/>
    <w:rsid w:val="00F311D4"/>
    <w:rsid w:val="00F316DF"/>
    <w:rsid w:val="00F32457"/>
    <w:rsid w:val="00F325A4"/>
    <w:rsid w:val="00F32F69"/>
    <w:rsid w:val="00F33B28"/>
    <w:rsid w:val="00F33F59"/>
    <w:rsid w:val="00F3403C"/>
    <w:rsid w:val="00F34F98"/>
    <w:rsid w:val="00F3516C"/>
    <w:rsid w:val="00F35F7E"/>
    <w:rsid w:val="00F3629C"/>
    <w:rsid w:val="00F37720"/>
    <w:rsid w:val="00F37840"/>
    <w:rsid w:val="00F411C0"/>
    <w:rsid w:val="00F418E3"/>
    <w:rsid w:val="00F41B8A"/>
    <w:rsid w:val="00F42015"/>
    <w:rsid w:val="00F4229B"/>
    <w:rsid w:val="00F425CF"/>
    <w:rsid w:val="00F43334"/>
    <w:rsid w:val="00F43672"/>
    <w:rsid w:val="00F439CB"/>
    <w:rsid w:val="00F43D31"/>
    <w:rsid w:val="00F44165"/>
    <w:rsid w:val="00F45143"/>
    <w:rsid w:val="00F451E2"/>
    <w:rsid w:val="00F45D29"/>
    <w:rsid w:val="00F4635C"/>
    <w:rsid w:val="00F4690E"/>
    <w:rsid w:val="00F5120E"/>
    <w:rsid w:val="00F5131F"/>
    <w:rsid w:val="00F527B4"/>
    <w:rsid w:val="00F530BF"/>
    <w:rsid w:val="00F53CC6"/>
    <w:rsid w:val="00F5452B"/>
    <w:rsid w:val="00F56097"/>
    <w:rsid w:val="00F561AE"/>
    <w:rsid w:val="00F5797D"/>
    <w:rsid w:val="00F60090"/>
    <w:rsid w:val="00F60B17"/>
    <w:rsid w:val="00F60EEA"/>
    <w:rsid w:val="00F62698"/>
    <w:rsid w:val="00F634BD"/>
    <w:rsid w:val="00F63584"/>
    <w:rsid w:val="00F640AF"/>
    <w:rsid w:val="00F66614"/>
    <w:rsid w:val="00F668A3"/>
    <w:rsid w:val="00F70AC8"/>
    <w:rsid w:val="00F71541"/>
    <w:rsid w:val="00F71B84"/>
    <w:rsid w:val="00F71CB6"/>
    <w:rsid w:val="00F72CD0"/>
    <w:rsid w:val="00F73F75"/>
    <w:rsid w:val="00F73FD1"/>
    <w:rsid w:val="00F744C3"/>
    <w:rsid w:val="00F74601"/>
    <w:rsid w:val="00F7472C"/>
    <w:rsid w:val="00F74C63"/>
    <w:rsid w:val="00F7670F"/>
    <w:rsid w:val="00F76753"/>
    <w:rsid w:val="00F77AB7"/>
    <w:rsid w:val="00F8020B"/>
    <w:rsid w:val="00F80DCB"/>
    <w:rsid w:val="00F827BF"/>
    <w:rsid w:val="00F834A1"/>
    <w:rsid w:val="00F83703"/>
    <w:rsid w:val="00F8505A"/>
    <w:rsid w:val="00F8739E"/>
    <w:rsid w:val="00F87F44"/>
    <w:rsid w:val="00F9102E"/>
    <w:rsid w:val="00F91E5C"/>
    <w:rsid w:val="00F935FB"/>
    <w:rsid w:val="00F93D88"/>
    <w:rsid w:val="00F93DD9"/>
    <w:rsid w:val="00F96E24"/>
    <w:rsid w:val="00FA03A1"/>
    <w:rsid w:val="00FA1B01"/>
    <w:rsid w:val="00FA2929"/>
    <w:rsid w:val="00FA3B0D"/>
    <w:rsid w:val="00FA3E22"/>
    <w:rsid w:val="00FA429A"/>
    <w:rsid w:val="00FA4E3F"/>
    <w:rsid w:val="00FA530B"/>
    <w:rsid w:val="00FA5D21"/>
    <w:rsid w:val="00FA6E71"/>
    <w:rsid w:val="00FA6F0A"/>
    <w:rsid w:val="00FA78E6"/>
    <w:rsid w:val="00FB0824"/>
    <w:rsid w:val="00FB09B4"/>
    <w:rsid w:val="00FB0DFA"/>
    <w:rsid w:val="00FB1314"/>
    <w:rsid w:val="00FB20D2"/>
    <w:rsid w:val="00FB2142"/>
    <w:rsid w:val="00FB219D"/>
    <w:rsid w:val="00FB4ACF"/>
    <w:rsid w:val="00FB5916"/>
    <w:rsid w:val="00FB5E35"/>
    <w:rsid w:val="00FB613A"/>
    <w:rsid w:val="00FB7A09"/>
    <w:rsid w:val="00FB7A37"/>
    <w:rsid w:val="00FB7CFE"/>
    <w:rsid w:val="00FC0340"/>
    <w:rsid w:val="00FC1052"/>
    <w:rsid w:val="00FC2DFC"/>
    <w:rsid w:val="00FC4D36"/>
    <w:rsid w:val="00FC5801"/>
    <w:rsid w:val="00FC5CE0"/>
    <w:rsid w:val="00FC5EA8"/>
    <w:rsid w:val="00FC7014"/>
    <w:rsid w:val="00FC78E3"/>
    <w:rsid w:val="00FC7E6F"/>
    <w:rsid w:val="00FD23B1"/>
    <w:rsid w:val="00FD2E2C"/>
    <w:rsid w:val="00FD3AE4"/>
    <w:rsid w:val="00FD793B"/>
    <w:rsid w:val="00FD7E70"/>
    <w:rsid w:val="00FE04B1"/>
    <w:rsid w:val="00FE0A32"/>
    <w:rsid w:val="00FE0D49"/>
    <w:rsid w:val="00FE14F4"/>
    <w:rsid w:val="00FE29C5"/>
    <w:rsid w:val="00FE308A"/>
    <w:rsid w:val="00FE3AD4"/>
    <w:rsid w:val="00FE3F0E"/>
    <w:rsid w:val="00FE436E"/>
    <w:rsid w:val="00FE4C97"/>
    <w:rsid w:val="00FE5ADA"/>
    <w:rsid w:val="00FE5CD1"/>
    <w:rsid w:val="00FE627B"/>
    <w:rsid w:val="00FE67BB"/>
    <w:rsid w:val="00FE7078"/>
    <w:rsid w:val="00FE764D"/>
    <w:rsid w:val="00FE768A"/>
    <w:rsid w:val="00FE7825"/>
    <w:rsid w:val="00FF0209"/>
    <w:rsid w:val="00FF08FD"/>
    <w:rsid w:val="00FF1444"/>
    <w:rsid w:val="00FF27D4"/>
    <w:rsid w:val="00FF2A05"/>
    <w:rsid w:val="00FF2A57"/>
    <w:rsid w:val="00FF2D30"/>
    <w:rsid w:val="00FF2D31"/>
    <w:rsid w:val="00FF2E88"/>
    <w:rsid w:val="00FF333F"/>
    <w:rsid w:val="00FF3656"/>
    <w:rsid w:val="00FF3B44"/>
    <w:rsid w:val="00FF4A36"/>
    <w:rsid w:val="00FF5839"/>
    <w:rsid w:val="00FF5C63"/>
    <w:rsid w:val="00FF5FEA"/>
    <w:rsid w:val="00FF7169"/>
    <w:rsid w:val="010E3943"/>
    <w:rsid w:val="026FABE4"/>
    <w:rsid w:val="0369A11B"/>
    <w:rsid w:val="0479470D"/>
    <w:rsid w:val="04E156B5"/>
    <w:rsid w:val="09951159"/>
    <w:rsid w:val="09AAAC90"/>
    <w:rsid w:val="09E36389"/>
    <w:rsid w:val="0AF53E7E"/>
    <w:rsid w:val="0C3A8378"/>
    <w:rsid w:val="0D82C4BD"/>
    <w:rsid w:val="0DC5ABBE"/>
    <w:rsid w:val="0DCBD0F9"/>
    <w:rsid w:val="0E39350A"/>
    <w:rsid w:val="12207777"/>
    <w:rsid w:val="12947201"/>
    <w:rsid w:val="13FF8850"/>
    <w:rsid w:val="14304262"/>
    <w:rsid w:val="14880387"/>
    <w:rsid w:val="15D3DFC2"/>
    <w:rsid w:val="163328BE"/>
    <w:rsid w:val="163F6BA0"/>
    <w:rsid w:val="1767E324"/>
    <w:rsid w:val="177F7B34"/>
    <w:rsid w:val="178FE26A"/>
    <w:rsid w:val="18B11B99"/>
    <w:rsid w:val="1909B5D7"/>
    <w:rsid w:val="1AA59843"/>
    <w:rsid w:val="1AF26B42"/>
    <w:rsid w:val="1B477B5A"/>
    <w:rsid w:val="1D5BCDE0"/>
    <w:rsid w:val="1D683E37"/>
    <w:rsid w:val="220C86BE"/>
    <w:rsid w:val="2306DCE7"/>
    <w:rsid w:val="2323F3AC"/>
    <w:rsid w:val="23A8571F"/>
    <w:rsid w:val="23C7A43D"/>
    <w:rsid w:val="24A2AD48"/>
    <w:rsid w:val="2658A9A4"/>
    <w:rsid w:val="26A1086A"/>
    <w:rsid w:val="27FF3EAA"/>
    <w:rsid w:val="28EC9648"/>
    <w:rsid w:val="2A13BFA5"/>
    <w:rsid w:val="2D540F1D"/>
    <w:rsid w:val="2FE3DE20"/>
    <w:rsid w:val="308662A3"/>
    <w:rsid w:val="30DA3ECE"/>
    <w:rsid w:val="30DF4194"/>
    <w:rsid w:val="31FF83CA"/>
    <w:rsid w:val="33A02888"/>
    <w:rsid w:val="341F0F96"/>
    <w:rsid w:val="3456A601"/>
    <w:rsid w:val="3789E019"/>
    <w:rsid w:val="3919F1D1"/>
    <w:rsid w:val="39297523"/>
    <w:rsid w:val="3ABD3C65"/>
    <w:rsid w:val="3B12050C"/>
    <w:rsid w:val="3B975701"/>
    <w:rsid w:val="3C5C6356"/>
    <w:rsid w:val="3C98C017"/>
    <w:rsid w:val="3CF6F006"/>
    <w:rsid w:val="3DC85D83"/>
    <w:rsid w:val="3E19B7DE"/>
    <w:rsid w:val="3E4FEB28"/>
    <w:rsid w:val="3EBE8BBD"/>
    <w:rsid w:val="3F940418"/>
    <w:rsid w:val="3FC29FC9"/>
    <w:rsid w:val="3FDBC826"/>
    <w:rsid w:val="40658333"/>
    <w:rsid w:val="409E980D"/>
    <w:rsid w:val="41F9C889"/>
    <w:rsid w:val="42015394"/>
    <w:rsid w:val="435C751F"/>
    <w:rsid w:val="439D23F5"/>
    <w:rsid w:val="43C8FF19"/>
    <w:rsid w:val="4486FD57"/>
    <w:rsid w:val="45EC8212"/>
    <w:rsid w:val="46D4C4B7"/>
    <w:rsid w:val="47E950AF"/>
    <w:rsid w:val="48218E00"/>
    <w:rsid w:val="4834A628"/>
    <w:rsid w:val="483F4178"/>
    <w:rsid w:val="48709518"/>
    <w:rsid w:val="4927A0F4"/>
    <w:rsid w:val="499BDD61"/>
    <w:rsid w:val="4A92926C"/>
    <w:rsid w:val="4AF24401"/>
    <w:rsid w:val="4C47CED7"/>
    <w:rsid w:val="4C6A90EF"/>
    <w:rsid w:val="4C972470"/>
    <w:rsid w:val="4DE60772"/>
    <w:rsid w:val="5133F00A"/>
    <w:rsid w:val="5143390F"/>
    <w:rsid w:val="5166B31C"/>
    <w:rsid w:val="53192395"/>
    <w:rsid w:val="5363C8FC"/>
    <w:rsid w:val="541D76E3"/>
    <w:rsid w:val="549EADED"/>
    <w:rsid w:val="54E0163D"/>
    <w:rsid w:val="5629B2B6"/>
    <w:rsid w:val="564FF29D"/>
    <w:rsid w:val="570A47B2"/>
    <w:rsid w:val="57725060"/>
    <w:rsid w:val="58B4942F"/>
    <w:rsid w:val="58E61927"/>
    <w:rsid w:val="59CB5B5E"/>
    <w:rsid w:val="59E12350"/>
    <w:rsid w:val="5AA5C41E"/>
    <w:rsid w:val="5B912DAC"/>
    <w:rsid w:val="5BD0EC79"/>
    <w:rsid w:val="5C00B311"/>
    <w:rsid w:val="5C63941C"/>
    <w:rsid w:val="5C7F0F7C"/>
    <w:rsid w:val="5C98EBD5"/>
    <w:rsid w:val="5CC944FF"/>
    <w:rsid w:val="5E5B0482"/>
    <w:rsid w:val="5E732DBF"/>
    <w:rsid w:val="5F7F3AA1"/>
    <w:rsid w:val="60876A36"/>
    <w:rsid w:val="614921F4"/>
    <w:rsid w:val="61E7B2B2"/>
    <w:rsid w:val="62C424AA"/>
    <w:rsid w:val="630ABCAF"/>
    <w:rsid w:val="63251BDF"/>
    <w:rsid w:val="63FB5255"/>
    <w:rsid w:val="653CEE04"/>
    <w:rsid w:val="65BB554C"/>
    <w:rsid w:val="67FDEAB9"/>
    <w:rsid w:val="680DCF62"/>
    <w:rsid w:val="68A13285"/>
    <w:rsid w:val="68A84FDC"/>
    <w:rsid w:val="68E783F1"/>
    <w:rsid w:val="697D8F2A"/>
    <w:rsid w:val="69E1A666"/>
    <w:rsid w:val="6A47B116"/>
    <w:rsid w:val="6AFFE354"/>
    <w:rsid w:val="6C49FDB4"/>
    <w:rsid w:val="6CB8337F"/>
    <w:rsid w:val="6DACC82C"/>
    <w:rsid w:val="6E46BB6A"/>
    <w:rsid w:val="6EB51789"/>
    <w:rsid w:val="6EC2132F"/>
    <w:rsid w:val="6F64EB3F"/>
    <w:rsid w:val="6F6EB38F"/>
    <w:rsid w:val="70B8F792"/>
    <w:rsid w:val="7205C402"/>
    <w:rsid w:val="7254C7F3"/>
    <w:rsid w:val="728363A4"/>
    <w:rsid w:val="75D9054B"/>
    <w:rsid w:val="7626757E"/>
    <w:rsid w:val="769B2325"/>
    <w:rsid w:val="76D84C8D"/>
    <w:rsid w:val="770571EC"/>
    <w:rsid w:val="7915C83F"/>
    <w:rsid w:val="79F80ADB"/>
    <w:rsid w:val="7B233563"/>
    <w:rsid w:val="7BCD0A30"/>
    <w:rsid w:val="7C2A0E56"/>
    <w:rsid w:val="7C7DAA91"/>
    <w:rsid w:val="7CAE4078"/>
    <w:rsid w:val="7CBAB0CF"/>
    <w:rsid w:val="7E197AF2"/>
    <w:rsid w:val="7E3D7B2D"/>
    <w:rsid w:val="7F14171F"/>
    <w:rsid w:val="7F6DCF46"/>
    <w:rsid w:val="7F9FAFC6"/>
    <w:rsid w:val="7FE6D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A33A6"/>
  <w15:chartTrackingRefBased/>
  <w15:docId w15:val="{F073B38C-AFEC-43DE-89E8-5388A745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255D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3"/>
    <w:unhideWhenUsed/>
    <w:qFormat/>
    <w:rsid w:val="000255D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4"/>
    <w:unhideWhenUsed/>
    <w:qFormat/>
    <w:rsid w:val="000255D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0255DC"/>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iPriority w:val="9"/>
    <w:semiHidden/>
    <w:unhideWhenUsed/>
    <w:qFormat/>
    <w:rsid w:val="000255DC"/>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0255DC"/>
    <w:pPr>
      <w:keepNext/>
      <w:keepLines/>
      <w:spacing w:before="40" w:after="0" w:line="288" w:lineRule="auto"/>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0255DC"/>
    <w:pPr>
      <w:keepNext/>
      <w:keepLines/>
      <w:spacing w:before="40" w:after="0" w:line="288" w:lineRule="auto"/>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0255DC"/>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0255DC"/>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Table Dots,FooterText,numbered,Paragraphe de liste1,Bulletr List Paragraph,列出段落,列出段落1,List Paragraph2,List Paragraph21,Listeafsnit1,Parágrafo da Lista1,Párrafo de lista1"/>
    <w:basedOn w:val="Normal"/>
    <w:link w:val="ListParagraphChar"/>
    <w:uiPriority w:val="99"/>
    <w:qFormat/>
    <w:rsid w:val="00FF4A36"/>
    <w:pPr>
      <w:ind w:left="720"/>
      <w:contextualSpacing/>
    </w:pPr>
  </w:style>
  <w:style w:type="character" w:styleId="CommentReference">
    <w:name w:val="annotation reference"/>
    <w:basedOn w:val="DefaultParagraphFont"/>
    <w:uiPriority w:val="99"/>
    <w:semiHidden/>
    <w:unhideWhenUsed/>
    <w:rsid w:val="009C6B1B"/>
    <w:rPr>
      <w:sz w:val="16"/>
      <w:szCs w:val="16"/>
    </w:rPr>
  </w:style>
  <w:style w:type="paragraph" w:styleId="CommentText">
    <w:name w:val="annotation text"/>
    <w:basedOn w:val="Normal"/>
    <w:link w:val="CommentTextChar"/>
    <w:uiPriority w:val="99"/>
    <w:unhideWhenUsed/>
    <w:rsid w:val="009C6B1B"/>
    <w:pPr>
      <w:spacing w:line="240" w:lineRule="auto"/>
    </w:pPr>
    <w:rPr>
      <w:sz w:val="20"/>
      <w:szCs w:val="20"/>
    </w:rPr>
  </w:style>
  <w:style w:type="character" w:customStyle="1" w:styleId="CommentTextChar">
    <w:name w:val="Comment Text Char"/>
    <w:basedOn w:val="DefaultParagraphFont"/>
    <w:link w:val="CommentText"/>
    <w:uiPriority w:val="99"/>
    <w:rsid w:val="009C6B1B"/>
    <w:rPr>
      <w:sz w:val="20"/>
      <w:szCs w:val="20"/>
    </w:rPr>
  </w:style>
  <w:style w:type="paragraph" w:styleId="CommentSubject">
    <w:name w:val="annotation subject"/>
    <w:basedOn w:val="CommentText"/>
    <w:next w:val="CommentText"/>
    <w:link w:val="CommentSubjectChar"/>
    <w:uiPriority w:val="99"/>
    <w:semiHidden/>
    <w:unhideWhenUsed/>
    <w:rsid w:val="009C6B1B"/>
    <w:rPr>
      <w:b/>
      <w:bCs/>
    </w:rPr>
  </w:style>
  <w:style w:type="character" w:customStyle="1" w:styleId="CommentSubjectChar">
    <w:name w:val="Comment Subject Char"/>
    <w:basedOn w:val="CommentTextChar"/>
    <w:link w:val="CommentSubject"/>
    <w:uiPriority w:val="99"/>
    <w:semiHidden/>
    <w:rsid w:val="009C6B1B"/>
    <w:rPr>
      <w:b/>
      <w:bCs/>
      <w:sz w:val="20"/>
      <w:szCs w:val="20"/>
    </w:rPr>
  </w:style>
  <w:style w:type="paragraph" w:styleId="Header">
    <w:name w:val="header"/>
    <w:basedOn w:val="Normal"/>
    <w:link w:val="HeaderChar"/>
    <w:uiPriority w:val="99"/>
    <w:unhideWhenUsed/>
    <w:rsid w:val="00AE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E37"/>
  </w:style>
  <w:style w:type="paragraph" w:styleId="Footer">
    <w:name w:val="footer"/>
    <w:basedOn w:val="Normal"/>
    <w:link w:val="FooterChar"/>
    <w:uiPriority w:val="99"/>
    <w:unhideWhenUsed/>
    <w:rsid w:val="00AE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E37"/>
  </w:style>
  <w:style w:type="character" w:styleId="Hyperlink">
    <w:name w:val="Hyperlink"/>
    <w:basedOn w:val="DefaultParagraphFont"/>
    <w:uiPriority w:val="99"/>
    <w:unhideWhenUsed/>
    <w:rsid w:val="00C838A0"/>
    <w:rPr>
      <w:color w:val="0563C1"/>
      <w:u w:val="single"/>
    </w:rPr>
  </w:style>
  <w:style w:type="paragraph" w:styleId="NormalWeb">
    <w:name w:val="Normal (Web)"/>
    <w:basedOn w:val="Normal"/>
    <w:uiPriority w:val="99"/>
    <w:unhideWhenUsed/>
    <w:rsid w:val="00C838A0"/>
    <w:pPr>
      <w:spacing w:before="100" w:beforeAutospacing="1" w:after="100" w:afterAutospacing="1" w:line="240" w:lineRule="auto"/>
    </w:pPr>
    <w:rPr>
      <w:rFonts w:ascii="Calibri" w:hAnsi="Calibri" w:cs="Calibri"/>
      <w:lang w:eastAsia="en-AU"/>
    </w:rPr>
  </w:style>
  <w:style w:type="character" w:styleId="Mention">
    <w:name w:val="Mention"/>
    <w:basedOn w:val="DefaultParagraphFont"/>
    <w:uiPriority w:val="99"/>
    <w:unhideWhenUsed/>
    <w:rsid w:val="00161A82"/>
    <w:rPr>
      <w:color w:val="2B579A"/>
      <w:shd w:val="clear" w:color="auto" w:fill="E6E6E6"/>
    </w:rPr>
  </w:style>
  <w:style w:type="character" w:customStyle="1" w:styleId="Heading1Char">
    <w:name w:val="Heading 1 Char"/>
    <w:basedOn w:val="DefaultParagraphFont"/>
    <w:link w:val="Heading1"/>
    <w:uiPriority w:val="1"/>
    <w:rsid w:val="000255D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3"/>
    <w:rsid w:val="000255D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4"/>
    <w:rsid w:val="000255D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0255DC"/>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uiPriority w:val="9"/>
    <w:semiHidden/>
    <w:rsid w:val="000255DC"/>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0255D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0255D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0255D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0255DC"/>
    <w:rPr>
      <w:rFonts w:asciiTheme="majorHAnsi" w:eastAsiaTheme="majorEastAsia" w:hAnsiTheme="majorHAnsi" w:cstheme="majorBidi"/>
      <w:i/>
      <w:iCs/>
      <w:color w:val="70AD47" w:themeColor="accent6"/>
      <w:sz w:val="20"/>
      <w:szCs w:val="20"/>
    </w:rPr>
  </w:style>
  <w:style w:type="paragraph" w:styleId="NoSpacing">
    <w:name w:val="No Spacing"/>
    <w:uiPriority w:val="1"/>
    <w:qFormat/>
    <w:rsid w:val="000255DC"/>
    <w:pPr>
      <w:spacing w:after="0" w:line="240" w:lineRule="auto"/>
    </w:pPr>
  </w:style>
  <w:style w:type="paragraph" w:styleId="FootnoteText">
    <w:name w:val="footnote text"/>
    <w:basedOn w:val="Normal"/>
    <w:link w:val="FootnoteTextChar"/>
    <w:uiPriority w:val="99"/>
    <w:semiHidden/>
    <w:unhideWhenUsed/>
    <w:rsid w:val="00025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5DC"/>
    <w:rPr>
      <w:sz w:val="20"/>
      <w:szCs w:val="20"/>
    </w:rPr>
  </w:style>
  <w:style w:type="character" w:styleId="FootnoteReference">
    <w:name w:val="footnote reference"/>
    <w:basedOn w:val="DefaultParagraphFont"/>
    <w:uiPriority w:val="99"/>
    <w:semiHidden/>
    <w:unhideWhenUsed/>
    <w:rsid w:val="000255DC"/>
    <w:rPr>
      <w:vertAlign w:val="superscript"/>
    </w:rPr>
  </w:style>
  <w:style w:type="character" w:customStyle="1" w:styleId="ListParagraphChar">
    <w:name w:val="List Paragraph Char"/>
    <w:aliases w:val="NFP GP Bulleted List Char,List Paragraph1 Char,Recommendation Char,List Paragraph11 Char,Table Dots Char,FooterText Char,numbered Char,Paragraphe de liste1 Char,Bulletr List Paragraph Char,列出段落 Char,列出段落1 Char,List Paragraph2 Char"/>
    <w:basedOn w:val="DefaultParagraphFont"/>
    <w:link w:val="ListParagraph"/>
    <w:uiPriority w:val="34"/>
    <w:rsid w:val="000255DC"/>
  </w:style>
  <w:style w:type="table" w:styleId="TableGrid">
    <w:name w:val="Table Grid"/>
    <w:basedOn w:val="TableNormal"/>
    <w:uiPriority w:val="59"/>
    <w:rsid w:val="0002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255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0255DC"/>
  </w:style>
  <w:style w:type="paragraph" w:customStyle="1" w:styleId="Singleindentbodytext">
    <w:name w:val="Single indent body text"/>
    <w:basedOn w:val="ListParagraph"/>
    <w:link w:val="SingleindentbodytextChar"/>
    <w:qFormat/>
    <w:rsid w:val="000255DC"/>
    <w:pPr>
      <w:numPr>
        <w:numId w:val="14"/>
      </w:numPr>
      <w:spacing w:after="120" w:line="240" w:lineRule="auto"/>
      <w:jc w:val="both"/>
    </w:pPr>
    <w:rPr>
      <w:rFonts w:eastAsia="Times New Roman" w:cstheme="minorHAnsi"/>
      <w:color w:val="0D0D0D" w:themeColor="text1" w:themeTint="F2"/>
      <w:lang w:eastAsia="en-AU"/>
    </w:rPr>
  </w:style>
  <w:style w:type="character" w:customStyle="1" w:styleId="SingleindentbodytextChar">
    <w:name w:val="Single indent body text Char"/>
    <w:basedOn w:val="DefaultParagraphFont"/>
    <w:link w:val="Singleindentbodytext"/>
    <w:rsid w:val="000255DC"/>
    <w:rPr>
      <w:rFonts w:eastAsia="Times New Roman" w:cstheme="minorHAnsi"/>
      <w:color w:val="0D0D0D" w:themeColor="text1" w:themeTint="F2"/>
      <w:lang w:eastAsia="en-AU"/>
    </w:rPr>
  </w:style>
  <w:style w:type="character" w:styleId="Strong">
    <w:name w:val="Strong"/>
    <w:basedOn w:val="DefaultParagraphFont"/>
    <w:uiPriority w:val="22"/>
    <w:qFormat/>
    <w:rsid w:val="000255DC"/>
    <w:rPr>
      <w:b/>
      <w:bCs/>
    </w:rPr>
  </w:style>
  <w:style w:type="character" w:styleId="UnresolvedMention">
    <w:name w:val="Unresolved Mention"/>
    <w:basedOn w:val="DefaultParagraphFont"/>
    <w:uiPriority w:val="99"/>
    <w:unhideWhenUsed/>
    <w:rsid w:val="000255DC"/>
    <w:rPr>
      <w:color w:val="605E5C"/>
      <w:shd w:val="clear" w:color="auto" w:fill="E1DFDD"/>
    </w:rPr>
  </w:style>
  <w:style w:type="paragraph" w:styleId="Revision">
    <w:name w:val="Revision"/>
    <w:hidden/>
    <w:uiPriority w:val="99"/>
    <w:semiHidden/>
    <w:rsid w:val="000255DC"/>
    <w:pPr>
      <w:spacing w:after="0" w:line="240" w:lineRule="auto"/>
    </w:pPr>
  </w:style>
  <w:style w:type="paragraph" w:customStyle="1" w:styleId="Style3">
    <w:name w:val="Style3"/>
    <w:basedOn w:val="ListParagraph"/>
    <w:rsid w:val="000255DC"/>
    <w:pPr>
      <w:numPr>
        <w:numId w:val="16"/>
      </w:numPr>
      <w:spacing w:after="120" w:line="288" w:lineRule="auto"/>
    </w:pPr>
    <w:rPr>
      <w:rFonts w:eastAsia="Calibri" w:cstheme="minorHAnsi"/>
      <w:sz w:val="20"/>
      <w:szCs w:val="20"/>
    </w:rPr>
  </w:style>
  <w:style w:type="paragraph" w:styleId="Caption">
    <w:name w:val="caption"/>
    <w:basedOn w:val="Normal"/>
    <w:next w:val="Normal"/>
    <w:uiPriority w:val="35"/>
    <w:semiHidden/>
    <w:unhideWhenUsed/>
    <w:qFormat/>
    <w:rsid w:val="000255DC"/>
    <w:pPr>
      <w:spacing w:after="200" w:line="240" w:lineRule="auto"/>
    </w:pPr>
    <w:rPr>
      <w:b/>
      <w:bCs/>
      <w:smallCaps/>
      <w:color w:val="595959" w:themeColor="text1" w:themeTint="A6"/>
    </w:rPr>
  </w:style>
  <w:style w:type="paragraph" w:styleId="Title">
    <w:name w:val="Title"/>
    <w:basedOn w:val="Normal"/>
    <w:next w:val="Normal"/>
    <w:link w:val="TitleChar"/>
    <w:uiPriority w:val="10"/>
    <w:qFormat/>
    <w:rsid w:val="000255D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255D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23"/>
    <w:qFormat/>
    <w:rsid w:val="000255DC"/>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23"/>
    <w:rsid w:val="000255DC"/>
    <w:rPr>
      <w:rFonts w:asciiTheme="majorHAnsi" w:eastAsiaTheme="majorEastAsia" w:hAnsiTheme="majorHAnsi" w:cstheme="majorBidi"/>
      <w:sz w:val="30"/>
      <w:szCs w:val="30"/>
    </w:rPr>
  </w:style>
  <w:style w:type="character" w:styleId="Emphasis">
    <w:name w:val="Emphasis"/>
    <w:basedOn w:val="DefaultParagraphFont"/>
    <w:uiPriority w:val="20"/>
    <w:qFormat/>
    <w:rsid w:val="000255DC"/>
    <w:rPr>
      <w:i/>
      <w:iCs/>
      <w:color w:val="70AD47" w:themeColor="accent6"/>
    </w:rPr>
  </w:style>
  <w:style w:type="paragraph" w:styleId="Quote">
    <w:name w:val="Quote"/>
    <w:basedOn w:val="Normal"/>
    <w:next w:val="Normal"/>
    <w:link w:val="QuoteChar"/>
    <w:uiPriority w:val="29"/>
    <w:qFormat/>
    <w:rsid w:val="000255DC"/>
    <w:pPr>
      <w:spacing w:before="160" w:after="200" w:line="288" w:lineRule="auto"/>
      <w:ind w:left="720" w:right="720"/>
      <w:jc w:val="center"/>
    </w:pPr>
    <w:rPr>
      <w:i/>
      <w:iCs/>
      <w:color w:val="262626" w:themeColor="text1" w:themeTint="D9"/>
    </w:rPr>
  </w:style>
  <w:style w:type="character" w:customStyle="1" w:styleId="QuoteChar">
    <w:name w:val="Quote Char"/>
    <w:basedOn w:val="DefaultParagraphFont"/>
    <w:link w:val="Quote"/>
    <w:uiPriority w:val="29"/>
    <w:rsid w:val="000255DC"/>
    <w:rPr>
      <w:i/>
      <w:iCs/>
      <w:color w:val="262626" w:themeColor="text1" w:themeTint="D9"/>
    </w:rPr>
  </w:style>
  <w:style w:type="paragraph" w:styleId="IntenseQuote">
    <w:name w:val="Intense Quote"/>
    <w:basedOn w:val="Normal"/>
    <w:next w:val="Normal"/>
    <w:link w:val="IntenseQuoteChar"/>
    <w:uiPriority w:val="30"/>
    <w:qFormat/>
    <w:rsid w:val="000255DC"/>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0255D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0255DC"/>
    <w:rPr>
      <w:i/>
      <w:iCs/>
    </w:rPr>
  </w:style>
  <w:style w:type="character" w:styleId="IntenseEmphasis">
    <w:name w:val="Intense Emphasis"/>
    <w:basedOn w:val="DefaultParagraphFont"/>
    <w:uiPriority w:val="21"/>
    <w:qFormat/>
    <w:rsid w:val="000255DC"/>
    <w:rPr>
      <w:b/>
      <w:bCs/>
      <w:i/>
      <w:iCs/>
    </w:rPr>
  </w:style>
  <w:style w:type="character" w:styleId="SubtleReference">
    <w:name w:val="Subtle Reference"/>
    <w:basedOn w:val="DefaultParagraphFont"/>
    <w:uiPriority w:val="31"/>
    <w:qFormat/>
    <w:rsid w:val="000255DC"/>
    <w:rPr>
      <w:smallCaps/>
      <w:color w:val="595959" w:themeColor="text1" w:themeTint="A6"/>
    </w:rPr>
  </w:style>
  <w:style w:type="character" w:styleId="IntenseReference">
    <w:name w:val="Intense Reference"/>
    <w:basedOn w:val="DefaultParagraphFont"/>
    <w:uiPriority w:val="32"/>
    <w:qFormat/>
    <w:rsid w:val="000255DC"/>
    <w:rPr>
      <w:b/>
      <w:bCs/>
      <w:smallCaps/>
      <w:color w:val="70AD47" w:themeColor="accent6"/>
    </w:rPr>
  </w:style>
  <w:style w:type="character" w:styleId="BookTitle">
    <w:name w:val="Book Title"/>
    <w:basedOn w:val="DefaultParagraphFont"/>
    <w:uiPriority w:val="33"/>
    <w:qFormat/>
    <w:rsid w:val="000255DC"/>
    <w:rPr>
      <w:b/>
      <w:bCs/>
      <w:caps w:val="0"/>
      <w:smallCaps/>
      <w:spacing w:val="7"/>
      <w:sz w:val="21"/>
      <w:szCs w:val="21"/>
    </w:rPr>
  </w:style>
  <w:style w:type="paragraph" w:styleId="TOCHeading">
    <w:name w:val="TOC Heading"/>
    <w:basedOn w:val="Heading1"/>
    <w:next w:val="Normal"/>
    <w:uiPriority w:val="39"/>
    <w:unhideWhenUsed/>
    <w:qFormat/>
    <w:rsid w:val="000255DC"/>
    <w:pPr>
      <w:outlineLvl w:val="9"/>
    </w:pPr>
  </w:style>
  <w:style w:type="character" w:customStyle="1" w:styleId="eop">
    <w:name w:val="eop"/>
    <w:basedOn w:val="DefaultParagraphFont"/>
    <w:rsid w:val="00DC4DE1"/>
  </w:style>
  <w:style w:type="character" w:customStyle="1" w:styleId="A3">
    <w:name w:val="A3"/>
    <w:uiPriority w:val="99"/>
    <w:rsid w:val="001D18D2"/>
    <w:rPr>
      <w:rFonts w:cs="Gotham Light"/>
      <w:color w:val="000000"/>
      <w:sz w:val="11"/>
      <w:szCs w:val="11"/>
    </w:rPr>
  </w:style>
  <w:style w:type="character" w:styleId="FollowedHyperlink">
    <w:name w:val="FollowedHyperlink"/>
    <w:basedOn w:val="DefaultParagraphFont"/>
    <w:uiPriority w:val="99"/>
    <w:semiHidden/>
    <w:unhideWhenUsed/>
    <w:rsid w:val="004E56A1"/>
    <w:rPr>
      <w:color w:val="954F72" w:themeColor="followedHyperlink"/>
      <w:u w:val="single"/>
    </w:rPr>
  </w:style>
  <w:style w:type="paragraph" w:customStyle="1" w:styleId="Author">
    <w:name w:val="Author"/>
    <w:basedOn w:val="Normal"/>
    <w:next w:val="Normal"/>
    <w:uiPriority w:val="24"/>
    <w:qFormat/>
    <w:rsid w:val="00E15347"/>
    <w:pPr>
      <w:spacing w:after="60" w:line="276" w:lineRule="auto"/>
    </w:pPr>
    <w:rPr>
      <w:rFonts w:ascii="Cambria" w:eastAsiaTheme="minorHAnsi" w:hAnsi="Cambria"/>
      <w:b/>
      <w:sz w:val="28"/>
      <w:szCs w:val="28"/>
    </w:rPr>
  </w:style>
  <w:style w:type="paragraph" w:styleId="ListBullet">
    <w:name w:val="List Bullet"/>
    <w:basedOn w:val="Normal"/>
    <w:uiPriority w:val="99"/>
    <w:qFormat/>
    <w:rsid w:val="00865858"/>
    <w:pPr>
      <w:numPr>
        <w:numId w:val="24"/>
      </w:numPr>
      <w:spacing w:before="120" w:after="120" w:line="276" w:lineRule="auto"/>
    </w:pPr>
    <w:rPr>
      <w:rFonts w:ascii="Cambria" w:eastAsiaTheme="minorHAnsi" w:hAnsi="Cambria"/>
      <w:sz w:val="22"/>
      <w:szCs w:val="22"/>
    </w:rPr>
  </w:style>
  <w:style w:type="paragraph" w:styleId="ListBullet2">
    <w:name w:val="List Bullet 2"/>
    <w:basedOn w:val="Normal"/>
    <w:uiPriority w:val="8"/>
    <w:qFormat/>
    <w:rsid w:val="00865858"/>
    <w:pPr>
      <w:numPr>
        <w:ilvl w:val="1"/>
        <w:numId w:val="24"/>
      </w:numPr>
      <w:spacing w:before="120" w:after="120" w:line="276" w:lineRule="auto"/>
      <w:contextualSpacing/>
    </w:pPr>
    <w:rPr>
      <w:rFonts w:ascii="Cambria" w:eastAsiaTheme="minorHAnsi" w:hAnsi="Cambria"/>
      <w:sz w:val="22"/>
      <w:szCs w:val="22"/>
    </w:rPr>
  </w:style>
  <w:style w:type="paragraph" w:styleId="ListNumber">
    <w:name w:val="List Number"/>
    <w:basedOn w:val="Normal"/>
    <w:uiPriority w:val="9"/>
    <w:qFormat/>
    <w:rsid w:val="00865858"/>
    <w:pPr>
      <w:numPr>
        <w:numId w:val="23"/>
      </w:numPr>
      <w:tabs>
        <w:tab w:val="left" w:pos="142"/>
      </w:tabs>
      <w:spacing w:before="120" w:after="120" w:line="276" w:lineRule="auto"/>
    </w:pPr>
    <w:rPr>
      <w:rFonts w:ascii="Cambria" w:eastAsiaTheme="minorHAnsi" w:hAnsi="Cambria"/>
      <w:sz w:val="22"/>
      <w:szCs w:val="22"/>
    </w:rPr>
  </w:style>
  <w:style w:type="paragraph" w:styleId="ListNumber2">
    <w:name w:val="List Number 2"/>
    <w:uiPriority w:val="10"/>
    <w:qFormat/>
    <w:rsid w:val="00865858"/>
    <w:pPr>
      <w:numPr>
        <w:ilvl w:val="1"/>
        <w:numId w:val="23"/>
      </w:numPr>
      <w:tabs>
        <w:tab w:val="left" w:pos="567"/>
      </w:tabs>
      <w:spacing w:before="120" w:after="120" w:line="264" w:lineRule="auto"/>
    </w:pPr>
    <w:rPr>
      <w:rFonts w:ascii="Cambria" w:eastAsia="Times New Roman" w:hAnsi="Cambria" w:cs="Times New Roman"/>
      <w:sz w:val="22"/>
      <w:szCs w:val="24"/>
    </w:rPr>
  </w:style>
  <w:style w:type="paragraph" w:styleId="ListNumber3">
    <w:name w:val="List Number 3"/>
    <w:uiPriority w:val="11"/>
    <w:qFormat/>
    <w:rsid w:val="00865858"/>
    <w:pPr>
      <w:numPr>
        <w:ilvl w:val="2"/>
        <w:numId w:val="23"/>
      </w:numPr>
      <w:spacing w:before="120" w:after="120" w:line="264" w:lineRule="auto"/>
    </w:pPr>
    <w:rPr>
      <w:rFonts w:ascii="Cambria" w:eastAsia="Times New Roman" w:hAnsi="Cambria" w:cs="Times New Roman"/>
      <w:sz w:val="22"/>
      <w:szCs w:val="24"/>
    </w:rPr>
  </w:style>
  <w:style w:type="numbering" w:customStyle="1" w:styleId="List1">
    <w:name w:val="List1"/>
    <w:basedOn w:val="NoList"/>
    <w:uiPriority w:val="99"/>
    <w:rsid w:val="00865858"/>
    <w:pPr>
      <w:numPr>
        <w:numId w:val="20"/>
      </w:numPr>
    </w:pPr>
  </w:style>
  <w:style w:type="numbering" w:customStyle="1" w:styleId="Numberlist">
    <w:name w:val="Number list"/>
    <w:uiPriority w:val="99"/>
    <w:rsid w:val="00865858"/>
    <w:pPr>
      <w:numPr>
        <w:numId w:val="21"/>
      </w:numPr>
    </w:pPr>
  </w:style>
  <w:style w:type="paragraph" w:styleId="ListBullet3">
    <w:name w:val="List Bullet 3"/>
    <w:basedOn w:val="Normal"/>
    <w:uiPriority w:val="99"/>
    <w:rsid w:val="00865858"/>
    <w:pPr>
      <w:numPr>
        <w:ilvl w:val="2"/>
        <w:numId w:val="24"/>
      </w:numPr>
      <w:spacing w:after="120" w:line="276" w:lineRule="auto"/>
      <w:contextualSpacing/>
    </w:pPr>
    <w:rPr>
      <w:rFonts w:ascii="Cambria" w:eastAsiaTheme="minorHAnsi" w:hAnsi="Cambria"/>
      <w:sz w:val="22"/>
      <w:szCs w:val="22"/>
    </w:rPr>
  </w:style>
  <w:style w:type="paragraph" w:styleId="TOC1">
    <w:name w:val="toc 1"/>
    <w:basedOn w:val="Normal"/>
    <w:next w:val="Normal"/>
    <w:autoRedefine/>
    <w:uiPriority w:val="39"/>
    <w:unhideWhenUsed/>
    <w:rsid w:val="00F11B62"/>
    <w:pPr>
      <w:spacing w:after="100"/>
    </w:pPr>
  </w:style>
  <w:style w:type="paragraph" w:styleId="TOC3">
    <w:name w:val="toc 3"/>
    <w:basedOn w:val="Normal"/>
    <w:next w:val="Normal"/>
    <w:autoRedefine/>
    <w:uiPriority w:val="39"/>
    <w:unhideWhenUsed/>
    <w:rsid w:val="00F11B62"/>
    <w:pPr>
      <w:spacing w:after="100"/>
      <w:ind w:left="420"/>
    </w:pPr>
  </w:style>
  <w:style w:type="paragraph" w:styleId="TOC2">
    <w:name w:val="toc 2"/>
    <w:basedOn w:val="Normal"/>
    <w:next w:val="Normal"/>
    <w:autoRedefine/>
    <w:uiPriority w:val="39"/>
    <w:unhideWhenUsed/>
    <w:rsid w:val="00B03B2C"/>
    <w:pPr>
      <w:tabs>
        <w:tab w:val="left" w:pos="426"/>
        <w:tab w:val="right" w:leader="dot" w:pos="9016"/>
      </w:tabs>
      <w:spacing w:after="100"/>
    </w:pPr>
    <w:rPr>
      <w:rFonts w:ascii="Cambria" w:hAnsi="Cambria" w:cstheme="minorHAnsi"/>
      <w:b/>
      <w:bCs/>
      <w:noProof/>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22878">
      <w:bodyDiv w:val="1"/>
      <w:marLeft w:val="0"/>
      <w:marRight w:val="0"/>
      <w:marTop w:val="0"/>
      <w:marBottom w:val="0"/>
      <w:divBdr>
        <w:top w:val="none" w:sz="0" w:space="0" w:color="auto"/>
        <w:left w:val="none" w:sz="0" w:space="0" w:color="auto"/>
        <w:bottom w:val="none" w:sz="0" w:space="0" w:color="auto"/>
        <w:right w:val="none" w:sz="0" w:space="0" w:color="auto"/>
      </w:divBdr>
    </w:div>
    <w:div w:id="575167453">
      <w:bodyDiv w:val="1"/>
      <w:marLeft w:val="0"/>
      <w:marRight w:val="0"/>
      <w:marTop w:val="0"/>
      <w:marBottom w:val="0"/>
      <w:divBdr>
        <w:top w:val="none" w:sz="0" w:space="0" w:color="auto"/>
        <w:left w:val="none" w:sz="0" w:space="0" w:color="auto"/>
        <w:bottom w:val="none" w:sz="0" w:space="0" w:color="auto"/>
        <w:right w:val="none" w:sz="0" w:space="0" w:color="auto"/>
      </w:divBdr>
    </w:div>
    <w:div w:id="695809625">
      <w:bodyDiv w:val="1"/>
      <w:marLeft w:val="0"/>
      <w:marRight w:val="0"/>
      <w:marTop w:val="0"/>
      <w:marBottom w:val="0"/>
      <w:divBdr>
        <w:top w:val="none" w:sz="0" w:space="0" w:color="auto"/>
        <w:left w:val="none" w:sz="0" w:space="0" w:color="auto"/>
        <w:bottom w:val="none" w:sz="0" w:space="0" w:color="auto"/>
        <w:right w:val="none" w:sz="0" w:space="0" w:color="auto"/>
      </w:divBdr>
      <w:divsChild>
        <w:div w:id="966398600">
          <w:marLeft w:val="0"/>
          <w:marRight w:val="0"/>
          <w:marTop w:val="0"/>
          <w:marBottom w:val="0"/>
          <w:divBdr>
            <w:top w:val="none" w:sz="0" w:space="0" w:color="auto"/>
            <w:left w:val="none" w:sz="0" w:space="0" w:color="auto"/>
            <w:bottom w:val="none" w:sz="0" w:space="0" w:color="auto"/>
            <w:right w:val="none" w:sz="0" w:space="0" w:color="auto"/>
          </w:divBdr>
        </w:div>
        <w:div w:id="2119132588">
          <w:marLeft w:val="0"/>
          <w:marRight w:val="0"/>
          <w:marTop w:val="0"/>
          <w:marBottom w:val="0"/>
          <w:divBdr>
            <w:top w:val="none" w:sz="0" w:space="0" w:color="auto"/>
            <w:left w:val="none" w:sz="0" w:space="0" w:color="auto"/>
            <w:bottom w:val="none" w:sz="0" w:space="0" w:color="auto"/>
            <w:right w:val="none" w:sz="0" w:space="0" w:color="auto"/>
          </w:divBdr>
        </w:div>
      </w:divsChild>
    </w:div>
    <w:div w:id="902132821">
      <w:bodyDiv w:val="1"/>
      <w:marLeft w:val="0"/>
      <w:marRight w:val="0"/>
      <w:marTop w:val="0"/>
      <w:marBottom w:val="0"/>
      <w:divBdr>
        <w:top w:val="none" w:sz="0" w:space="0" w:color="auto"/>
        <w:left w:val="none" w:sz="0" w:space="0" w:color="auto"/>
        <w:bottom w:val="none" w:sz="0" w:space="0" w:color="auto"/>
        <w:right w:val="none" w:sz="0" w:space="0" w:color="auto"/>
      </w:divBdr>
    </w:div>
    <w:div w:id="16592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we.gov.au/water/policy/markets/refor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dba.gov.au/sites/default/files/Basin-Compliance-Compact-180702-D18-31184.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aterregister.vic.gov.au/about/news/362-restrictions-on-tagged-use-to-become-long-term-from-30-november-2021" TargetMode="External"/><Relationship Id="rId2" Type="http://schemas.openxmlformats.org/officeDocument/2006/relationships/hyperlink" Target="http://www.bom.gov.au/climate/drought/knowledge-centre/previous-droughts.shtml" TargetMode="External"/><Relationship Id="rId1" Type="http://schemas.openxmlformats.org/officeDocument/2006/relationships/hyperlink" Target="https://www.mdba.gov.au/progress-water-recovery" TargetMode="External"/></Relationships>
</file>

<file path=word/documenttasks/documenttasks1.xml><?xml version="1.0" encoding="utf-8"?>
<t:Tasks xmlns:t="http://schemas.microsoft.com/office/tasks/2019/documenttasks" xmlns:oel="http://schemas.microsoft.com/office/2019/extlst">
  <t:Task id="{6C403ADF-A77C-4ED5-BBFB-0F22DE0EDCF9}">
    <t:Anchor>
      <t:Comment id="1915469402"/>
    </t:Anchor>
    <t:History>
      <t:Event id="{35E546B2-F274-41F5-96A8-FBD71B810754}" time="2021-11-09T23:16:18.158Z">
        <t:Attribution userId="S::jacyleen.ong@agriculture.gov.au::86b4c2b0-ed04-47ae-b7c5-f26050705d21" userProvider="AD" userName="Ong, Jacyleen"/>
        <t:Anchor>
          <t:Comment id="1915469402"/>
        </t:Anchor>
        <t:Create/>
      </t:Event>
      <t:Event id="{2D0BB888-BB43-4176-B88A-FBE45925A8C0}" time="2021-11-09T23:16:18.158Z">
        <t:Attribution userId="S::jacyleen.ong@agriculture.gov.au::86b4c2b0-ed04-47ae-b7c5-f26050705d21" userProvider="AD" userName="Ong, Jacyleen"/>
        <t:Anchor>
          <t:Comment id="1915469402"/>
        </t:Anchor>
        <t:Assign userId="S::Jane.Gribble@agriculture.gov.au::5c0c0077-edc6-4ead-a8db-0a284dbdcc7c" userProvider="AD" userName="Gribble, Jane"/>
      </t:Event>
      <t:Event id="{A77EB5BB-352F-451E-AB70-CFF5308DC6D1}" time="2021-11-09T23:16:18.158Z">
        <t:Attribution userId="S::jacyleen.ong@agriculture.gov.au::86b4c2b0-ed04-47ae-b7c5-f26050705d21" userProvider="AD" userName="Ong, Jacyleen"/>
        <t:Anchor>
          <t:Comment id="1915469402"/>
        </t:Anchor>
        <t:SetTitle title="@Gribble, Ja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C740-F448-4657-A11D-ADA41E3C8D7F}">
  <ds:schemaRefs>
    <ds:schemaRef ds:uri="http://purl.org/dc/elements/1.1/"/>
    <ds:schemaRef ds:uri="http://schemas.microsoft.com/office/2006/metadata/properties"/>
    <ds:schemaRef ds:uri="7cc651ec-25ff-4303-ac03-0e5d726c6f27"/>
    <ds:schemaRef ds:uri="f1c38eb8-c0da-4bda-8fe2-4c84918aee3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E1DEABE-334A-44A7-84D4-C100D5F63A21}">
  <ds:schemaRefs>
    <ds:schemaRef ds:uri="http://schemas.microsoft.com/sharepoint/v3/contenttype/forms"/>
  </ds:schemaRefs>
</ds:datastoreItem>
</file>

<file path=customXml/itemProps3.xml><?xml version="1.0" encoding="utf-8"?>
<ds:datastoreItem xmlns:ds="http://schemas.openxmlformats.org/officeDocument/2006/customXml" ds:itemID="{38F1268C-2B14-4DF1-88DB-61E9C31C403F}"/>
</file>

<file path=customXml/itemProps4.xml><?xml version="1.0" encoding="utf-8"?>
<ds:datastoreItem xmlns:ds="http://schemas.openxmlformats.org/officeDocument/2006/customXml" ds:itemID="{D9C9F178-8C23-45EE-95E1-1A17F0E1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10350</Words>
  <Characters>58996</Characters>
  <DocSecurity>4</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69208</CharactersWithSpaces>
  <SharedDoc>false</SharedDoc>
  <HLinks>
    <vt:vector size="36" baseType="variant">
      <vt:variant>
        <vt:i4>3932213</vt:i4>
      </vt:variant>
      <vt:variant>
        <vt:i4>6</vt:i4>
      </vt:variant>
      <vt:variant>
        <vt:i4>0</vt:i4>
      </vt:variant>
      <vt:variant>
        <vt:i4>5</vt:i4>
      </vt:variant>
      <vt:variant>
        <vt:lpwstr>https://dpie.nsw.gov.au/water/plans-and-programs/nsw-water-strategy/action-plan-2021-22</vt:lpwstr>
      </vt:variant>
      <vt:variant>
        <vt:lpwstr/>
      </vt:variant>
      <vt:variant>
        <vt:i4>4915271</vt:i4>
      </vt:variant>
      <vt:variant>
        <vt:i4>3</vt:i4>
      </vt:variant>
      <vt:variant>
        <vt:i4>0</vt:i4>
      </vt:variant>
      <vt:variant>
        <vt:i4>5</vt:i4>
      </vt:variant>
      <vt:variant>
        <vt:lpwstr>http://www.awe.gov.au/water/policy/markets/reform</vt:lpwstr>
      </vt:variant>
      <vt:variant>
        <vt:lpwstr/>
      </vt:variant>
      <vt:variant>
        <vt:i4>5570591</vt:i4>
      </vt:variant>
      <vt:variant>
        <vt:i4>0</vt:i4>
      </vt:variant>
      <vt:variant>
        <vt:i4>0</vt:i4>
      </vt:variant>
      <vt:variant>
        <vt:i4>5</vt:i4>
      </vt:variant>
      <vt:variant>
        <vt:lpwstr>https://www.mdba.gov.au/sites/default/files/Basin-Compliance-Compact-180702-D18-31184.pdf</vt:lpwstr>
      </vt:variant>
      <vt:variant>
        <vt:lpwstr/>
      </vt:variant>
      <vt:variant>
        <vt:i4>6029337</vt:i4>
      </vt:variant>
      <vt:variant>
        <vt:i4>6</vt:i4>
      </vt:variant>
      <vt:variant>
        <vt:i4>0</vt:i4>
      </vt:variant>
      <vt:variant>
        <vt:i4>5</vt:i4>
      </vt:variant>
      <vt:variant>
        <vt:lpwstr>https://www.waterregister.vic.gov.au/about/news/362-restrictions-on-tagged-use-to-become-long-term-from-30-november-2021</vt:lpwstr>
      </vt:variant>
      <vt:variant>
        <vt:lpwstr/>
      </vt:variant>
      <vt:variant>
        <vt:i4>7340065</vt:i4>
      </vt:variant>
      <vt:variant>
        <vt:i4>3</vt:i4>
      </vt:variant>
      <vt:variant>
        <vt:i4>0</vt:i4>
      </vt:variant>
      <vt:variant>
        <vt:i4>5</vt:i4>
      </vt:variant>
      <vt:variant>
        <vt:lpwstr>http://www.bom.gov.au/climate/drought/knowledge-centre/previous-droughts.shtml</vt:lpwstr>
      </vt:variant>
      <vt:variant>
        <vt:lpwstr/>
      </vt:variant>
      <vt:variant>
        <vt:i4>7667744</vt:i4>
      </vt:variant>
      <vt:variant>
        <vt:i4>0</vt:i4>
      </vt:variant>
      <vt:variant>
        <vt:i4>0</vt:i4>
      </vt:variant>
      <vt:variant>
        <vt:i4>5</vt:i4>
      </vt:variant>
      <vt:variant>
        <vt:lpwstr>https://www.mdba.gov.au/progress-water-recovery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2021-12-16T02:25:00Z</cp:lastPrinted>
  <dcterms:created xsi:type="dcterms:W3CDTF">2022-02-15T00:56:00Z</dcterms:created>
  <dcterms:modified xsi:type="dcterms:W3CDTF">2022-02-15T00:56:00Z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